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073" w:rsidRDefault="00FC6073" w:rsidP="00FC6073">
      <w:pPr>
        <w:rPr>
          <w:rFonts w:ascii="Times New Roman" w:hAnsi="Times New Roman" w:cs="Times New Roman"/>
          <w:sz w:val="56"/>
          <w:szCs w:val="56"/>
        </w:rPr>
      </w:pPr>
      <w:r>
        <w:rPr>
          <w:rFonts w:ascii="Times New Roman" w:hAnsi="Times New Roman" w:cs="Times New Roman"/>
          <w:noProof/>
          <w:sz w:val="56"/>
          <w:szCs w:val="56"/>
          <w:lang w:eastAsia="es-BO"/>
        </w:rPr>
        <w:drawing>
          <wp:inline distT="0" distB="0" distL="0" distR="0">
            <wp:extent cx="2821940" cy="11626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940" cy="1162685"/>
                    </a:xfrm>
                    <a:prstGeom prst="rect">
                      <a:avLst/>
                    </a:prstGeom>
                    <a:noFill/>
                    <a:ln>
                      <a:noFill/>
                    </a:ln>
                  </pic:spPr>
                </pic:pic>
              </a:graphicData>
            </a:graphic>
          </wp:inline>
        </w:drawing>
      </w:r>
    </w:p>
    <w:p w:rsidR="00FC6073" w:rsidRDefault="00FC6073" w:rsidP="00FC6073">
      <w:pPr>
        <w:rPr>
          <w:rFonts w:ascii="Times New Roman" w:hAnsi="Times New Roman" w:cs="Times New Roman"/>
          <w:sz w:val="56"/>
          <w:szCs w:val="56"/>
        </w:rPr>
      </w:pPr>
    </w:p>
    <w:p w:rsidR="00FC6073" w:rsidRDefault="00FC6073" w:rsidP="00FC6073"/>
    <w:p w:rsidR="00FC6073" w:rsidRDefault="00FC6073" w:rsidP="00FC6073"/>
    <w:p w:rsidR="00FC6073" w:rsidRDefault="00FC6073" w:rsidP="00FC6073">
      <w:pPr>
        <w:jc w:val="center"/>
        <w:rPr>
          <w:rFonts w:ascii="Monotype Corsiva" w:hAnsi="Monotype Corsiva" w:cs="Aharoni"/>
          <w:sz w:val="76"/>
          <w:szCs w:val="76"/>
        </w:rPr>
      </w:pPr>
      <w:r>
        <w:rPr>
          <w:rFonts w:ascii="Monotype Corsiva" w:hAnsi="Monotype Corsiva" w:cs="Aharoni"/>
          <w:sz w:val="76"/>
          <w:szCs w:val="76"/>
        </w:rPr>
        <w:t>MAESTRIA</w:t>
      </w:r>
    </w:p>
    <w:p w:rsidR="00FC6073" w:rsidRDefault="00FC6073" w:rsidP="00FC6073">
      <w:pPr>
        <w:jc w:val="center"/>
        <w:rPr>
          <w:rFonts w:ascii="Monotype Corsiva" w:hAnsi="Monotype Corsiva" w:cs="Aharoni"/>
          <w:sz w:val="76"/>
          <w:szCs w:val="76"/>
        </w:rPr>
      </w:pPr>
      <w:r>
        <w:rPr>
          <w:rFonts w:ascii="Monotype Corsiva" w:hAnsi="Monotype Corsiva" w:cs="Aharoni"/>
          <w:sz w:val="76"/>
          <w:szCs w:val="76"/>
        </w:rPr>
        <w:t>MEDICOQUIRURGICO</w:t>
      </w:r>
    </w:p>
    <w:p w:rsidR="00FC6073" w:rsidRDefault="00FC6073" w:rsidP="00FC6073">
      <w:pPr>
        <w:jc w:val="center"/>
        <w:rPr>
          <w:rFonts w:ascii="Tahoma" w:hAnsi="Tahoma" w:cs="Tahoma"/>
          <w:sz w:val="48"/>
          <w:szCs w:val="48"/>
        </w:rPr>
      </w:pPr>
    </w:p>
    <w:p w:rsidR="00FC6073" w:rsidRDefault="00FC6073" w:rsidP="00FC6073">
      <w:pPr>
        <w:jc w:val="center"/>
        <w:rPr>
          <w:rFonts w:ascii="Monotype Corsiva" w:hAnsi="Monotype Corsiva" w:cs="Aharoni"/>
          <w:sz w:val="48"/>
          <w:szCs w:val="48"/>
        </w:rPr>
      </w:pPr>
      <w:r>
        <w:rPr>
          <w:rFonts w:ascii="Tahoma" w:hAnsi="Tahoma" w:cs="Tahoma"/>
          <w:sz w:val="48"/>
          <w:szCs w:val="48"/>
        </w:rPr>
        <w:t xml:space="preserve">MARCADORES TUMORALES </w:t>
      </w:r>
      <w:r>
        <w:rPr>
          <w:rFonts w:ascii="Times New Roman" w:hAnsi="Times New Roman" w:cs="Times New Roman"/>
          <w:sz w:val="48"/>
          <w:szCs w:val="48"/>
        </w:rPr>
        <w:t xml:space="preserve">                                        </w:t>
      </w:r>
    </w:p>
    <w:p w:rsidR="00FC6073" w:rsidRDefault="00FC6073" w:rsidP="00FC6073">
      <w:pPr>
        <w:jc w:val="center"/>
        <w:rPr>
          <w:rFonts w:ascii="Times New Roman" w:hAnsi="Times New Roman" w:cs="Times New Roman"/>
          <w:sz w:val="24"/>
          <w:szCs w:val="24"/>
        </w:rPr>
      </w:pPr>
      <w:r>
        <w:rPr>
          <w:rFonts w:ascii="Times New Roman" w:hAnsi="Times New Roman" w:cs="Times New Roman"/>
          <w:sz w:val="24"/>
          <w:szCs w:val="24"/>
        </w:rPr>
        <w:t xml:space="preserve">                                                               </w:t>
      </w:r>
    </w:p>
    <w:p w:rsidR="00FC6073" w:rsidRDefault="00FC6073" w:rsidP="00FC6073">
      <w:pPr>
        <w:jc w:val="center"/>
        <w:rPr>
          <w:rFonts w:ascii="Times New Roman" w:hAnsi="Times New Roman" w:cs="Times New Roman"/>
          <w:sz w:val="24"/>
          <w:szCs w:val="24"/>
        </w:rPr>
      </w:pPr>
    </w:p>
    <w:p w:rsidR="00FC6073" w:rsidRDefault="00FC6073" w:rsidP="00FC6073">
      <w:pPr>
        <w:jc w:val="center"/>
        <w:rPr>
          <w:rFonts w:ascii="Times New Roman" w:hAnsi="Times New Roman" w:cs="Times New Roman"/>
          <w:sz w:val="24"/>
          <w:szCs w:val="24"/>
        </w:rPr>
      </w:pPr>
    </w:p>
    <w:p w:rsidR="00FC6073" w:rsidRDefault="00FC6073" w:rsidP="00FC6073">
      <w:pPr>
        <w:jc w:val="right"/>
        <w:rPr>
          <w:rFonts w:ascii="Times New Roman" w:hAnsi="Times New Roman" w:cs="Times New Roman"/>
          <w:sz w:val="24"/>
          <w:szCs w:val="24"/>
        </w:rPr>
      </w:pPr>
      <w:r>
        <w:rPr>
          <w:rFonts w:ascii="Times New Roman" w:hAnsi="Times New Roman" w:cs="Times New Roman"/>
          <w:sz w:val="24"/>
          <w:szCs w:val="24"/>
        </w:rPr>
        <w:t>INTEGRANTES: Verónica Rocha Ortega</w:t>
      </w:r>
    </w:p>
    <w:p w:rsidR="00FC6073" w:rsidRDefault="00FC6073" w:rsidP="00FC6073">
      <w:pPr>
        <w:jc w:val="right"/>
        <w:rPr>
          <w:rFonts w:ascii="Times New Roman" w:hAnsi="Times New Roman" w:cs="Times New Roman"/>
          <w:sz w:val="24"/>
          <w:szCs w:val="24"/>
        </w:rPr>
      </w:pPr>
      <w:r>
        <w:rPr>
          <w:rFonts w:ascii="Times New Roman" w:hAnsi="Times New Roman" w:cs="Times New Roman"/>
          <w:sz w:val="24"/>
          <w:szCs w:val="24"/>
        </w:rPr>
        <w:t>Lilian Zapata Claros</w:t>
      </w:r>
    </w:p>
    <w:p w:rsidR="00FC6073" w:rsidRDefault="00FC6073" w:rsidP="00FC6073">
      <w:pPr>
        <w:jc w:val="right"/>
        <w:rPr>
          <w:rFonts w:ascii="Times New Roman" w:hAnsi="Times New Roman" w:cs="Times New Roman"/>
          <w:sz w:val="24"/>
          <w:szCs w:val="24"/>
        </w:rPr>
      </w:pPr>
      <w:r>
        <w:rPr>
          <w:rFonts w:ascii="Times New Roman" w:hAnsi="Times New Roman" w:cs="Times New Roman"/>
          <w:sz w:val="24"/>
          <w:szCs w:val="24"/>
        </w:rPr>
        <w:t xml:space="preserve">Celia Mendoza </w:t>
      </w:r>
      <w:proofErr w:type="spellStart"/>
      <w:r>
        <w:rPr>
          <w:rFonts w:ascii="Times New Roman" w:hAnsi="Times New Roman" w:cs="Times New Roman"/>
          <w:sz w:val="24"/>
          <w:szCs w:val="24"/>
        </w:rPr>
        <w:t>Villca</w:t>
      </w:r>
      <w:proofErr w:type="spellEnd"/>
    </w:p>
    <w:p w:rsidR="00FC6073" w:rsidRDefault="00FC6073" w:rsidP="00FC6073">
      <w:pPr>
        <w:jc w:val="right"/>
        <w:rPr>
          <w:rFonts w:ascii="Times New Roman" w:hAnsi="Times New Roman" w:cs="Times New Roman"/>
          <w:sz w:val="24"/>
          <w:szCs w:val="24"/>
        </w:rPr>
      </w:pPr>
      <w:r>
        <w:rPr>
          <w:rFonts w:ascii="Times New Roman" w:hAnsi="Times New Roman" w:cs="Times New Roman"/>
          <w:sz w:val="24"/>
          <w:szCs w:val="24"/>
        </w:rPr>
        <w:t xml:space="preserve">Rolando </w:t>
      </w:r>
      <w:proofErr w:type="spellStart"/>
      <w:r>
        <w:rPr>
          <w:rFonts w:ascii="Times New Roman" w:hAnsi="Times New Roman" w:cs="Times New Roman"/>
          <w:sz w:val="24"/>
          <w:szCs w:val="24"/>
        </w:rPr>
        <w:t>Limachi</w:t>
      </w:r>
      <w:proofErr w:type="spellEnd"/>
      <w:r>
        <w:rPr>
          <w:rFonts w:ascii="Times New Roman" w:hAnsi="Times New Roman" w:cs="Times New Roman"/>
          <w:sz w:val="24"/>
          <w:szCs w:val="24"/>
        </w:rPr>
        <w:t xml:space="preserve"> Felipe</w:t>
      </w:r>
    </w:p>
    <w:p w:rsidR="00FC6073" w:rsidRDefault="00FC6073" w:rsidP="00FC6073">
      <w:pPr>
        <w:jc w:val="right"/>
        <w:rPr>
          <w:rFonts w:ascii="Times New Roman" w:hAnsi="Times New Roman" w:cs="Times New Roman"/>
          <w:sz w:val="24"/>
          <w:szCs w:val="24"/>
        </w:rPr>
      </w:pPr>
    </w:p>
    <w:p w:rsidR="00FC6073" w:rsidRDefault="00FC6073" w:rsidP="00FC6073">
      <w:pPr>
        <w:rPr>
          <w:rFonts w:ascii="Times New Roman" w:hAnsi="Times New Roman" w:cs="Times New Roman"/>
          <w:sz w:val="24"/>
          <w:szCs w:val="24"/>
        </w:rPr>
      </w:pPr>
      <w:r>
        <w:rPr>
          <w:rFonts w:ascii="Times New Roman" w:hAnsi="Times New Roman" w:cs="Times New Roman"/>
          <w:sz w:val="24"/>
          <w:szCs w:val="24"/>
        </w:rPr>
        <w:t>Cochabamba, agosto de 2014</w:t>
      </w:r>
    </w:p>
    <w:p w:rsidR="00E559A6" w:rsidRPr="00FC6073" w:rsidRDefault="005F15CB" w:rsidP="00FC6073">
      <w:pPr>
        <w:jc w:val="center"/>
        <w:rPr>
          <w:rFonts w:ascii="Times New Roman" w:hAnsi="Times New Roman" w:cs="Times New Roman"/>
          <w:sz w:val="24"/>
          <w:szCs w:val="24"/>
        </w:rPr>
      </w:pPr>
      <w:r w:rsidRPr="00C7125E">
        <w:rPr>
          <w:rFonts w:ascii="Arial" w:eastAsia="Times New Roman" w:hAnsi="Arial" w:cs="Arial"/>
          <w:b/>
          <w:bCs/>
          <w:kern w:val="36"/>
          <w:sz w:val="20"/>
          <w:szCs w:val="20"/>
          <w:lang w:eastAsia="es-BO"/>
        </w:rPr>
        <w:lastRenderedPageBreak/>
        <w:t>MARCADORES TUMORALES</w:t>
      </w:r>
      <w:bookmarkStart w:id="0" w:name="_GoBack"/>
      <w:bookmarkEnd w:id="0"/>
    </w:p>
    <w:p w:rsidR="00E559A6" w:rsidRPr="00C7125E" w:rsidRDefault="00781C38"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u w:val="single"/>
          <w:lang w:eastAsia="es-BO"/>
        </w:rPr>
        <w:t>Introducción</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Uno de los retos más importantes de la medicina actual es el tratamiento del cáncer. Muchas veces el diagnóstico precoz va a ser importante para el éxito de dicho tratamiento. También es necesario tener algún medio para detectar si el tratamiento está siendo efectivo o no. Un aporte importante de la bioquímica moderna es haber encontrado ciertas sustancias que se pueden medir en sangre que pueden ser utilizados como "marcadores tumorales". Lastimosamente no se ha encontrado una sustancia que sea cien por ciento sensible y específico para un tipo de cáncer. Por lo tanto, la utilidad de un marcador en la clínica va a depender de su grado de especificidad y su sensibilidad.</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br/>
        <w:t>Un marcador tumoral sería 100 % sensible si de 100 personas con un cáncer dado las 100 mostraran niveles elevados para dicho marcador. Pero lastimosamente no es así, ya que muchos cánceres no producen el marcador tumoral, o en muchos casos el cáncer lo produce pero en concentraciones muy bajas y cuando lo produce en niveles elevados es porque ya el tumor se encuentra en estado avanzado.</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br/>
        <w:t>Sobre la especificidad se puede decir que un marcador sería 100% específico si en 100 personas sanas, sin cáncer, en las cien el marcador diera resultado negativos o en el rango normal. Lastimosamente existe el problema que muchos marcadores se producen en concentraciones elevadas en personas sanas o con enfermedades no relacionadas con malignidades.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br/>
        <w:t>Relacionado con la sensibilidad y la especificidad se dice que otra desventaja de los marcadores tumorales son los elevados porcentajes de falsos positivos y falsos negativos. Siendo un falso positivo aquel caso donde una persona no tiene el cáncer pero presenta niveles elevados del marcador, guiando a un falso diagnóstico. Un falso negativo es aquel caso donde el paciente presenta niveles normales del marcador pero el paciente sí padece del cáncer, lo que puede llevar a un falso sentimiento de confianza y cuando se detecte el cáncer puede ser muy tarde.</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APLICACIONES CLÍNICAS DE LOS MARCADORES TUMORALES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Antes de entrar en las aplicaciones clínicas se debe hacer mención del hecho que los marcadores tumorales sanguíneos, sea cual sea su origen tienen una vida media, dada por su composición y su vía de eliminación y excreción. Por lo tanto muchas veces los marcadores tumorales pueden estar "falsamente" elevados en enfermedad hepática o renal debido a que se acumula en sangre por excreción inadecuada.</w:t>
      </w:r>
      <w:r w:rsidRPr="00C7125E">
        <w:rPr>
          <w:rFonts w:ascii="Arial" w:eastAsia="Times New Roman" w:hAnsi="Arial" w:cs="Arial"/>
          <w:sz w:val="20"/>
          <w:szCs w:val="20"/>
          <w:lang w:eastAsia="es-BO"/>
        </w:rPr>
        <w:br/>
        <w:t>Las aplicaciones más importantes de los marcadores tumorales son:</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proofErr w:type="spellStart"/>
      <w:r w:rsidRPr="00C7125E">
        <w:rPr>
          <w:rFonts w:ascii="Arial" w:eastAsia="Times New Roman" w:hAnsi="Arial" w:cs="Arial"/>
          <w:b/>
          <w:bCs/>
          <w:sz w:val="20"/>
          <w:szCs w:val="20"/>
          <w:lang w:eastAsia="es-BO"/>
        </w:rPr>
        <w:t>A.Diagnóstico</w:t>
      </w:r>
      <w:proofErr w:type="spellEnd"/>
      <w:r w:rsidRPr="00C7125E">
        <w:rPr>
          <w:rFonts w:ascii="Arial" w:eastAsia="Times New Roman" w:hAnsi="Arial" w:cs="Arial"/>
          <w:b/>
          <w:bCs/>
          <w:sz w:val="20"/>
          <w:szCs w:val="20"/>
          <w:lang w:eastAsia="es-BO"/>
        </w:rPr>
        <w:br/>
      </w:r>
      <w:r w:rsidRPr="00C7125E">
        <w:rPr>
          <w:rFonts w:ascii="Arial" w:eastAsia="Times New Roman" w:hAnsi="Arial" w:cs="Arial"/>
          <w:sz w:val="20"/>
          <w:szCs w:val="20"/>
          <w:lang w:eastAsia="es-BO"/>
        </w:rPr>
        <w:br/>
        <w:t xml:space="preserve">Un procedimiento es diagnóstico cuando determina definitivamente si una persona tiene el cáncer o no. El hecho que la mayoría de los marcadores carezca de la suficiente especificidad y sensibilidad los hace no aptos para el diagnóstico. Ya que puede dar positivo en personas sanas o puede dar negativo en personas con el cáncer. Para aumentar la especificidad y la sensibilidad se puede utilizar combinación de marcadores sanguíneos o combinarlo con otras técnicas como el ultrasonido. A pesar de no ser adecuado para el tamizaje general de la población, su utilidad en </w:t>
      </w:r>
      <w:r w:rsidRPr="00C7125E">
        <w:rPr>
          <w:rFonts w:ascii="Arial" w:eastAsia="Times New Roman" w:hAnsi="Arial" w:cs="Arial"/>
          <w:sz w:val="20"/>
          <w:szCs w:val="20"/>
          <w:lang w:eastAsia="es-BO"/>
        </w:rPr>
        <w:lastRenderedPageBreak/>
        <w:t>poblaciones de riesgo ha mostrado ser muy eficaz. Como lo es el uso de antígeno específico de próstata en hombres mayores de 40 años.</w:t>
      </w:r>
    </w:p>
    <w:p w:rsidR="00E559A6" w:rsidRPr="00C7125E" w:rsidRDefault="00E559A6" w:rsidP="00E559A6">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B. Monitoreo del tratamiento y detección de recurrencias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Los niveles de un marcador tumoral en este caso van a ser muy útiles ya que nos va a informar si un paciente presenta remisión o una activación. Durante la utilización de la terapia el nivel del marcador nos va a indicar la efectividad del tratamiento y si existe la necesidad de un rediseño del tratamiento.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Es importante en el caso del seguimiento del tratamiento y de las recurrencias posoperatorias, el grado de aumento de los niveles del marcador con respecto al tiempo. Niveles elevados de un marcador después de la cirugía va a indicar remoción incompleta, metástasis o recurrencia. Dichos niveles empiezan a elevarse mucho antes que aparezcan los primeros síntomas, por eso la importancia de cómo detectores precoces de la reaparición del </w:t>
      </w:r>
      <w:proofErr w:type="spellStart"/>
      <w:r w:rsidRPr="00C7125E">
        <w:rPr>
          <w:rFonts w:ascii="Arial" w:eastAsia="Times New Roman" w:hAnsi="Arial" w:cs="Arial"/>
          <w:sz w:val="20"/>
          <w:szCs w:val="20"/>
          <w:lang w:eastAsia="es-BO"/>
        </w:rPr>
        <w:t>cancer</w:t>
      </w:r>
      <w:proofErr w:type="spellEnd"/>
      <w:r w:rsidRPr="00C7125E">
        <w:rPr>
          <w:rFonts w:ascii="Arial" w:eastAsia="Times New Roman" w:hAnsi="Arial" w:cs="Arial"/>
          <w:sz w:val="20"/>
          <w:szCs w:val="20"/>
          <w:lang w:eastAsia="es-BO"/>
        </w:rPr>
        <w:t>, dando así oportunidad al médico de tomar medidas antes de que el cáncer se desarrolle otra vez. Algunos tumores han demostrado un aumento de los niveles al comenzar la quimioterapia sin significar que el tratamiento este siendo inadecuado</w:t>
      </w:r>
    </w:p>
    <w:p w:rsidR="00E559A6" w:rsidRPr="00C7125E" w:rsidRDefault="00E559A6" w:rsidP="00E559A6">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C. Pronóstico</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Debido a que los niveles de los marcadores aumentan con la progresión del tumor siendo los más altos cuando hay metástasis, altos niveles son de mal pronóstico. Bajas concentraciones no reflejan la agresividad del tumor, solo indica que el tumor está comenzando o que está en estos momentos confinado. No existe una concentración corte que diferencie entre tumores benignos y malignos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TIPOS DE MARCADORES TUMORALES</w:t>
      </w:r>
    </w:p>
    <w:p w:rsidR="00E559A6" w:rsidRPr="00C7125E" w:rsidRDefault="00E559A6" w:rsidP="00E559A6">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t>Los marcadores tumores pueden ser:</w:t>
      </w:r>
      <w:r w:rsidRPr="00C7125E">
        <w:rPr>
          <w:rFonts w:ascii="Arial" w:eastAsia="Times New Roman" w:hAnsi="Arial" w:cs="Arial"/>
          <w:sz w:val="20"/>
          <w:szCs w:val="20"/>
          <w:lang w:eastAsia="es-BO"/>
        </w:rPr>
        <w:br/>
        <w:t>" Sustancias "nuevas producidas" por el tumor debido a su proceso de indiferenciación</w:t>
      </w:r>
      <w:r w:rsidRPr="00C7125E">
        <w:rPr>
          <w:rFonts w:ascii="Arial" w:eastAsia="Times New Roman" w:hAnsi="Arial" w:cs="Arial"/>
          <w:sz w:val="20"/>
          <w:szCs w:val="20"/>
          <w:lang w:eastAsia="es-BO"/>
        </w:rPr>
        <w:br/>
        <w:t>" Sustancias normalmente producidas o liberadas por el tejido normal en muy bajas concentraciones pero en el tumor se producen en alta cantidad debido a su proceso de proliferación</w:t>
      </w:r>
      <w:r w:rsidRPr="00C7125E">
        <w:rPr>
          <w:rFonts w:ascii="Arial" w:eastAsia="Times New Roman" w:hAnsi="Arial" w:cs="Arial"/>
          <w:sz w:val="20"/>
          <w:szCs w:val="20"/>
          <w:lang w:eastAsia="es-BO"/>
        </w:rPr>
        <w:br/>
        <w:t>" Sustancias producidas por el tejido adyacente ante la presencia del tumor</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MARCADORES TUMORALES MÁS UTILIZADOS EN LA CLÍNICA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Son varios los marcadores que se han sacado al mercado y han demostrado su utilidad clínica. </w:t>
      </w:r>
      <w:proofErr w:type="spellStart"/>
      <w:r w:rsidRPr="00C7125E">
        <w:rPr>
          <w:rFonts w:ascii="Arial" w:eastAsia="Times New Roman" w:hAnsi="Arial" w:cs="Arial"/>
          <w:sz w:val="20"/>
          <w:szCs w:val="20"/>
          <w:lang w:eastAsia="es-BO"/>
        </w:rPr>
        <w:t>Aún</w:t>
      </w:r>
      <w:proofErr w:type="spellEnd"/>
      <w:r w:rsidRPr="00C7125E">
        <w:rPr>
          <w:rFonts w:ascii="Arial" w:eastAsia="Times New Roman" w:hAnsi="Arial" w:cs="Arial"/>
          <w:sz w:val="20"/>
          <w:szCs w:val="20"/>
          <w:lang w:eastAsia="es-BO"/>
        </w:rPr>
        <w:t xml:space="preserve"> así fallan por no ser cien por ciento sensibles ni cien por ciento específicos. Tanto la sensibilidad como la especificidad del diagnóstico se </w:t>
      </w:r>
      <w:proofErr w:type="gramStart"/>
      <w:r w:rsidRPr="00C7125E">
        <w:rPr>
          <w:rFonts w:ascii="Arial" w:eastAsia="Times New Roman" w:hAnsi="Arial" w:cs="Arial"/>
          <w:sz w:val="20"/>
          <w:szCs w:val="20"/>
          <w:lang w:eastAsia="es-BO"/>
        </w:rPr>
        <w:t>puede</w:t>
      </w:r>
      <w:proofErr w:type="gramEnd"/>
      <w:r w:rsidRPr="00C7125E">
        <w:rPr>
          <w:rFonts w:ascii="Arial" w:eastAsia="Times New Roman" w:hAnsi="Arial" w:cs="Arial"/>
          <w:sz w:val="20"/>
          <w:szCs w:val="20"/>
          <w:lang w:eastAsia="es-BO"/>
        </w:rPr>
        <w:t xml:space="preserve"> mejorar con otras tecnologías actuales como las diferentes técnicas radiológicas. Pero también se pueden mejorar ambos factores utilizando varios marcadores a la vez. Como por ejemplo la utilización conjunta de la alfa </w:t>
      </w:r>
      <w:proofErr w:type="spellStart"/>
      <w:r w:rsidRPr="00C7125E">
        <w:rPr>
          <w:rFonts w:ascii="Arial" w:eastAsia="Times New Roman" w:hAnsi="Arial" w:cs="Arial"/>
          <w:sz w:val="20"/>
          <w:szCs w:val="20"/>
          <w:lang w:eastAsia="es-BO"/>
        </w:rPr>
        <w:t>fetoproteína</w:t>
      </w:r>
      <w:proofErr w:type="spellEnd"/>
      <w:r w:rsidRPr="00C7125E">
        <w:rPr>
          <w:rFonts w:ascii="Arial" w:eastAsia="Times New Roman" w:hAnsi="Arial" w:cs="Arial"/>
          <w:sz w:val="20"/>
          <w:szCs w:val="20"/>
          <w:lang w:eastAsia="es-BO"/>
        </w:rPr>
        <w:t xml:space="preserve"> y la hormona gonadotropina </w:t>
      </w:r>
      <w:proofErr w:type="spellStart"/>
      <w:r w:rsidRPr="00C7125E">
        <w:rPr>
          <w:rFonts w:ascii="Arial" w:eastAsia="Times New Roman" w:hAnsi="Arial" w:cs="Arial"/>
          <w:sz w:val="20"/>
          <w:szCs w:val="20"/>
          <w:lang w:eastAsia="es-BO"/>
        </w:rPr>
        <w:t>coriónica</w:t>
      </w:r>
      <w:proofErr w:type="spellEnd"/>
      <w:r w:rsidRPr="00C7125E">
        <w:rPr>
          <w:rFonts w:ascii="Arial" w:eastAsia="Times New Roman" w:hAnsi="Arial" w:cs="Arial"/>
          <w:sz w:val="20"/>
          <w:szCs w:val="20"/>
          <w:lang w:eastAsia="es-BO"/>
        </w:rPr>
        <w:t xml:space="preserve"> para cáncer testicular no </w:t>
      </w:r>
      <w:proofErr w:type="spellStart"/>
      <w:r w:rsidRPr="00C7125E">
        <w:rPr>
          <w:rFonts w:ascii="Arial" w:eastAsia="Times New Roman" w:hAnsi="Arial" w:cs="Arial"/>
          <w:sz w:val="20"/>
          <w:szCs w:val="20"/>
          <w:lang w:eastAsia="es-BO"/>
        </w:rPr>
        <w:t>seminomatoso</w:t>
      </w:r>
      <w:proofErr w:type="spellEnd"/>
      <w:r w:rsidRPr="00C7125E">
        <w:rPr>
          <w:rFonts w:ascii="Arial" w:eastAsia="Times New Roman" w:hAnsi="Arial" w:cs="Arial"/>
          <w:sz w:val="20"/>
          <w:szCs w:val="20"/>
          <w:lang w:eastAsia="es-BO"/>
        </w:rPr>
        <w:t xml:space="preserve">, o de CA 19-9 y del antígeno </w:t>
      </w:r>
      <w:proofErr w:type="spellStart"/>
      <w:r w:rsidRPr="00C7125E">
        <w:rPr>
          <w:rFonts w:ascii="Arial" w:eastAsia="Times New Roman" w:hAnsi="Arial" w:cs="Arial"/>
          <w:sz w:val="20"/>
          <w:szCs w:val="20"/>
          <w:lang w:eastAsia="es-BO"/>
        </w:rPr>
        <w:t>carcinoembriónico</w:t>
      </w:r>
      <w:proofErr w:type="spellEnd"/>
      <w:r w:rsidRPr="00C7125E">
        <w:rPr>
          <w:rFonts w:ascii="Arial" w:eastAsia="Times New Roman" w:hAnsi="Arial" w:cs="Arial"/>
          <w:sz w:val="20"/>
          <w:szCs w:val="20"/>
          <w:lang w:eastAsia="es-BO"/>
        </w:rPr>
        <w:t xml:space="preserve"> (CEA) para cáncer de páncreas, o la relación CA 125/CEA para cáncer de pecho, la relación CA 72-4/CA 19-9 que colabora para distinguir si la elevación de estos es por un cáncer de colon (relación mayor a 2,5) o de páncreas.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Se debe tomar en cuenta que por lo tanto la principal limitación de todos los marcadores que aquí estudiaremos es que se pueden encontrar elevados en ciertas enfermedades benignas, además </w:t>
      </w:r>
      <w:r w:rsidRPr="00C7125E">
        <w:rPr>
          <w:rFonts w:ascii="Arial" w:eastAsia="Times New Roman" w:hAnsi="Arial" w:cs="Arial"/>
          <w:sz w:val="20"/>
          <w:szCs w:val="20"/>
          <w:lang w:eastAsia="es-BO"/>
        </w:rPr>
        <w:lastRenderedPageBreak/>
        <w:t>por no ser ni órgano específico ni tumor específico, no se pueden usar como prueba única diagnóstica para ningún tipo de cáncer.</w:t>
      </w:r>
    </w:p>
    <w:p w:rsidR="00E559A6" w:rsidRPr="00C7125E" w:rsidRDefault="00E559A6" w:rsidP="00E559A6">
      <w:pPr>
        <w:spacing w:before="240" w:after="240" w:line="240" w:lineRule="auto"/>
        <w:jc w:val="both"/>
        <w:outlineLvl w:val="2"/>
        <w:rPr>
          <w:rFonts w:ascii="Arial" w:eastAsia="Times New Roman" w:hAnsi="Arial" w:cs="Arial"/>
          <w:b/>
          <w:bCs/>
          <w:sz w:val="20"/>
          <w:szCs w:val="20"/>
          <w:lang w:eastAsia="es-BO"/>
        </w:rPr>
      </w:pPr>
      <w:r w:rsidRPr="00C7125E">
        <w:rPr>
          <w:rFonts w:ascii="Arial" w:eastAsia="Times New Roman" w:hAnsi="Arial" w:cs="Arial"/>
          <w:b/>
          <w:bCs/>
          <w:sz w:val="20"/>
          <w:szCs w:val="20"/>
          <w:lang w:eastAsia="es-BO"/>
        </w:rPr>
        <w:t>Marcadores Tumorales:</w:t>
      </w:r>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9" w:history="1">
        <w:r w:rsidR="00E559A6" w:rsidRPr="00C7125E">
          <w:rPr>
            <w:rFonts w:ascii="Arial" w:eastAsia="Times New Roman" w:hAnsi="Arial" w:cs="Arial"/>
            <w:b/>
            <w:bCs/>
            <w:sz w:val="20"/>
            <w:szCs w:val="20"/>
            <w:u w:val="single"/>
            <w:lang w:eastAsia="es-BO"/>
          </w:rPr>
          <w:t>MARCADORES TUMORALES</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0" w:history="1">
        <w:r w:rsidR="00E559A6" w:rsidRPr="00C7125E">
          <w:rPr>
            <w:rFonts w:ascii="Arial" w:eastAsia="Times New Roman" w:hAnsi="Arial" w:cs="Arial"/>
            <w:b/>
            <w:bCs/>
            <w:sz w:val="20"/>
            <w:szCs w:val="20"/>
            <w:u w:val="single"/>
            <w:lang w:eastAsia="es-BO"/>
          </w:rPr>
          <w:t>MARCADORES TUMORALES SANGUÍNEOS</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1" w:history="1">
        <w:r w:rsidR="00E559A6" w:rsidRPr="00C7125E">
          <w:rPr>
            <w:rFonts w:ascii="Arial" w:eastAsia="Times New Roman" w:hAnsi="Arial" w:cs="Arial"/>
            <w:b/>
            <w:bCs/>
            <w:sz w:val="20"/>
            <w:szCs w:val="20"/>
            <w:u w:val="single"/>
            <w:lang w:eastAsia="es-BO"/>
          </w:rPr>
          <w:t>ÁCIDO 5-HIDROXIINDOLACÉTICO (5-HIAA) Y SEROTONINA</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2" w:history="1">
        <w:r w:rsidR="00E559A6" w:rsidRPr="00C7125E">
          <w:rPr>
            <w:rFonts w:ascii="Arial" w:eastAsia="Times New Roman" w:hAnsi="Arial" w:cs="Arial"/>
            <w:b/>
            <w:bCs/>
            <w:sz w:val="20"/>
            <w:szCs w:val="20"/>
            <w:u w:val="single"/>
            <w:lang w:eastAsia="es-BO"/>
          </w:rPr>
          <w:t>ALFAFETOPROTEÍNA (AFP)</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3" w:history="1">
        <w:r w:rsidR="00E559A6" w:rsidRPr="00C7125E">
          <w:rPr>
            <w:rFonts w:ascii="Arial" w:eastAsia="Times New Roman" w:hAnsi="Arial" w:cs="Arial"/>
            <w:b/>
            <w:bCs/>
            <w:sz w:val="20"/>
            <w:szCs w:val="20"/>
            <w:u w:val="single"/>
            <w:lang w:eastAsia="es-BO"/>
          </w:rPr>
          <w:t>ANTÍGENO CARCINOEMBRIÓNICO (CEA)</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4" w:history="1">
        <w:r w:rsidR="00E559A6" w:rsidRPr="00C7125E">
          <w:rPr>
            <w:rFonts w:ascii="Arial" w:eastAsia="Times New Roman" w:hAnsi="Arial" w:cs="Arial"/>
            <w:b/>
            <w:bCs/>
            <w:sz w:val="20"/>
            <w:szCs w:val="20"/>
            <w:u w:val="single"/>
            <w:lang w:eastAsia="es-BO"/>
          </w:rPr>
          <w:t>ANTIGENO PROSTÁTICO ESPÉCIFICO PSA</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5" w:history="1">
        <w:r w:rsidR="00E559A6" w:rsidRPr="00C7125E">
          <w:rPr>
            <w:rFonts w:ascii="Arial" w:eastAsia="Times New Roman" w:hAnsi="Arial" w:cs="Arial"/>
            <w:b/>
            <w:bCs/>
            <w:sz w:val="20"/>
            <w:szCs w:val="20"/>
            <w:u w:val="single"/>
            <w:lang w:eastAsia="es-BO"/>
          </w:rPr>
          <w:t>CA 125</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6" w:history="1">
        <w:r w:rsidR="00E559A6" w:rsidRPr="00C7125E">
          <w:rPr>
            <w:rFonts w:ascii="Arial" w:eastAsia="Times New Roman" w:hAnsi="Arial" w:cs="Arial"/>
            <w:b/>
            <w:bCs/>
            <w:sz w:val="20"/>
            <w:szCs w:val="20"/>
            <w:u w:val="single"/>
            <w:lang w:eastAsia="es-BO"/>
          </w:rPr>
          <w:t>CA 19-9</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7" w:history="1">
        <w:r w:rsidR="00E559A6" w:rsidRPr="00C7125E">
          <w:rPr>
            <w:rFonts w:ascii="Arial" w:eastAsia="Times New Roman" w:hAnsi="Arial" w:cs="Arial"/>
            <w:b/>
            <w:bCs/>
            <w:sz w:val="20"/>
            <w:szCs w:val="20"/>
            <w:u w:val="single"/>
            <w:lang w:eastAsia="es-BO"/>
          </w:rPr>
          <w:t>CA 15-3</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8" w:history="1">
        <w:r w:rsidR="00E559A6" w:rsidRPr="00C7125E">
          <w:rPr>
            <w:rFonts w:ascii="Arial" w:eastAsia="Times New Roman" w:hAnsi="Arial" w:cs="Arial"/>
            <w:b/>
            <w:bCs/>
            <w:sz w:val="20"/>
            <w:szCs w:val="20"/>
            <w:u w:val="single"/>
            <w:lang w:eastAsia="es-BO"/>
          </w:rPr>
          <w:t>HORMONA GONADOTROPINA CORIÓNICA HUMANA (HCG)</w:t>
        </w:r>
      </w:hyperlink>
    </w:p>
    <w:p w:rsidR="00E559A6" w:rsidRPr="00C7125E" w:rsidRDefault="007C0EA0" w:rsidP="00E559A6">
      <w:pPr>
        <w:pStyle w:val="Prrafodelista"/>
        <w:numPr>
          <w:ilvl w:val="0"/>
          <w:numId w:val="3"/>
        </w:numPr>
        <w:spacing w:before="401" w:after="401" w:line="252" w:lineRule="atLeast"/>
        <w:jc w:val="both"/>
        <w:outlineLvl w:val="4"/>
        <w:rPr>
          <w:rFonts w:ascii="Arial" w:eastAsia="Times New Roman" w:hAnsi="Arial" w:cs="Arial"/>
          <w:b/>
          <w:bCs/>
          <w:sz w:val="20"/>
          <w:szCs w:val="20"/>
          <w:lang w:eastAsia="es-BO"/>
        </w:rPr>
      </w:pPr>
      <w:hyperlink r:id="rId19" w:history="1">
        <w:r w:rsidR="00E559A6" w:rsidRPr="00C7125E">
          <w:rPr>
            <w:rFonts w:ascii="Arial" w:eastAsia="Times New Roman" w:hAnsi="Arial" w:cs="Arial"/>
            <w:b/>
            <w:bCs/>
            <w:sz w:val="20"/>
            <w:szCs w:val="20"/>
            <w:u w:val="single"/>
            <w:lang w:eastAsia="es-BO"/>
          </w:rPr>
          <w:t>NUCLEAR MATRIX PROTEIN 22 (NMP 22)</w:t>
        </w:r>
      </w:hyperlink>
    </w:p>
    <w:p w:rsidR="00434768" w:rsidRPr="00C7125E" w:rsidRDefault="00E559A6" w:rsidP="00434768">
      <w:pPr>
        <w:spacing w:before="100" w:beforeAutospacing="1" w:after="100" w:afterAutospacing="1"/>
        <w:jc w:val="both"/>
        <w:rPr>
          <w:rFonts w:ascii="Arial" w:eastAsia="Times New Roman" w:hAnsi="Arial" w:cs="Arial"/>
          <w:sz w:val="24"/>
          <w:szCs w:val="24"/>
          <w:lang w:eastAsia="es-ES"/>
        </w:rPr>
      </w:pPr>
      <w:r w:rsidRPr="00C7125E">
        <w:rPr>
          <w:rFonts w:ascii="Arial" w:eastAsia="Times New Roman" w:hAnsi="Arial" w:cs="Arial"/>
          <w:sz w:val="20"/>
          <w:szCs w:val="20"/>
          <w:lang w:eastAsia="es-BO"/>
        </w:rPr>
        <w:t> </w:t>
      </w:r>
      <w:r w:rsidR="00434768" w:rsidRPr="00C7125E">
        <w:rPr>
          <w:rFonts w:ascii="Arial" w:eastAsia="Times New Roman" w:hAnsi="Arial" w:cs="Arial"/>
          <w:b/>
          <w:bCs/>
          <w:sz w:val="24"/>
          <w:szCs w:val="24"/>
          <w:lang w:eastAsia="es-ES"/>
        </w:rPr>
        <w:t>Los Principales Marcadores Tumorales empleados en la práctica diaria pueden verse en la siguiente tabla:</w:t>
      </w:r>
    </w:p>
    <w:tbl>
      <w:tblPr>
        <w:tblW w:w="9069" w:type="dxa"/>
        <w:tblBorders>
          <w:top w:val="outset" w:sz="12" w:space="0" w:color="auto"/>
          <w:left w:val="outset" w:sz="12" w:space="0" w:color="auto"/>
          <w:bottom w:val="outset" w:sz="12" w:space="0" w:color="auto"/>
          <w:right w:val="outset" w:sz="12" w:space="0" w:color="auto"/>
        </w:tblBorders>
        <w:tblCellMar>
          <w:left w:w="0" w:type="dxa"/>
          <w:right w:w="0" w:type="dxa"/>
        </w:tblCellMar>
        <w:tblLook w:val="04A0" w:firstRow="1" w:lastRow="0" w:firstColumn="1" w:lastColumn="0" w:noHBand="0" w:noVBand="1"/>
      </w:tblPr>
      <w:tblGrid>
        <w:gridCol w:w="3127"/>
        <w:gridCol w:w="2551"/>
        <w:gridCol w:w="3391"/>
      </w:tblGrid>
      <w:tr w:rsidR="00C7125E" w:rsidRPr="00C7125E" w:rsidTr="001A1AC9">
        <w:trPr>
          <w:trHeight w:val="581"/>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b/>
                <w:bCs/>
                <w:kern w:val="24"/>
                <w:lang w:val="en-GB" w:eastAsia="es-ES"/>
              </w:rPr>
              <w:t>Marcador</w:t>
            </w:r>
            <w:proofErr w:type="spellEnd"/>
            <w:r w:rsidRPr="00C7125E">
              <w:rPr>
                <w:rFonts w:ascii="Arial" w:eastAsia="Times New Roman" w:hAnsi="Arial" w:cs="Arial"/>
                <w:b/>
                <w:bCs/>
                <w:kern w:val="24"/>
                <w:lang w:val="en-GB" w:eastAsia="es-ES"/>
              </w:rPr>
              <w:t xml:space="preserve"> </w:t>
            </w:r>
            <w:proofErr w:type="spellStart"/>
            <w:r w:rsidRPr="00C7125E">
              <w:rPr>
                <w:rFonts w:ascii="Arial" w:eastAsia="Times New Roman" w:hAnsi="Arial" w:cs="Arial"/>
                <w:b/>
                <w:bCs/>
                <w:kern w:val="24"/>
                <w:lang w:val="en-GB" w:eastAsia="es-ES"/>
              </w:rPr>
              <w:t>Tumoral</w:t>
            </w:r>
            <w:proofErr w:type="spellEnd"/>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r w:rsidRPr="00C7125E">
              <w:rPr>
                <w:rFonts w:ascii="Arial" w:eastAsia="Times New Roman" w:hAnsi="Arial" w:cs="Arial"/>
                <w:b/>
                <w:bCs/>
                <w:kern w:val="24"/>
                <w:lang w:val="en-GB" w:eastAsia="es-ES"/>
              </w:rPr>
              <w:t xml:space="preserve">Principal </w:t>
            </w:r>
            <w:proofErr w:type="spellStart"/>
            <w:r w:rsidRPr="00C7125E">
              <w:rPr>
                <w:rFonts w:ascii="Arial" w:eastAsia="Times New Roman" w:hAnsi="Arial" w:cs="Arial"/>
                <w:b/>
                <w:bCs/>
                <w:kern w:val="24"/>
                <w:lang w:val="en-GB" w:eastAsia="es-ES"/>
              </w:rPr>
              <w:t>tumor</w:t>
            </w:r>
            <w:proofErr w:type="spellEnd"/>
            <w:r w:rsidRPr="00C7125E">
              <w:rPr>
                <w:rFonts w:ascii="Arial" w:eastAsia="Times New Roman" w:hAnsi="Arial" w:cs="Arial"/>
                <w:b/>
                <w:bCs/>
                <w:kern w:val="24"/>
                <w:lang w:val="en-GB" w:eastAsia="es-ES"/>
              </w:rPr>
              <w:t xml:space="preserve"> </w:t>
            </w:r>
            <w:proofErr w:type="spellStart"/>
            <w:r w:rsidRPr="00C7125E">
              <w:rPr>
                <w:rFonts w:ascii="Arial" w:eastAsia="Times New Roman" w:hAnsi="Arial" w:cs="Arial"/>
                <w:b/>
                <w:bCs/>
                <w:kern w:val="24"/>
                <w:lang w:val="en-GB" w:eastAsia="es-ES"/>
              </w:rPr>
              <w:t>asociado</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b/>
                <w:bCs/>
                <w:kern w:val="24"/>
                <w:shd w:val="clear" w:color="auto" w:fill="FFFFFF"/>
                <w:lang w:val="en-GB" w:eastAsia="es-ES"/>
              </w:rPr>
              <w:t>Utilidad</w:t>
            </w:r>
            <w:proofErr w:type="spellEnd"/>
            <w:r w:rsidRPr="00C7125E">
              <w:rPr>
                <w:rFonts w:ascii="Arial" w:eastAsia="Times New Roman" w:hAnsi="Arial" w:cs="Arial"/>
                <w:b/>
                <w:bCs/>
                <w:kern w:val="24"/>
                <w:shd w:val="clear" w:color="auto" w:fill="FFFFFF"/>
                <w:lang w:val="en-GB" w:eastAsia="es-ES"/>
              </w:rPr>
              <w:t xml:space="preserve"> </w:t>
            </w:r>
            <w:proofErr w:type="spellStart"/>
            <w:r w:rsidRPr="00C7125E">
              <w:rPr>
                <w:rFonts w:ascii="Arial" w:eastAsia="Times New Roman" w:hAnsi="Arial" w:cs="Arial"/>
                <w:b/>
                <w:bCs/>
                <w:kern w:val="24"/>
                <w:shd w:val="clear" w:color="auto" w:fill="FFFFFF"/>
                <w:lang w:val="en-GB" w:eastAsia="es-ES"/>
              </w:rPr>
              <w:t>Clínica</w:t>
            </w:r>
            <w:proofErr w:type="spellEnd"/>
          </w:p>
        </w:tc>
      </w:tr>
      <w:tr w:rsidR="00C7125E" w:rsidRPr="00C7125E" w:rsidTr="001A1AC9">
        <w:trPr>
          <w:trHeight w:val="1453"/>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Antígeno Prostático Específico (PSA)</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próstata</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eastAsia="es-ES"/>
              </w:rPr>
              <w:t>Screening</w:t>
            </w:r>
            <w:proofErr w:type="spellEnd"/>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Seguimiento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Valoración de la efectividad del tratamiento en la enfermedad avanzada</w:t>
            </w:r>
          </w:p>
        </w:tc>
      </w:tr>
      <w:tr w:rsidR="00C7125E" w:rsidRPr="00C7125E" w:rsidTr="001A1AC9">
        <w:trPr>
          <w:trHeight w:val="872"/>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CA 125</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ovario</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Valoración de respuesta al tratamiento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Detección de recurrencia</w:t>
            </w:r>
          </w:p>
        </w:tc>
      </w:tr>
      <w:tr w:rsidR="00C7125E" w:rsidRPr="00C7125E" w:rsidTr="001A1AC9">
        <w:trPr>
          <w:trHeight w:val="1695"/>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Antígeno </w:t>
            </w:r>
            <w:proofErr w:type="spellStart"/>
            <w:r w:rsidRPr="00C7125E">
              <w:rPr>
                <w:rFonts w:ascii="Arial" w:eastAsia="Times New Roman" w:hAnsi="Arial" w:cs="Arial"/>
                <w:kern w:val="24"/>
                <w:lang w:eastAsia="es-ES"/>
              </w:rPr>
              <w:t>Carcinoembrionario</w:t>
            </w:r>
            <w:proofErr w:type="spellEnd"/>
            <w:r w:rsidRPr="00C7125E">
              <w:rPr>
                <w:rFonts w:ascii="Arial" w:eastAsia="Times New Roman" w:hAnsi="Arial" w:cs="Arial"/>
                <w:kern w:val="24"/>
                <w:lang w:eastAsia="es-ES"/>
              </w:rPr>
              <w:t xml:space="preserve"> (CEA)</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r w:rsidRPr="00C7125E">
              <w:rPr>
                <w:rFonts w:ascii="Arial" w:eastAsia="Times New Roman" w:hAnsi="Arial" w:cs="Arial"/>
                <w:kern w:val="24"/>
                <w:lang w:val="en-GB" w:eastAsia="es-ES"/>
              </w:rPr>
              <w:t xml:space="preserve">Cancer </w:t>
            </w:r>
            <w:proofErr w:type="spellStart"/>
            <w:r w:rsidRPr="00C7125E">
              <w:rPr>
                <w:rFonts w:ascii="Arial" w:eastAsia="Times New Roman" w:hAnsi="Arial" w:cs="Arial"/>
                <w:kern w:val="24"/>
                <w:lang w:val="en-GB" w:eastAsia="es-ES"/>
              </w:rPr>
              <w:t>colorrectal</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Valor orientativo en el </w:t>
            </w:r>
            <w:proofErr w:type="spellStart"/>
            <w:r w:rsidRPr="00C7125E">
              <w:rPr>
                <w:rFonts w:ascii="Arial" w:eastAsia="Times New Roman" w:hAnsi="Arial" w:cs="Arial"/>
                <w:kern w:val="24"/>
                <w:lang w:eastAsia="es-ES"/>
              </w:rPr>
              <w:t>screening</w:t>
            </w:r>
            <w:proofErr w:type="spellEnd"/>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Planificación del tratamiento postquirúrgico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Monitorización del tratamiento en enfermedad </w:t>
            </w:r>
            <w:proofErr w:type="spellStart"/>
            <w:r w:rsidRPr="00C7125E">
              <w:rPr>
                <w:rFonts w:ascii="Arial" w:eastAsia="Times New Roman" w:hAnsi="Arial" w:cs="Arial"/>
                <w:kern w:val="24"/>
                <w:lang w:eastAsia="es-ES"/>
              </w:rPr>
              <w:t>metastásica</w:t>
            </w:r>
            <w:proofErr w:type="spellEnd"/>
          </w:p>
        </w:tc>
      </w:tr>
      <w:tr w:rsidR="00C7125E" w:rsidRPr="00C7125E" w:rsidTr="001A1AC9">
        <w:trPr>
          <w:trHeight w:val="1162"/>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eastAsia="es-ES"/>
              </w:rPr>
              <w:t>Alfafetoproteína</w:t>
            </w:r>
            <w:proofErr w:type="spellEnd"/>
            <w:r w:rsidRPr="00C7125E">
              <w:rPr>
                <w:rFonts w:ascii="Arial" w:eastAsia="Times New Roman" w:hAnsi="Arial" w:cs="Arial"/>
                <w:kern w:val="24"/>
                <w:lang w:eastAsia="es-ES"/>
              </w:rPr>
              <w:t xml:space="preserve"> (AFP)</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r w:rsidRPr="00C7125E">
              <w:rPr>
                <w:rFonts w:ascii="Arial" w:eastAsia="Times New Roman" w:hAnsi="Arial" w:cs="Arial"/>
                <w:kern w:val="24"/>
                <w:lang w:val="en-GB" w:eastAsia="es-ES"/>
              </w:rPr>
              <w:t xml:space="preserve">Carcinoma </w:t>
            </w:r>
            <w:proofErr w:type="spellStart"/>
            <w:r w:rsidRPr="00C7125E">
              <w:rPr>
                <w:rFonts w:ascii="Arial" w:eastAsia="Times New Roman" w:hAnsi="Arial" w:cs="Arial"/>
                <w:kern w:val="24"/>
                <w:lang w:val="en-GB" w:eastAsia="es-ES"/>
              </w:rPr>
              <w:t>hepatocelular</w:t>
            </w:r>
            <w:proofErr w:type="spellEnd"/>
          </w:p>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Tumores</w:t>
            </w:r>
            <w:proofErr w:type="spellEnd"/>
            <w:r w:rsidRPr="00C7125E">
              <w:rPr>
                <w:rFonts w:ascii="Arial" w:eastAsia="Times New Roman" w:hAnsi="Arial" w:cs="Arial"/>
                <w:kern w:val="24"/>
                <w:lang w:val="en-GB" w:eastAsia="es-ES"/>
              </w:rPr>
              <w:t xml:space="preserve"> </w:t>
            </w:r>
            <w:proofErr w:type="spellStart"/>
            <w:r w:rsidRPr="00C7125E">
              <w:rPr>
                <w:rFonts w:ascii="Arial" w:eastAsia="Times New Roman" w:hAnsi="Arial" w:cs="Arial"/>
                <w:kern w:val="24"/>
                <w:lang w:val="en-GB" w:eastAsia="es-ES"/>
              </w:rPr>
              <w:t>germinales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eastAsia="es-ES"/>
              </w:rPr>
              <w:t>Screening</w:t>
            </w:r>
            <w:proofErr w:type="spellEnd"/>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Seguimiento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Valoración de la eficacia terapéutica</w:t>
            </w:r>
          </w:p>
        </w:tc>
      </w:tr>
      <w:tr w:rsidR="00C7125E" w:rsidRPr="00C7125E" w:rsidTr="001A1AC9">
        <w:trPr>
          <w:trHeight w:val="1453"/>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Gonadotropina </w:t>
            </w:r>
            <w:proofErr w:type="spellStart"/>
            <w:r w:rsidRPr="00C7125E">
              <w:rPr>
                <w:rFonts w:ascii="Arial" w:eastAsia="Times New Roman" w:hAnsi="Arial" w:cs="Arial"/>
                <w:kern w:val="24"/>
                <w:lang w:eastAsia="es-ES"/>
              </w:rPr>
              <w:t>Coriónica</w:t>
            </w:r>
            <w:proofErr w:type="spellEnd"/>
            <w:r w:rsidRPr="00C7125E">
              <w:rPr>
                <w:rFonts w:ascii="Arial" w:eastAsia="Times New Roman" w:hAnsi="Arial" w:cs="Arial"/>
                <w:kern w:val="24"/>
                <w:lang w:eastAsia="es-ES"/>
              </w:rPr>
              <w:t xml:space="preserve"> Humana (HCG)</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Tumores</w:t>
            </w:r>
            <w:proofErr w:type="spellEnd"/>
            <w:r w:rsidRPr="00C7125E">
              <w:rPr>
                <w:rFonts w:ascii="Arial" w:eastAsia="Times New Roman" w:hAnsi="Arial" w:cs="Arial"/>
                <w:kern w:val="24"/>
                <w:lang w:val="en-GB" w:eastAsia="es-ES"/>
              </w:rPr>
              <w:t xml:space="preserve"> </w:t>
            </w:r>
            <w:proofErr w:type="spellStart"/>
            <w:r w:rsidRPr="00C7125E">
              <w:rPr>
                <w:rFonts w:ascii="Arial" w:eastAsia="Times New Roman" w:hAnsi="Arial" w:cs="Arial"/>
                <w:kern w:val="24"/>
                <w:lang w:val="en-GB" w:eastAsia="es-ES"/>
              </w:rPr>
              <w:t>germinales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Diagnóstico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Seguimiento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Evaluación de la eficacia del tratamiento en enfermedad </w:t>
            </w:r>
            <w:proofErr w:type="spellStart"/>
            <w:r w:rsidRPr="00C7125E">
              <w:rPr>
                <w:rFonts w:ascii="Arial" w:eastAsia="Times New Roman" w:hAnsi="Arial" w:cs="Arial"/>
                <w:kern w:val="24"/>
                <w:lang w:eastAsia="es-ES"/>
              </w:rPr>
              <w:t>metastásica</w:t>
            </w:r>
            <w:proofErr w:type="spellEnd"/>
          </w:p>
        </w:tc>
      </w:tr>
      <w:tr w:rsidR="00C7125E" w:rsidRPr="00C7125E" w:rsidTr="001A1AC9">
        <w:trPr>
          <w:trHeight w:val="1744"/>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lastRenderedPageBreak/>
              <w:t>CA 19-9</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páncreas</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Diagnóstico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Selección de pacientes para resección quirúrgica</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Pronóstico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Evaluación de la respuesta al tratamiento</w:t>
            </w:r>
          </w:p>
        </w:tc>
      </w:tr>
      <w:tr w:rsidR="00C7125E" w:rsidRPr="00C7125E" w:rsidTr="001A1AC9">
        <w:trPr>
          <w:trHeight w:val="1162"/>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CA 15-3</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de mama</w:t>
            </w:r>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Seguimiento</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Valoración de la eficacia terapéutica en enfermedad avanzada</w:t>
            </w:r>
          </w:p>
        </w:tc>
      </w:tr>
      <w:tr w:rsidR="00C7125E" w:rsidRPr="00C7125E" w:rsidTr="001A1AC9">
        <w:trPr>
          <w:trHeight w:val="581"/>
        </w:trPr>
        <w:tc>
          <w:tcPr>
            <w:tcW w:w="3127"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Calcitonina</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r w:rsidRPr="00C7125E">
              <w:rPr>
                <w:rFonts w:ascii="Arial" w:eastAsia="Times New Roman" w:hAnsi="Arial" w:cs="Arial"/>
                <w:kern w:val="24"/>
                <w:lang w:val="en-GB" w:eastAsia="es-ES"/>
              </w:rPr>
              <w:t xml:space="preserve">Carcinoma </w:t>
            </w:r>
            <w:proofErr w:type="spellStart"/>
            <w:r w:rsidRPr="00C7125E">
              <w:rPr>
                <w:rFonts w:ascii="Arial" w:eastAsia="Times New Roman" w:hAnsi="Arial" w:cs="Arial"/>
                <w:kern w:val="24"/>
                <w:lang w:val="en-GB" w:eastAsia="es-ES"/>
              </w:rPr>
              <w:t>tiroideo</w:t>
            </w:r>
            <w:proofErr w:type="spellEnd"/>
            <w:r w:rsidRPr="00C7125E">
              <w:rPr>
                <w:rFonts w:ascii="Arial" w:eastAsia="Times New Roman" w:hAnsi="Arial" w:cs="Arial"/>
                <w:kern w:val="24"/>
                <w:lang w:val="en-GB" w:eastAsia="es-ES"/>
              </w:rPr>
              <w:t xml:space="preserve"> </w:t>
            </w:r>
            <w:proofErr w:type="spellStart"/>
            <w:r w:rsidRPr="00C7125E">
              <w:rPr>
                <w:rFonts w:ascii="Arial" w:eastAsia="Times New Roman" w:hAnsi="Arial" w:cs="Arial"/>
                <w:kern w:val="24"/>
                <w:lang w:val="en-GB" w:eastAsia="es-ES"/>
              </w:rPr>
              <w:t>medular</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val="en-GB" w:eastAsia="es-ES"/>
              </w:rPr>
              <w:t>Detección</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recurrencia</w:t>
            </w:r>
            <w:proofErr w:type="spellEnd"/>
            <w:r w:rsidRPr="00C7125E">
              <w:rPr>
                <w:rFonts w:ascii="Arial" w:eastAsia="Times New Roman" w:hAnsi="Arial" w:cs="Arial"/>
                <w:kern w:val="24"/>
                <w:lang w:eastAsia="es-ES"/>
              </w:rPr>
              <w:t xml:space="preserve"> </w:t>
            </w:r>
          </w:p>
        </w:tc>
      </w:tr>
      <w:tr w:rsidR="00C7125E" w:rsidRPr="00C7125E" w:rsidTr="001A1AC9">
        <w:trPr>
          <w:trHeight w:val="872"/>
        </w:trPr>
        <w:tc>
          <w:tcPr>
            <w:tcW w:w="3127" w:type="dxa"/>
            <w:vMerge w:val="restart"/>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eastAsia="es-ES"/>
              </w:rPr>
              <w:t>Enolasa</w:t>
            </w:r>
            <w:proofErr w:type="spellEnd"/>
            <w:r w:rsidRPr="00C7125E">
              <w:rPr>
                <w:rFonts w:ascii="Arial" w:eastAsia="Times New Roman" w:hAnsi="Arial" w:cs="Arial"/>
                <w:kern w:val="24"/>
                <w:lang w:eastAsia="es-ES"/>
              </w:rPr>
              <w:t xml:space="preserve"> </w:t>
            </w:r>
            <w:proofErr w:type="spellStart"/>
            <w:r w:rsidRPr="00C7125E">
              <w:rPr>
                <w:rFonts w:ascii="Arial" w:eastAsia="Times New Roman" w:hAnsi="Arial" w:cs="Arial"/>
                <w:kern w:val="24"/>
                <w:lang w:eastAsia="es-ES"/>
              </w:rPr>
              <w:t>Neuro</w:t>
            </w:r>
            <w:proofErr w:type="spellEnd"/>
            <w:r w:rsidRPr="00C7125E">
              <w:rPr>
                <w:rFonts w:ascii="Arial" w:eastAsia="Times New Roman" w:hAnsi="Arial" w:cs="Arial"/>
                <w:kern w:val="24"/>
                <w:lang w:eastAsia="es-ES"/>
              </w:rPr>
              <w:t>-Específica</w:t>
            </w: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w:t>
            </w:r>
            <w:proofErr w:type="spellStart"/>
            <w:r w:rsidRPr="00C7125E">
              <w:rPr>
                <w:rFonts w:ascii="Arial" w:eastAsia="Times New Roman" w:hAnsi="Arial" w:cs="Arial"/>
                <w:kern w:val="24"/>
                <w:lang w:val="en-GB" w:eastAsia="es-ES"/>
              </w:rPr>
              <w:t>Microcítico</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Pulmón</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val="en-GB" w:eastAsia="es-ES"/>
              </w:rPr>
              <w:t>Screening</w:t>
            </w:r>
            <w:r w:rsidRPr="00C7125E">
              <w:rPr>
                <w:rFonts w:ascii="Arial" w:eastAsia="Times New Roman" w:hAnsi="Arial" w:cs="Arial"/>
                <w:kern w:val="24"/>
                <w:lang w:eastAsia="es-ES"/>
              </w:rPr>
              <w:t xml:space="preserve"> </w:t>
            </w:r>
          </w:p>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val="en-GB" w:eastAsia="es-ES"/>
              </w:rPr>
              <w:t>Valor</w:t>
            </w:r>
            <w:proofErr w:type="spellEnd"/>
            <w:r w:rsidRPr="00C7125E">
              <w:rPr>
                <w:rFonts w:ascii="Arial" w:eastAsia="Times New Roman" w:hAnsi="Arial" w:cs="Arial"/>
                <w:kern w:val="24"/>
                <w:lang w:val="en-GB" w:eastAsia="es-ES"/>
              </w:rPr>
              <w:t xml:space="preserve"> </w:t>
            </w:r>
            <w:proofErr w:type="spellStart"/>
            <w:r w:rsidRPr="00C7125E">
              <w:rPr>
                <w:rFonts w:ascii="Arial" w:eastAsia="Times New Roman" w:hAnsi="Arial" w:cs="Arial"/>
                <w:kern w:val="24"/>
                <w:lang w:val="en-GB" w:eastAsia="es-ES"/>
              </w:rPr>
              <w:t>pronóstico</w:t>
            </w:r>
            <w:proofErr w:type="spellEnd"/>
            <w:r w:rsidRPr="00C7125E">
              <w:rPr>
                <w:rFonts w:ascii="Arial" w:eastAsia="Times New Roman" w:hAnsi="Arial" w:cs="Arial"/>
                <w:kern w:val="24"/>
                <w:lang w:eastAsia="es-ES"/>
              </w:rPr>
              <w:t xml:space="preserve"> </w:t>
            </w:r>
          </w:p>
          <w:p w:rsidR="00434768" w:rsidRPr="00C7125E" w:rsidRDefault="00434768" w:rsidP="001A1AC9">
            <w:pPr>
              <w:spacing w:after="0" w:line="240" w:lineRule="auto"/>
              <w:jc w:val="both"/>
              <w:rPr>
                <w:rFonts w:ascii="Arial" w:eastAsia="Times New Roman" w:hAnsi="Arial" w:cs="Arial"/>
                <w:lang w:eastAsia="es-ES"/>
              </w:rPr>
            </w:pPr>
            <w:proofErr w:type="spellStart"/>
            <w:r w:rsidRPr="00C7125E">
              <w:rPr>
                <w:rFonts w:ascii="Arial" w:eastAsia="Times New Roman" w:hAnsi="Arial" w:cs="Arial"/>
                <w:kern w:val="24"/>
                <w:lang w:val="en-GB" w:eastAsia="es-ES"/>
              </w:rPr>
              <w:t>Seguimiento</w:t>
            </w:r>
            <w:proofErr w:type="spellEnd"/>
            <w:r w:rsidRPr="00C7125E">
              <w:rPr>
                <w:rFonts w:ascii="Arial" w:eastAsia="Times New Roman" w:hAnsi="Arial" w:cs="Arial"/>
                <w:kern w:val="24"/>
                <w:lang w:eastAsia="es-ES"/>
              </w:rPr>
              <w:t xml:space="preserve"> </w:t>
            </w:r>
          </w:p>
        </w:tc>
      </w:tr>
      <w:tr w:rsidR="00C7125E" w:rsidRPr="00C7125E" w:rsidTr="001A1AC9">
        <w:trPr>
          <w:trHeight w:val="353"/>
        </w:trPr>
        <w:tc>
          <w:tcPr>
            <w:tcW w:w="3127" w:type="dxa"/>
            <w:vMerge/>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Cáncer</w:t>
            </w:r>
            <w:proofErr w:type="spellEnd"/>
            <w:r w:rsidRPr="00C7125E">
              <w:rPr>
                <w:rFonts w:ascii="Arial" w:eastAsia="Times New Roman" w:hAnsi="Arial" w:cs="Arial"/>
                <w:kern w:val="24"/>
                <w:lang w:val="en-GB" w:eastAsia="es-ES"/>
              </w:rPr>
              <w:t xml:space="preserve"> de </w:t>
            </w:r>
            <w:proofErr w:type="spellStart"/>
            <w:r w:rsidRPr="00C7125E">
              <w:rPr>
                <w:rFonts w:ascii="Arial" w:eastAsia="Times New Roman" w:hAnsi="Arial" w:cs="Arial"/>
                <w:kern w:val="24"/>
                <w:lang w:val="en-GB" w:eastAsia="es-ES"/>
              </w:rPr>
              <w:t>Pulmón</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Predictor de respuesta a quimioterapia </w:t>
            </w:r>
          </w:p>
        </w:tc>
      </w:tr>
      <w:tr w:rsidR="00C7125E" w:rsidRPr="00C7125E" w:rsidTr="001A1AC9">
        <w:trPr>
          <w:trHeight w:val="353"/>
        </w:trPr>
        <w:tc>
          <w:tcPr>
            <w:tcW w:w="3127" w:type="dxa"/>
            <w:vMerge/>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p>
        </w:tc>
        <w:tc>
          <w:tcPr>
            <w:tcW w:w="255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center"/>
              <w:rPr>
                <w:rFonts w:ascii="Arial" w:eastAsia="Times New Roman" w:hAnsi="Arial" w:cs="Arial"/>
                <w:lang w:eastAsia="es-ES"/>
              </w:rPr>
            </w:pPr>
            <w:proofErr w:type="spellStart"/>
            <w:r w:rsidRPr="00C7125E">
              <w:rPr>
                <w:rFonts w:ascii="Arial" w:eastAsia="Times New Roman" w:hAnsi="Arial" w:cs="Arial"/>
                <w:kern w:val="24"/>
                <w:lang w:val="en-GB" w:eastAsia="es-ES"/>
              </w:rPr>
              <w:t>Neuroblastoma</w:t>
            </w:r>
            <w:proofErr w:type="spellEnd"/>
          </w:p>
        </w:tc>
        <w:tc>
          <w:tcPr>
            <w:tcW w:w="3391" w:type="dxa"/>
            <w:tcBorders>
              <w:top w:val="outset" w:sz="6" w:space="0" w:color="auto"/>
              <w:left w:val="outset" w:sz="6" w:space="0" w:color="auto"/>
              <w:bottom w:val="outset" w:sz="6" w:space="0" w:color="auto"/>
              <w:right w:val="outset" w:sz="6" w:space="0" w:color="auto"/>
            </w:tcBorders>
            <w:vAlign w:val="center"/>
            <w:hideMark/>
          </w:tcPr>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Clasificación en un estadio </w:t>
            </w:r>
          </w:p>
          <w:p w:rsidR="00434768" w:rsidRPr="00C7125E" w:rsidRDefault="00434768" w:rsidP="001A1AC9">
            <w:pPr>
              <w:spacing w:after="0" w:line="240" w:lineRule="auto"/>
              <w:jc w:val="both"/>
              <w:rPr>
                <w:rFonts w:ascii="Arial" w:eastAsia="Times New Roman" w:hAnsi="Arial" w:cs="Arial"/>
                <w:lang w:eastAsia="es-ES"/>
              </w:rPr>
            </w:pPr>
            <w:r w:rsidRPr="00C7125E">
              <w:rPr>
                <w:rFonts w:ascii="Arial" w:eastAsia="Times New Roman" w:hAnsi="Arial" w:cs="Arial"/>
                <w:kern w:val="24"/>
                <w:lang w:eastAsia="es-ES"/>
              </w:rPr>
              <w:t xml:space="preserve">Seguimiento </w:t>
            </w:r>
          </w:p>
        </w:tc>
      </w:tr>
    </w:tbl>
    <w:p w:rsidR="00E559A6" w:rsidRPr="00C7125E" w:rsidRDefault="00434768"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4"/>
          <w:szCs w:val="24"/>
          <w:lang w:eastAsia="es-ES"/>
        </w:rPr>
        <w:t> </w:t>
      </w:r>
    </w:p>
    <w:p w:rsidR="00E559A6" w:rsidRPr="00C7125E" w:rsidRDefault="00E559A6" w:rsidP="00E559A6">
      <w:pPr>
        <w:spacing w:before="161" w:after="161" w:line="240" w:lineRule="auto"/>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t>Marcadores Tumorales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Los marcadores tumorales son sustancias que a menudo pueden descubrirse en cantidades mayores que las normales en la sangre, orina, o tejidos del cuerpo de algunos pacientes con ciertos tipos de cáncer. Los marcadores tumorales son producidos por el propio tumor o por el cuerpo como respuesta a la presencia de cáncer o ciertas condiciones benignas (no cancerosas). Este prontuario describe algunos marcadores tumorales encontrados en la sangre.</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La medición del nivel de los marcadores tumorales puede ser útil, cuando se utiliza junto con radiografías y otras pruebas, para la detección y el diagnóstico de algunos tipos de cáncer. Sin embargo, la medición de los niveles de los marcadores tumorales por sí sola no es suficiente para diagnosticar un cáncer por las siguientes razones:</w:t>
      </w:r>
    </w:p>
    <w:p w:rsidR="00E559A6" w:rsidRPr="00C7125E" w:rsidRDefault="00E559A6" w:rsidP="00E559A6">
      <w:pPr>
        <w:numPr>
          <w:ilvl w:val="0"/>
          <w:numId w:val="2"/>
        </w:numPr>
        <w:spacing w:before="100" w:beforeAutospacing="1" w:after="100" w:afterAutospacing="1"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El nivel de un marcador tumoral puede elevarse en personas con condiciones benignas.</w:t>
      </w:r>
    </w:p>
    <w:p w:rsidR="00E559A6" w:rsidRPr="00C7125E" w:rsidRDefault="00E559A6" w:rsidP="00E559A6">
      <w:pPr>
        <w:numPr>
          <w:ilvl w:val="0"/>
          <w:numId w:val="2"/>
        </w:numPr>
        <w:spacing w:before="100" w:beforeAutospacing="1" w:after="100" w:afterAutospacing="1"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El nivel de un marcador tumoral no se eleva en todas las personas con cáncer, especialmente en las etapas tempranas de la enfermedad.</w:t>
      </w:r>
    </w:p>
    <w:p w:rsidR="00E559A6" w:rsidRPr="00C7125E" w:rsidRDefault="00E559A6" w:rsidP="00E559A6">
      <w:pPr>
        <w:numPr>
          <w:ilvl w:val="0"/>
          <w:numId w:val="2"/>
        </w:numPr>
        <w:spacing w:before="100" w:beforeAutospacing="1" w:after="100" w:afterAutospacing="1"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Muchos marcadores tumorales no son específicos a un tipo particular de cáncer; el nivel de un marcador tumoral puede aumentar como consecuencia de más de un tipo de cáncer.</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Además del papel que desempeñan en el diagnóstico de cáncer, los niveles de algunos marcadores tumorales son medidos antes del tratamiento para ayudar a los médicos a programar la terapia apropiada. En algunos tipos de cáncer, los niveles del marcador tumoral reflejan la extensión (etapa) de la enfermedad y pueden ser útiles al predecir qué tan bien responderá la enfermedad al tratamiento. Los niveles del marcador tumoral también pueden medirse durante el tratamiento para supervisar la respuesta del paciente al tratamiento. Una disminución o restitución a lo normal del nivel de un marcador tumoral puede indicar que el cáncer ha reaccionado </w:t>
      </w:r>
      <w:r w:rsidRPr="00C7125E">
        <w:rPr>
          <w:rFonts w:ascii="Arial" w:eastAsia="Times New Roman" w:hAnsi="Arial" w:cs="Arial"/>
          <w:sz w:val="20"/>
          <w:szCs w:val="20"/>
          <w:lang w:eastAsia="es-BO"/>
        </w:rPr>
        <w:lastRenderedPageBreak/>
        <w:t>favorablemente a la terapia. Si el nivel del marcador tumoral aumenta, puede indicar que el cáncer está creciendo. Finalmente, se pueden medir los niveles del marcador tumoral después de que finaliza el tratamiento como parte del cuidado de observación para controlar la recaída.</w:t>
      </w:r>
    </w:p>
    <w:p w:rsidR="00781C38"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En la actualidad, el uso principal de los marcadores tumorales es evaluar la reacción del cáncer al tratamiento y controlar la recaída. Los científicos continúan estudiando el uso de estos marcadores tumorales, así como su papel potencial en la detección y diagnóstico temprano del cáncer. El médico puede explicarle al paciente el papel que juegan los marcadores tumorales en la detección, diagnóstico o tratamiento para un individuo en particular. </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A continuación se describen algunos de los marcadores tumorales que se miden con más frecuencia.</w:t>
      </w:r>
    </w:p>
    <w:p w:rsidR="00E559A6" w:rsidRPr="00C7125E" w:rsidRDefault="00E559A6" w:rsidP="00781C38">
      <w:pPr>
        <w:pStyle w:val="Prrafodelista"/>
        <w:numPr>
          <w:ilvl w:val="0"/>
          <w:numId w:val="4"/>
        </w:numPr>
        <w:spacing w:before="240" w:after="240" w:line="252" w:lineRule="atLeast"/>
        <w:jc w:val="both"/>
        <w:rPr>
          <w:rFonts w:ascii="Arial" w:eastAsia="Times New Roman" w:hAnsi="Arial" w:cs="Arial"/>
          <w:caps/>
          <w:sz w:val="20"/>
          <w:szCs w:val="20"/>
          <w:lang w:eastAsia="es-BO"/>
        </w:rPr>
      </w:pPr>
      <w:r w:rsidRPr="00C7125E">
        <w:rPr>
          <w:rFonts w:ascii="Arial" w:eastAsia="Times New Roman" w:hAnsi="Arial" w:cs="Arial"/>
          <w:b/>
          <w:bCs/>
          <w:caps/>
          <w:sz w:val="20"/>
          <w:szCs w:val="20"/>
          <w:lang w:eastAsia="es-BO"/>
        </w:rPr>
        <w:t>Antígeno prostático específico. PSA.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El antígeno prostático específico (PSA, por sus siglas en inglés) está presente en concentraciones bajas en la sangre de todos los varones adultos. Éste es producido tanto por las células normales como anormales de la próstata. Los niveles elevados de antígeno prostático específico pueden encontrarse en la sangre de los hombres con enfermedades benignas de la próstata como, prostatitis (inflamación de la próstata) e hiperplasia prostática benigna (BPH, por sus siglas en inglés), o con un crecimiento maligno (canceroso) en la próstata. Aun cuando el antígeno prostático específico no les permite a los médicos distinguir entre las enfermedades benignas de la próstata (muy comunes en los hombres mayores de edad) y el cáncer, un nivel de antígeno prostático específico elevado puede indicar que son necesarias otras pruebas para determinar si el cáncer está presente.</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Los niveles de antígeno prostático específico han demostrado ser útiles para supervisar la eficacia del tratamiento del cáncer de la próstata, y para controlar la recaída después de que el tratamiento ha terminado. Cuando se usa el PSA para controlar la recaída del cáncer, un solo nivel elevado puede que no sea de mucho valor. Los médicos generalmente buscan una tendencia, la cual se define como un aumento regular en los niveles del antígeno prostático específico </w:t>
      </w:r>
      <w:proofErr w:type="gramStart"/>
      <w:r w:rsidRPr="00C7125E">
        <w:rPr>
          <w:rFonts w:ascii="Arial" w:eastAsia="Times New Roman" w:hAnsi="Arial" w:cs="Arial"/>
          <w:sz w:val="20"/>
          <w:szCs w:val="20"/>
          <w:lang w:eastAsia="es-BO"/>
        </w:rPr>
        <w:t>obtenidas</w:t>
      </w:r>
      <w:proofErr w:type="gramEnd"/>
      <w:r w:rsidRPr="00C7125E">
        <w:rPr>
          <w:rFonts w:ascii="Arial" w:eastAsia="Times New Roman" w:hAnsi="Arial" w:cs="Arial"/>
          <w:sz w:val="20"/>
          <w:szCs w:val="20"/>
          <w:lang w:eastAsia="es-BO"/>
        </w:rPr>
        <w:t xml:space="preserve"> en múltiples pruebas realizadas en un lapso de tiempo, en vez de concentrarse en el resultado elevado de una sola prueba.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Los investigadores están estudiando la importancia del antígeno prostático específico para el examen de detección de cáncer de la próstata (buscar la enfermedad en hombres que no tienen síntomas). En este momento, no se sabe si el utilizar el antígeno prostático específico para la detección del cáncer de la próstata realmente salva vidas. El estudio de Detección Temprana del Cáncer de la Próstata, Pulmón, </w:t>
      </w:r>
      <w:proofErr w:type="spellStart"/>
      <w:r w:rsidRPr="00C7125E">
        <w:rPr>
          <w:rFonts w:ascii="Arial" w:eastAsia="Times New Roman" w:hAnsi="Arial" w:cs="Arial"/>
          <w:sz w:val="20"/>
          <w:szCs w:val="20"/>
          <w:lang w:eastAsia="es-BO"/>
        </w:rPr>
        <w:t>Colorectal</w:t>
      </w:r>
      <w:proofErr w:type="spellEnd"/>
      <w:r w:rsidRPr="00C7125E">
        <w:rPr>
          <w:rFonts w:ascii="Arial" w:eastAsia="Times New Roman" w:hAnsi="Arial" w:cs="Arial"/>
          <w:sz w:val="20"/>
          <w:szCs w:val="20"/>
          <w:lang w:eastAsia="es-BO"/>
        </w:rPr>
        <w:t xml:space="preserve"> y del Ovario, patrocinado por el Instituto Nacional del Cáncer, está diseñado para demostrar si el uso de ciertas pruebas para la detección puede reducir el número de muertes causadas por estos cánceres. En cuanto al cáncer de la próstata, este estudio está tratando de determinar la utilidad de las pruebas regulares de detección utilizando exámenes rectales digitales y chequeos del nivel de antígeno prostático específico en los hombres entre 55 y 74 años de edad.</w:t>
      </w:r>
    </w:p>
    <w:p w:rsidR="00E559A6"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Los investigadores también están estudiando nuevas maneras de aumentar la exactitud de las pruebas del antígeno prostático específico. El mejorar la exactitud de las pruebas del PSA puede ayudar a los médicos a distinguir una hiperplasia prostática benigna de un cáncer de la próstata y así evitar procedimientos adicionales innecesarios, como las biopsias.</w:t>
      </w:r>
    </w:p>
    <w:p w:rsidR="00C7125E" w:rsidRPr="00C7125E" w:rsidRDefault="00C7125E" w:rsidP="00E559A6">
      <w:pPr>
        <w:spacing w:before="240" w:after="240" w:line="252" w:lineRule="atLeast"/>
        <w:jc w:val="both"/>
        <w:rPr>
          <w:rFonts w:ascii="Arial" w:eastAsia="Times New Roman" w:hAnsi="Arial" w:cs="Arial"/>
          <w:sz w:val="20"/>
          <w:szCs w:val="20"/>
          <w:lang w:eastAsia="es-BO"/>
        </w:rPr>
      </w:pPr>
    </w:p>
    <w:p w:rsidR="00E559A6" w:rsidRPr="00C7125E" w:rsidRDefault="00E559A6" w:rsidP="00781C38">
      <w:pPr>
        <w:pStyle w:val="Prrafodelista"/>
        <w:numPr>
          <w:ilvl w:val="0"/>
          <w:numId w:val="4"/>
        </w:numPr>
        <w:spacing w:before="240" w:after="240" w:line="252" w:lineRule="atLeast"/>
        <w:jc w:val="both"/>
        <w:rPr>
          <w:rFonts w:ascii="Arial" w:eastAsia="Times New Roman" w:hAnsi="Arial" w:cs="Arial"/>
          <w:caps/>
          <w:sz w:val="20"/>
          <w:szCs w:val="20"/>
          <w:lang w:eastAsia="es-BO"/>
        </w:rPr>
      </w:pPr>
      <w:r w:rsidRPr="00C7125E">
        <w:rPr>
          <w:rFonts w:ascii="Arial" w:eastAsia="Times New Roman" w:hAnsi="Arial" w:cs="Arial"/>
          <w:b/>
          <w:bCs/>
          <w:caps/>
          <w:sz w:val="20"/>
          <w:szCs w:val="20"/>
          <w:lang w:eastAsia="es-BO"/>
        </w:rPr>
        <w:lastRenderedPageBreak/>
        <w:t>Fosfatasa Ácida Prostática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La fosfatasa ácida prostática (PAP, por sus siglas en inglés) normalmente sólo se presenta en cantidades pequeñas en la sangre, pero puede encontrarse en niveles más altos en algunos pacientes con cáncer de la próstata, sobre todo si el cáncer se ha extendido más allá de esta. Sin embargo, los niveles de la sangre también pueden elevarse en pacientes que tienen ciertas enfermedades benignas de la próstata o cuyo cáncer está en la fase temprana.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Aun cuando originalmente se determinó que la fosfatasa ácida prostática era producida por la próstata, los niveles elevados de PAP han sido subsecuentemente relacionados con el cáncer testicular, leucemia, y el linfoma no-</w:t>
      </w:r>
      <w:proofErr w:type="spellStart"/>
      <w:r w:rsidRPr="00C7125E">
        <w:rPr>
          <w:rFonts w:ascii="Arial" w:eastAsia="Times New Roman" w:hAnsi="Arial" w:cs="Arial"/>
          <w:sz w:val="20"/>
          <w:szCs w:val="20"/>
          <w:lang w:eastAsia="es-BO"/>
        </w:rPr>
        <w:t>Hodgkin</w:t>
      </w:r>
      <w:proofErr w:type="spellEnd"/>
      <w:r w:rsidRPr="00C7125E">
        <w:rPr>
          <w:rFonts w:ascii="Arial" w:eastAsia="Times New Roman" w:hAnsi="Arial" w:cs="Arial"/>
          <w:sz w:val="20"/>
          <w:szCs w:val="20"/>
          <w:lang w:eastAsia="es-BO"/>
        </w:rPr>
        <w:t xml:space="preserve">, así como con trastornos no cancerosos tales como la enfermedad de </w:t>
      </w:r>
      <w:proofErr w:type="spellStart"/>
      <w:r w:rsidRPr="00C7125E">
        <w:rPr>
          <w:rFonts w:ascii="Arial" w:eastAsia="Times New Roman" w:hAnsi="Arial" w:cs="Arial"/>
          <w:sz w:val="20"/>
          <w:szCs w:val="20"/>
          <w:lang w:eastAsia="es-BO"/>
        </w:rPr>
        <w:t>Gaucher</w:t>
      </w:r>
      <w:proofErr w:type="spellEnd"/>
      <w:r w:rsidRPr="00C7125E">
        <w:rPr>
          <w:rFonts w:ascii="Arial" w:eastAsia="Times New Roman" w:hAnsi="Arial" w:cs="Arial"/>
          <w:sz w:val="20"/>
          <w:szCs w:val="20"/>
          <w:lang w:eastAsia="es-BO"/>
        </w:rPr>
        <w:t xml:space="preserve">, la enfermedad de </w:t>
      </w:r>
      <w:proofErr w:type="spellStart"/>
      <w:r w:rsidRPr="00C7125E">
        <w:rPr>
          <w:rFonts w:ascii="Arial" w:eastAsia="Times New Roman" w:hAnsi="Arial" w:cs="Arial"/>
          <w:sz w:val="20"/>
          <w:szCs w:val="20"/>
          <w:lang w:eastAsia="es-BO"/>
        </w:rPr>
        <w:t>Paget</w:t>
      </w:r>
      <w:proofErr w:type="spellEnd"/>
      <w:r w:rsidRPr="00C7125E">
        <w:rPr>
          <w:rFonts w:ascii="Arial" w:eastAsia="Times New Roman" w:hAnsi="Arial" w:cs="Arial"/>
          <w:sz w:val="20"/>
          <w:szCs w:val="20"/>
          <w:lang w:eastAsia="es-BO"/>
        </w:rPr>
        <w:t>, la osteoporosis, cirrosis del hígado, embolia pulmonar y el hiperparatiroidismo.</w:t>
      </w:r>
    </w:p>
    <w:p w:rsidR="00E559A6" w:rsidRPr="00C7125E" w:rsidRDefault="00E559A6" w:rsidP="005F15CB">
      <w:pPr>
        <w:pStyle w:val="Prrafodelista"/>
        <w:numPr>
          <w:ilvl w:val="0"/>
          <w:numId w:val="4"/>
        </w:numPr>
        <w:spacing w:before="161" w:after="161" w:line="240" w:lineRule="auto"/>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t>ÁCIDO 5-HID ROXIINDOLACÉTICO (5-HIAA) Y SEROTONINA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El ácido 5-hidroxiindolacético es el principal metabolito del catabolismo de la serotonina, a su vez la serotonina deriva del catabolismo del </w:t>
      </w:r>
      <w:proofErr w:type="spellStart"/>
      <w:r w:rsidRPr="00C7125E">
        <w:rPr>
          <w:rFonts w:ascii="Arial" w:eastAsia="Times New Roman" w:hAnsi="Arial" w:cs="Arial"/>
          <w:sz w:val="20"/>
          <w:szCs w:val="20"/>
          <w:lang w:eastAsia="es-BO"/>
        </w:rPr>
        <w:t>triptofano</w:t>
      </w:r>
      <w:proofErr w:type="spellEnd"/>
      <w:r w:rsidRPr="00C7125E">
        <w:rPr>
          <w:rFonts w:ascii="Arial" w:eastAsia="Times New Roman" w:hAnsi="Arial" w:cs="Arial"/>
          <w:sz w:val="20"/>
          <w:szCs w:val="20"/>
          <w:lang w:eastAsia="es-BO"/>
        </w:rPr>
        <w:t xml:space="preserve"> producido por las células </w:t>
      </w:r>
      <w:proofErr w:type="spellStart"/>
      <w:r w:rsidRPr="00C7125E">
        <w:rPr>
          <w:rFonts w:ascii="Arial" w:eastAsia="Times New Roman" w:hAnsi="Arial" w:cs="Arial"/>
          <w:sz w:val="20"/>
          <w:szCs w:val="20"/>
          <w:lang w:eastAsia="es-BO"/>
        </w:rPr>
        <w:t>argentafines</w:t>
      </w:r>
      <w:proofErr w:type="spellEnd"/>
      <w:r w:rsidRPr="00C7125E">
        <w:rPr>
          <w:rFonts w:ascii="Arial" w:eastAsia="Times New Roman" w:hAnsi="Arial" w:cs="Arial"/>
          <w:sz w:val="20"/>
          <w:szCs w:val="20"/>
          <w:lang w:eastAsia="es-BO"/>
        </w:rPr>
        <w:t xml:space="preserve"> de la mucosa del tracto gastrointestinal. Para análisis en el laboratorio debe eliminarse por tres días ante de toma de muestra el té, el café, aguacate, berenjenas, piña, tomate, etc. todos estos alimentos ricos en serotonina.</w:t>
      </w:r>
      <w:r w:rsidRPr="00C7125E">
        <w:rPr>
          <w:rFonts w:ascii="Arial" w:eastAsia="Times New Roman" w:hAnsi="Arial" w:cs="Arial"/>
          <w:sz w:val="20"/>
          <w:szCs w:val="20"/>
          <w:lang w:eastAsia="es-BO"/>
        </w:rPr>
        <w:br/>
        <w:t>El 5-HIAA es un potente vasodilatador que en altas concentraciones producen un síndrome que se caracteriza por el enrojecimiento facial súbito, disnea, palpitaciones, diarrea, lesiones cutáneas similares a las causadas por la pelagra, daño de válvulas cardíacas.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Los tumores carcinoides secretan grandes cantidades de 5-HIAA y serotonina, sobre todo los producidos en intestino medio. Para el diagnóstico se pueden medir ambos en suero, o el 5-HIAA en orina donde es de gran ayuda para el monitoreo de los tumores carcinoides.</w:t>
      </w:r>
      <w:r w:rsidRPr="00C7125E">
        <w:rPr>
          <w:rFonts w:ascii="Arial" w:eastAsia="Times New Roman" w:hAnsi="Arial" w:cs="Arial"/>
          <w:sz w:val="20"/>
          <w:szCs w:val="20"/>
          <w:lang w:eastAsia="es-BO"/>
        </w:rPr>
        <w:br/>
        <w:t>La producción de serotonina y su metabolismo a 5-HIAA depende mucho del origen del tejido sonde se encuentra el tumor. En los tumores de apéndice o colon producen mucha serotonina pero muy poca se metaboliza a 5-HIAA. Los tumores carcinoides bronquiales, gástricos, intestino delgado, páncreas y vesícula producen mucha serotonina que es metabolizada a 5-HIAA. Los tumores de recto raramente producen exceso de ambas sustancias.</w:t>
      </w:r>
    </w:p>
    <w:p w:rsidR="00E559A6" w:rsidRPr="00C7125E" w:rsidRDefault="00E559A6" w:rsidP="00E559A6">
      <w:pPr>
        <w:spacing w:before="161" w:after="161" w:line="240" w:lineRule="auto"/>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br/>
      </w:r>
      <w:r w:rsidR="005F15CB" w:rsidRPr="00C7125E">
        <w:rPr>
          <w:rFonts w:ascii="Arial" w:eastAsia="Times New Roman" w:hAnsi="Arial" w:cs="Arial"/>
          <w:b/>
          <w:bCs/>
          <w:kern w:val="36"/>
          <w:sz w:val="20"/>
          <w:szCs w:val="20"/>
          <w:lang w:eastAsia="es-BO"/>
        </w:rPr>
        <w:t xml:space="preserve">4. </w:t>
      </w:r>
      <w:r w:rsidRPr="00C7125E">
        <w:rPr>
          <w:rFonts w:ascii="Arial" w:eastAsia="Times New Roman" w:hAnsi="Arial" w:cs="Arial"/>
          <w:b/>
          <w:bCs/>
          <w:kern w:val="36"/>
          <w:sz w:val="20"/>
          <w:szCs w:val="20"/>
          <w:lang w:eastAsia="es-BO"/>
        </w:rPr>
        <w:t>ALFAFETOPROTEÍNA (AFP)</w:t>
      </w:r>
    </w:p>
    <w:p w:rsidR="00C7125E" w:rsidRDefault="00E559A6" w:rsidP="00C7125E">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Valores normales</w:t>
      </w:r>
      <w:r w:rsidRPr="00C7125E">
        <w:rPr>
          <w:rFonts w:ascii="Arial" w:eastAsia="Times New Roman" w:hAnsi="Arial" w:cs="Arial"/>
          <w:sz w:val="20"/>
          <w:szCs w:val="20"/>
          <w:lang w:eastAsia="es-BO"/>
        </w:rPr>
        <w:br/>
      </w:r>
    </w:p>
    <w:p w:rsidR="00E559A6" w:rsidRPr="00C7125E" w:rsidRDefault="00E559A6" w:rsidP="00C7125E">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t>Hombres y mujeres no embarazadas: 0 - 5 UI/ml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b/>
          <w:bCs/>
          <w:sz w:val="20"/>
          <w:szCs w:val="20"/>
          <w:lang w:eastAsia="es-BO"/>
        </w:rPr>
        <w:br/>
      </w:r>
      <w:r w:rsidRPr="00C7125E">
        <w:rPr>
          <w:rFonts w:ascii="Arial" w:eastAsia="Times New Roman" w:hAnsi="Arial" w:cs="Arial"/>
          <w:sz w:val="20"/>
          <w:szCs w:val="20"/>
          <w:lang w:eastAsia="es-BO"/>
        </w:rPr>
        <w:br/>
        <w:t xml:space="preserve">La AFP es una glicoproteína producida por el hígado y se encuentra en muy elevada concentración en el feto, decreciendo rápidamente a como se acerca el nacimiento. Es una de las principales proteínas </w:t>
      </w:r>
      <w:proofErr w:type="spellStart"/>
      <w:r w:rsidRPr="00C7125E">
        <w:rPr>
          <w:rFonts w:ascii="Arial" w:eastAsia="Times New Roman" w:hAnsi="Arial" w:cs="Arial"/>
          <w:sz w:val="20"/>
          <w:szCs w:val="20"/>
          <w:lang w:eastAsia="es-BO"/>
        </w:rPr>
        <w:t>carcinoembriónicas</w:t>
      </w:r>
      <w:proofErr w:type="spellEnd"/>
      <w:r w:rsidRPr="00C7125E">
        <w:rPr>
          <w:rFonts w:ascii="Arial" w:eastAsia="Times New Roman" w:hAnsi="Arial" w:cs="Arial"/>
          <w:sz w:val="20"/>
          <w:szCs w:val="20"/>
          <w:lang w:eastAsia="es-BO"/>
        </w:rPr>
        <w:t xml:space="preserve"> junto con el CEA.</w:t>
      </w:r>
    </w:p>
    <w:p w:rsidR="00E559A6" w:rsidRPr="00C7125E" w:rsidRDefault="00E559A6" w:rsidP="005F15CB">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lastRenderedPageBreak/>
        <w:t>I</w:t>
      </w:r>
      <w:r w:rsidRPr="00C7125E">
        <w:rPr>
          <w:rFonts w:ascii="Arial" w:eastAsia="Times New Roman" w:hAnsi="Arial" w:cs="Arial"/>
          <w:b/>
          <w:bCs/>
          <w:sz w:val="20"/>
          <w:szCs w:val="20"/>
          <w:lang w:eastAsia="es-BO"/>
        </w:rPr>
        <w:t>mportancia clínica</w:t>
      </w:r>
      <w:r w:rsidRPr="00C7125E">
        <w:rPr>
          <w:rFonts w:ascii="Arial" w:eastAsia="Times New Roman" w:hAnsi="Arial" w:cs="Arial"/>
          <w:b/>
          <w:bCs/>
          <w:sz w:val="20"/>
          <w:szCs w:val="20"/>
          <w:lang w:eastAsia="es-BO"/>
        </w:rPr>
        <w:br/>
      </w:r>
      <w:r w:rsidRPr="00C7125E">
        <w:rPr>
          <w:rFonts w:ascii="Arial" w:eastAsia="Times New Roman" w:hAnsi="Arial" w:cs="Arial"/>
          <w:sz w:val="20"/>
          <w:szCs w:val="20"/>
          <w:lang w:eastAsia="es-BO"/>
        </w:rPr>
        <w:br/>
        <w:t>Se va encontrar elevada en condiciones no malignas como el embarazo, hepatitis viral y cirrosis. </w:t>
      </w:r>
      <w:r w:rsidRPr="00C7125E">
        <w:rPr>
          <w:rFonts w:ascii="Arial" w:eastAsia="Times New Roman" w:hAnsi="Arial" w:cs="Arial"/>
          <w:sz w:val="20"/>
          <w:szCs w:val="20"/>
          <w:lang w:eastAsia="es-BO"/>
        </w:rPr>
        <w:br/>
        <w:t>Un 75% de los pacientes con </w:t>
      </w:r>
      <w:hyperlink r:id="rId20" w:history="1">
        <w:r w:rsidRPr="00C7125E">
          <w:rPr>
            <w:rFonts w:ascii="Arial" w:eastAsia="Times New Roman" w:hAnsi="Arial" w:cs="Arial"/>
            <w:sz w:val="20"/>
            <w:szCs w:val="20"/>
            <w:lang w:eastAsia="es-BO"/>
          </w:rPr>
          <w:t>cáncer primario de hígado</w:t>
        </w:r>
      </w:hyperlink>
      <w:r w:rsidRPr="00C7125E">
        <w:rPr>
          <w:rFonts w:ascii="Arial" w:eastAsia="Times New Roman" w:hAnsi="Arial" w:cs="Arial"/>
          <w:sz w:val="20"/>
          <w:szCs w:val="20"/>
          <w:lang w:eastAsia="es-BO"/>
        </w:rPr>
        <w:t xml:space="preserve"> tienen niveles séricos de AFP sobre 33 UI/ml. Esta se va a encontrar elevada en más del 70% de pacientes con cáncer de testículo no </w:t>
      </w:r>
      <w:proofErr w:type="spellStart"/>
      <w:r w:rsidRPr="00C7125E">
        <w:rPr>
          <w:rFonts w:ascii="Arial" w:eastAsia="Times New Roman" w:hAnsi="Arial" w:cs="Arial"/>
          <w:sz w:val="20"/>
          <w:szCs w:val="20"/>
          <w:lang w:eastAsia="es-BO"/>
        </w:rPr>
        <w:t>seminomatoso</w:t>
      </w:r>
      <w:proofErr w:type="spellEnd"/>
      <w:r w:rsidRPr="00C7125E">
        <w:rPr>
          <w:rFonts w:ascii="Arial" w:eastAsia="Times New Roman" w:hAnsi="Arial" w:cs="Arial"/>
          <w:sz w:val="20"/>
          <w:szCs w:val="20"/>
          <w:lang w:eastAsia="es-BO"/>
        </w:rPr>
        <w:t>. Concentraciones elevadas sobre las 33 UI/ml se pueden encontrar en cáncer de páncreas (23 %), </w:t>
      </w:r>
      <w:hyperlink r:id="rId21" w:history="1">
        <w:r w:rsidRPr="00C7125E">
          <w:rPr>
            <w:rFonts w:ascii="Arial" w:eastAsia="Times New Roman" w:hAnsi="Arial" w:cs="Arial"/>
            <w:sz w:val="20"/>
            <w:szCs w:val="20"/>
            <w:lang w:eastAsia="es-BO"/>
          </w:rPr>
          <w:t>gástrico </w:t>
        </w:r>
      </w:hyperlink>
      <w:r w:rsidRPr="00C7125E">
        <w:rPr>
          <w:rFonts w:ascii="Arial" w:eastAsia="Times New Roman" w:hAnsi="Arial" w:cs="Arial"/>
          <w:sz w:val="20"/>
          <w:szCs w:val="20"/>
          <w:lang w:eastAsia="es-BO"/>
        </w:rPr>
        <w:t xml:space="preserve">(18%), </w:t>
      </w:r>
      <w:proofErr w:type="spellStart"/>
      <w:r w:rsidRPr="00C7125E">
        <w:rPr>
          <w:rFonts w:ascii="Arial" w:eastAsia="Times New Roman" w:hAnsi="Arial" w:cs="Arial"/>
          <w:sz w:val="20"/>
          <w:szCs w:val="20"/>
          <w:lang w:eastAsia="es-BO"/>
        </w:rPr>
        <w:t>broncogénicos</w:t>
      </w:r>
      <w:proofErr w:type="spellEnd"/>
      <w:r w:rsidRPr="00C7125E">
        <w:rPr>
          <w:rFonts w:ascii="Arial" w:eastAsia="Times New Roman" w:hAnsi="Arial" w:cs="Arial"/>
          <w:sz w:val="20"/>
          <w:szCs w:val="20"/>
          <w:lang w:eastAsia="es-BO"/>
        </w:rPr>
        <w:t xml:space="preserve"> (7%) y 5% de </w:t>
      </w:r>
      <w:proofErr w:type="spellStart"/>
      <w:r w:rsidRPr="00C7125E">
        <w:rPr>
          <w:rFonts w:ascii="Arial" w:eastAsia="Times New Roman" w:hAnsi="Arial" w:cs="Arial"/>
          <w:sz w:val="20"/>
          <w:szCs w:val="20"/>
          <w:lang w:eastAsia="es-BO"/>
        </w:rPr>
        <w:fldChar w:fldCharType="begin"/>
      </w:r>
      <w:r w:rsidRPr="00C7125E">
        <w:rPr>
          <w:rFonts w:ascii="Arial" w:eastAsia="Times New Roman" w:hAnsi="Arial" w:cs="Arial"/>
          <w:sz w:val="20"/>
          <w:szCs w:val="20"/>
          <w:lang w:eastAsia="es-BO"/>
        </w:rPr>
        <w:instrText xml:space="preserve"> HYPERLINK "http://www.geosalud.com/Cancerpacientes/colorrectal.htm" </w:instrText>
      </w:r>
      <w:r w:rsidRPr="00C7125E">
        <w:rPr>
          <w:rFonts w:ascii="Arial" w:eastAsia="Times New Roman" w:hAnsi="Arial" w:cs="Arial"/>
          <w:sz w:val="20"/>
          <w:szCs w:val="20"/>
          <w:lang w:eastAsia="es-BO"/>
        </w:rPr>
        <w:fldChar w:fldCharType="separate"/>
      </w:r>
      <w:r w:rsidRPr="00C7125E">
        <w:rPr>
          <w:rFonts w:ascii="Arial" w:eastAsia="Times New Roman" w:hAnsi="Arial" w:cs="Arial"/>
          <w:sz w:val="20"/>
          <w:szCs w:val="20"/>
          <w:lang w:eastAsia="es-BO"/>
        </w:rPr>
        <w:t>cólon</w:t>
      </w:r>
      <w:proofErr w:type="spellEnd"/>
      <w:r w:rsidRPr="00C7125E">
        <w:rPr>
          <w:rFonts w:ascii="Arial" w:eastAsia="Times New Roman" w:hAnsi="Arial" w:cs="Arial"/>
          <w:sz w:val="20"/>
          <w:szCs w:val="20"/>
          <w:lang w:eastAsia="es-BO"/>
        </w:rPr>
        <w:t>.</w:t>
      </w:r>
      <w:r w:rsidRPr="00C7125E">
        <w:rPr>
          <w:rFonts w:ascii="Arial" w:eastAsia="Times New Roman" w:hAnsi="Arial" w:cs="Arial"/>
          <w:sz w:val="20"/>
          <w:szCs w:val="20"/>
          <w:lang w:eastAsia="es-BO"/>
        </w:rPr>
        <w:fldChar w:fldCharType="end"/>
      </w:r>
      <w:r w:rsidRPr="00C7125E">
        <w:rPr>
          <w:rFonts w:ascii="Arial" w:eastAsia="Times New Roman" w:hAnsi="Arial" w:cs="Arial"/>
          <w:sz w:val="20"/>
          <w:szCs w:val="20"/>
          <w:lang w:eastAsia="es-BO"/>
        </w:rPr>
        <w:br/>
        <w:t xml:space="preserve">Otro uso clínico de la AFP es la detección prenatal de defectos del tubo neural (espina bífida) y de enfermedad de Down, junto con los niveles de </w:t>
      </w:r>
      <w:proofErr w:type="spellStart"/>
      <w:r w:rsidRPr="00C7125E">
        <w:rPr>
          <w:rFonts w:ascii="Arial" w:eastAsia="Times New Roman" w:hAnsi="Arial" w:cs="Arial"/>
          <w:sz w:val="20"/>
          <w:szCs w:val="20"/>
          <w:lang w:eastAsia="es-BO"/>
        </w:rPr>
        <w:t>estriol</w:t>
      </w:r>
      <w:proofErr w:type="spellEnd"/>
      <w:r w:rsidRPr="00C7125E">
        <w:rPr>
          <w:rFonts w:ascii="Arial" w:eastAsia="Times New Roman" w:hAnsi="Arial" w:cs="Arial"/>
          <w:sz w:val="20"/>
          <w:szCs w:val="20"/>
          <w:lang w:eastAsia="es-BO"/>
        </w:rPr>
        <w:t xml:space="preserve"> y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La </w:t>
      </w:r>
      <w:proofErr w:type="spellStart"/>
      <w:r w:rsidRPr="00C7125E">
        <w:rPr>
          <w:rFonts w:ascii="Arial" w:eastAsia="Times New Roman" w:hAnsi="Arial" w:cs="Arial"/>
          <w:sz w:val="20"/>
          <w:szCs w:val="20"/>
          <w:lang w:eastAsia="es-BO"/>
        </w:rPr>
        <w:t>alfafetoproteína</w:t>
      </w:r>
      <w:proofErr w:type="spellEnd"/>
      <w:r w:rsidRPr="00C7125E">
        <w:rPr>
          <w:rFonts w:ascii="Arial" w:eastAsia="Times New Roman" w:hAnsi="Arial" w:cs="Arial"/>
          <w:sz w:val="20"/>
          <w:szCs w:val="20"/>
          <w:lang w:eastAsia="es-BO"/>
        </w:rPr>
        <w:t xml:space="preserve"> (AFP, por sus siglas en inglés) normalmente es producida por un feto en desarrollo. Los niveles de </w:t>
      </w:r>
      <w:proofErr w:type="spellStart"/>
      <w:r w:rsidRPr="00C7125E">
        <w:rPr>
          <w:rFonts w:ascii="Arial" w:eastAsia="Times New Roman" w:hAnsi="Arial" w:cs="Arial"/>
          <w:sz w:val="20"/>
          <w:szCs w:val="20"/>
          <w:lang w:eastAsia="es-BO"/>
        </w:rPr>
        <w:t>alfafetoproteína</w:t>
      </w:r>
      <w:proofErr w:type="spellEnd"/>
      <w:r w:rsidRPr="00C7125E">
        <w:rPr>
          <w:rFonts w:ascii="Arial" w:eastAsia="Times New Roman" w:hAnsi="Arial" w:cs="Arial"/>
          <w:sz w:val="20"/>
          <w:szCs w:val="20"/>
          <w:lang w:eastAsia="es-BO"/>
        </w:rPr>
        <w:t xml:space="preserve"> empiezan a disminuir poco después del parto y normalmente no se detecta en la sangre de las personas saludables (excepto durante el embarazo). Un nivel elevado de </w:t>
      </w:r>
      <w:proofErr w:type="spellStart"/>
      <w:r w:rsidRPr="00C7125E">
        <w:rPr>
          <w:rFonts w:ascii="Arial" w:eastAsia="Times New Roman" w:hAnsi="Arial" w:cs="Arial"/>
          <w:sz w:val="20"/>
          <w:szCs w:val="20"/>
          <w:lang w:eastAsia="es-BO"/>
        </w:rPr>
        <w:t>alfafetoproteína</w:t>
      </w:r>
      <w:proofErr w:type="spellEnd"/>
      <w:r w:rsidRPr="00C7125E">
        <w:rPr>
          <w:rFonts w:ascii="Arial" w:eastAsia="Times New Roman" w:hAnsi="Arial" w:cs="Arial"/>
          <w:sz w:val="20"/>
          <w:szCs w:val="20"/>
          <w:lang w:eastAsia="es-BO"/>
        </w:rPr>
        <w:t xml:space="preserve"> hace pensar fuertemente en la presencia de un cáncer primario del hígado o de un cáncer de las células germinales (cáncer que empieza en las células que generan óvulos o esperma) del ovario o testículo. Muy rara vez los pacientes con otros tipos de cáncer (como cáncer del estómago) tienen niveles elevados de </w:t>
      </w:r>
      <w:proofErr w:type="spellStart"/>
      <w:r w:rsidRPr="00C7125E">
        <w:rPr>
          <w:rFonts w:ascii="Arial" w:eastAsia="Times New Roman" w:hAnsi="Arial" w:cs="Arial"/>
          <w:sz w:val="20"/>
          <w:szCs w:val="20"/>
          <w:lang w:eastAsia="es-BO"/>
        </w:rPr>
        <w:t>alfafetoproteína</w:t>
      </w:r>
      <w:proofErr w:type="spellEnd"/>
      <w:r w:rsidRPr="00C7125E">
        <w:rPr>
          <w:rFonts w:ascii="Arial" w:eastAsia="Times New Roman" w:hAnsi="Arial" w:cs="Arial"/>
          <w:sz w:val="20"/>
          <w:szCs w:val="20"/>
          <w:lang w:eastAsia="es-BO"/>
        </w:rPr>
        <w:t xml:space="preserve">. Los trastornos no cancerosos que pueden causar niveles elevados de </w:t>
      </w:r>
      <w:proofErr w:type="spellStart"/>
      <w:r w:rsidRPr="00C7125E">
        <w:rPr>
          <w:rFonts w:ascii="Arial" w:eastAsia="Times New Roman" w:hAnsi="Arial" w:cs="Arial"/>
          <w:sz w:val="20"/>
          <w:szCs w:val="20"/>
          <w:lang w:eastAsia="es-BO"/>
        </w:rPr>
        <w:t>alfafetoproteína</w:t>
      </w:r>
      <w:proofErr w:type="spellEnd"/>
      <w:r w:rsidRPr="00C7125E">
        <w:rPr>
          <w:rFonts w:ascii="Arial" w:eastAsia="Times New Roman" w:hAnsi="Arial" w:cs="Arial"/>
          <w:sz w:val="20"/>
          <w:szCs w:val="20"/>
          <w:lang w:eastAsia="es-BO"/>
        </w:rPr>
        <w:t xml:space="preserve"> incluyen condiciones benignas del hígado como, cirrosis o hepatitis; ataxia </w:t>
      </w:r>
      <w:proofErr w:type="spellStart"/>
      <w:r w:rsidRPr="00C7125E">
        <w:rPr>
          <w:rFonts w:ascii="Arial" w:eastAsia="Times New Roman" w:hAnsi="Arial" w:cs="Arial"/>
          <w:sz w:val="20"/>
          <w:szCs w:val="20"/>
          <w:lang w:eastAsia="es-BO"/>
        </w:rPr>
        <w:t>telangiectasia</w:t>
      </w:r>
      <w:proofErr w:type="spellEnd"/>
      <w:r w:rsidRPr="00C7125E">
        <w:rPr>
          <w:rFonts w:ascii="Arial" w:eastAsia="Times New Roman" w:hAnsi="Arial" w:cs="Arial"/>
          <w:sz w:val="20"/>
          <w:szCs w:val="20"/>
          <w:lang w:eastAsia="es-BO"/>
        </w:rPr>
        <w:t xml:space="preserve">; síndrome de </w:t>
      </w:r>
      <w:proofErr w:type="spellStart"/>
      <w:r w:rsidRPr="00C7125E">
        <w:rPr>
          <w:rFonts w:ascii="Arial" w:eastAsia="Times New Roman" w:hAnsi="Arial" w:cs="Arial"/>
          <w:sz w:val="20"/>
          <w:szCs w:val="20"/>
          <w:lang w:eastAsia="es-BO"/>
        </w:rPr>
        <w:t>Wiscott-Aldrich</w:t>
      </w:r>
      <w:proofErr w:type="spellEnd"/>
      <w:r w:rsidRPr="00C7125E">
        <w:rPr>
          <w:rFonts w:ascii="Arial" w:eastAsia="Times New Roman" w:hAnsi="Arial" w:cs="Arial"/>
          <w:sz w:val="20"/>
          <w:szCs w:val="20"/>
          <w:lang w:eastAsia="es-BO"/>
        </w:rPr>
        <w:t xml:space="preserve"> y el embarazo.</w:t>
      </w:r>
    </w:p>
    <w:p w:rsidR="00E559A6" w:rsidRPr="00C7125E" w:rsidRDefault="00E559A6" w:rsidP="00E559A6">
      <w:pPr>
        <w:spacing w:before="161" w:after="161" w:line="240" w:lineRule="auto"/>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br/>
      </w:r>
      <w:r w:rsidR="005F15CB" w:rsidRPr="00C7125E">
        <w:rPr>
          <w:rFonts w:ascii="Arial" w:eastAsia="Times New Roman" w:hAnsi="Arial" w:cs="Arial"/>
          <w:b/>
          <w:bCs/>
          <w:kern w:val="36"/>
          <w:sz w:val="20"/>
          <w:szCs w:val="20"/>
          <w:lang w:eastAsia="es-BO"/>
        </w:rPr>
        <w:t xml:space="preserve">5. </w:t>
      </w:r>
      <w:r w:rsidRPr="00C7125E">
        <w:rPr>
          <w:rFonts w:ascii="Arial" w:eastAsia="Times New Roman" w:hAnsi="Arial" w:cs="Arial"/>
          <w:b/>
          <w:bCs/>
          <w:kern w:val="36"/>
          <w:sz w:val="20"/>
          <w:szCs w:val="20"/>
          <w:lang w:eastAsia="es-BO"/>
        </w:rPr>
        <w:t>ANTÍGENO CARCINOEMBRIÓNICO (CEA)</w:t>
      </w:r>
    </w:p>
    <w:p w:rsidR="00E559A6" w:rsidRPr="00C7125E" w:rsidRDefault="00E559A6" w:rsidP="00901F31">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Valores de normales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No fumadores 0-3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/ml </w:t>
      </w:r>
      <w:r w:rsidRPr="00C7125E">
        <w:rPr>
          <w:rFonts w:ascii="Arial" w:eastAsia="Times New Roman" w:hAnsi="Arial" w:cs="Arial"/>
          <w:sz w:val="20"/>
          <w:szCs w:val="20"/>
          <w:lang w:eastAsia="es-BO"/>
        </w:rPr>
        <w:br/>
        <w:t xml:space="preserve">Fumadores 0-5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En el 95% de los pacientes sanos no fumadores el CEA se va a encontrar en niveles menores que 3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 xml:space="preserve">/ml y en pacientes sanos fumadores el CEA va a estar en concentraciones menores a 5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/ml en el 85% de los casos. Estos niveles altos se pueden encontrar en fumadores activos como en exfumadores.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b/>
          <w:bCs/>
          <w:sz w:val="20"/>
          <w:szCs w:val="20"/>
          <w:lang w:eastAsia="es-BO"/>
        </w:rPr>
        <w:br/>
      </w:r>
      <w:r w:rsidRPr="00C7125E">
        <w:rPr>
          <w:rFonts w:ascii="Arial" w:eastAsia="Times New Roman" w:hAnsi="Arial" w:cs="Arial"/>
          <w:sz w:val="20"/>
          <w:szCs w:val="20"/>
          <w:lang w:eastAsia="es-BO"/>
        </w:rPr>
        <w:br/>
        <w:t xml:space="preserve">El Antígeno </w:t>
      </w:r>
      <w:proofErr w:type="spellStart"/>
      <w:r w:rsidRPr="00C7125E">
        <w:rPr>
          <w:rFonts w:ascii="Arial" w:eastAsia="Times New Roman" w:hAnsi="Arial" w:cs="Arial"/>
          <w:sz w:val="20"/>
          <w:szCs w:val="20"/>
          <w:lang w:eastAsia="es-BO"/>
        </w:rPr>
        <w:t>Carcinoembriónico</w:t>
      </w:r>
      <w:proofErr w:type="spellEnd"/>
      <w:r w:rsidRPr="00C7125E">
        <w:rPr>
          <w:rFonts w:ascii="Arial" w:eastAsia="Times New Roman" w:hAnsi="Arial" w:cs="Arial"/>
          <w:sz w:val="20"/>
          <w:szCs w:val="20"/>
          <w:lang w:eastAsia="es-BO"/>
        </w:rPr>
        <w:t xml:space="preserve"> (CEA) comprende un grupo de glicoproteínas (175 - 200 </w:t>
      </w:r>
      <w:proofErr w:type="spellStart"/>
      <w:r w:rsidRPr="00C7125E">
        <w:rPr>
          <w:rFonts w:ascii="Arial" w:eastAsia="Times New Roman" w:hAnsi="Arial" w:cs="Arial"/>
          <w:sz w:val="20"/>
          <w:szCs w:val="20"/>
          <w:lang w:eastAsia="es-BO"/>
        </w:rPr>
        <w:t>kD</w:t>
      </w:r>
      <w:proofErr w:type="spellEnd"/>
      <w:r w:rsidRPr="00C7125E">
        <w:rPr>
          <w:rFonts w:ascii="Arial" w:eastAsia="Times New Roman" w:hAnsi="Arial" w:cs="Arial"/>
          <w:sz w:val="20"/>
          <w:szCs w:val="20"/>
          <w:lang w:eastAsia="es-BO"/>
        </w:rPr>
        <w:t>). Su variación se debe a la diferencia en el contenido de algunos carbohidratos y aminoácidos. Dichas proteínas son codificadas por el cromosoma 19. Fue descubierto en 1965 en extractos de carcinoma de colon. Su nombre se debe a que originalmente se creía que solo se encontraba en carcinomas gastrointestinales y en tracto digestivo fetal.</w:t>
      </w:r>
    </w:p>
    <w:p w:rsidR="00E559A6" w:rsidRPr="00C7125E" w:rsidRDefault="00E559A6" w:rsidP="00901F31">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Los niveles de CEA se </w:t>
      </w:r>
      <w:proofErr w:type="gramStart"/>
      <w:r w:rsidRPr="00C7125E">
        <w:rPr>
          <w:rFonts w:ascii="Arial" w:eastAsia="Times New Roman" w:hAnsi="Arial" w:cs="Arial"/>
          <w:sz w:val="20"/>
          <w:szCs w:val="20"/>
          <w:lang w:eastAsia="es-BO"/>
        </w:rPr>
        <w:t>puede</w:t>
      </w:r>
      <w:proofErr w:type="gramEnd"/>
      <w:r w:rsidRPr="00C7125E">
        <w:rPr>
          <w:rFonts w:ascii="Arial" w:eastAsia="Times New Roman" w:hAnsi="Arial" w:cs="Arial"/>
          <w:sz w:val="20"/>
          <w:szCs w:val="20"/>
          <w:lang w:eastAsia="es-BO"/>
        </w:rPr>
        <w:t xml:space="preserve"> encontrar elevados en algunas enfermedades no malignas como enfermedades hepáticas, lesiones inflamatorias, especialmente del tracto digestivo, infecciones, traumas, infartos, enfermedad vascular y del colágeno, daño renal y el fumado.</w:t>
      </w:r>
      <w:r w:rsidRPr="00C7125E">
        <w:rPr>
          <w:rFonts w:ascii="Arial" w:eastAsia="Times New Roman" w:hAnsi="Arial" w:cs="Arial"/>
          <w:sz w:val="20"/>
          <w:szCs w:val="20"/>
          <w:lang w:eastAsia="es-BO"/>
        </w:rPr>
        <w:br/>
        <w:t xml:space="preserve">Concentraciones elevadas se han encontrado también en enfermedades benignas </w:t>
      </w:r>
      <w:proofErr w:type="spellStart"/>
      <w:r w:rsidRPr="00C7125E">
        <w:rPr>
          <w:rFonts w:ascii="Arial" w:eastAsia="Times New Roman" w:hAnsi="Arial" w:cs="Arial"/>
          <w:sz w:val="20"/>
          <w:szCs w:val="20"/>
          <w:lang w:eastAsia="es-BO"/>
        </w:rPr>
        <w:t>colorrectales</w:t>
      </w:r>
      <w:proofErr w:type="spellEnd"/>
      <w:r w:rsidRPr="00C7125E">
        <w:rPr>
          <w:rFonts w:ascii="Arial" w:eastAsia="Times New Roman" w:hAnsi="Arial" w:cs="Arial"/>
          <w:sz w:val="20"/>
          <w:szCs w:val="20"/>
          <w:lang w:eastAsia="es-BO"/>
        </w:rPr>
        <w:t xml:space="preserve"> (17%), estómago (gastritis crónica y úlcera péptica 14%), hígado (cirrosis y hepatitis 17%) y páncreas (21%)</w:t>
      </w:r>
      <w:r w:rsidRPr="00C7125E">
        <w:rPr>
          <w:rFonts w:ascii="Arial" w:eastAsia="Times New Roman" w:hAnsi="Arial" w:cs="Arial"/>
          <w:sz w:val="20"/>
          <w:szCs w:val="20"/>
          <w:lang w:eastAsia="es-BO"/>
        </w:rPr>
        <w:br/>
        <w:t xml:space="preserve">Niveles elevados de CEA se pueden encontrar una serie de diferentes tipos de tumores entre ellos </w:t>
      </w:r>
      <w:r w:rsidRPr="00C7125E">
        <w:rPr>
          <w:rFonts w:ascii="Arial" w:eastAsia="Times New Roman" w:hAnsi="Arial" w:cs="Arial"/>
          <w:sz w:val="20"/>
          <w:szCs w:val="20"/>
          <w:lang w:eastAsia="es-BO"/>
        </w:rPr>
        <w:lastRenderedPageBreak/>
        <w:t>del tracto gastrointestinal, pulmón, mama, ovario y útero.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Con respecto a su uso en malignidades del tracto gastrointestinal, concentraciones elevadas (&gt;3,0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 xml:space="preserve">/ml) se han encontrado en suero de pacientes con carcinoma </w:t>
      </w:r>
      <w:proofErr w:type="spellStart"/>
      <w:r w:rsidRPr="00C7125E">
        <w:rPr>
          <w:rFonts w:ascii="Arial" w:eastAsia="Times New Roman" w:hAnsi="Arial" w:cs="Arial"/>
          <w:sz w:val="20"/>
          <w:szCs w:val="20"/>
          <w:lang w:eastAsia="es-BO"/>
        </w:rPr>
        <w:t>colorrectal</w:t>
      </w:r>
      <w:proofErr w:type="spellEnd"/>
      <w:r w:rsidRPr="00C7125E">
        <w:rPr>
          <w:rFonts w:ascii="Arial" w:eastAsia="Times New Roman" w:hAnsi="Arial" w:cs="Arial"/>
          <w:sz w:val="20"/>
          <w:szCs w:val="20"/>
          <w:lang w:eastAsia="es-BO"/>
        </w:rPr>
        <w:t xml:space="preserve"> (57%), gástrico (41%), </w:t>
      </w:r>
      <w:proofErr w:type="spellStart"/>
      <w:r w:rsidRPr="00C7125E">
        <w:rPr>
          <w:rFonts w:ascii="Arial" w:eastAsia="Times New Roman" w:hAnsi="Arial" w:cs="Arial"/>
          <w:sz w:val="20"/>
          <w:szCs w:val="20"/>
          <w:lang w:eastAsia="es-BO"/>
        </w:rPr>
        <w:t>hepatocelular</w:t>
      </w:r>
      <w:proofErr w:type="spellEnd"/>
      <w:r w:rsidRPr="00C7125E">
        <w:rPr>
          <w:rFonts w:ascii="Arial" w:eastAsia="Times New Roman" w:hAnsi="Arial" w:cs="Arial"/>
          <w:sz w:val="20"/>
          <w:szCs w:val="20"/>
          <w:lang w:eastAsia="es-BO"/>
        </w:rPr>
        <w:t xml:space="preserve"> (45%), pancreático (45%), y biliar (59%). La sensibilidad del CEA para su uso </w:t>
      </w:r>
      <w:proofErr w:type="spellStart"/>
      <w:r w:rsidRPr="00C7125E">
        <w:rPr>
          <w:rFonts w:ascii="Arial" w:eastAsia="Times New Roman" w:hAnsi="Arial" w:cs="Arial"/>
          <w:sz w:val="20"/>
          <w:szCs w:val="20"/>
          <w:lang w:eastAsia="es-BO"/>
        </w:rPr>
        <w:t>preoperativo</w:t>
      </w:r>
      <w:proofErr w:type="spellEnd"/>
      <w:r w:rsidRPr="00C7125E">
        <w:rPr>
          <w:rFonts w:ascii="Arial" w:eastAsia="Times New Roman" w:hAnsi="Arial" w:cs="Arial"/>
          <w:sz w:val="20"/>
          <w:szCs w:val="20"/>
          <w:lang w:eastAsia="es-BO"/>
        </w:rPr>
        <w:t xml:space="preserve"> en caso del carcinoma </w:t>
      </w:r>
      <w:proofErr w:type="spellStart"/>
      <w:r w:rsidRPr="00C7125E">
        <w:rPr>
          <w:rFonts w:ascii="Arial" w:eastAsia="Times New Roman" w:hAnsi="Arial" w:cs="Arial"/>
          <w:sz w:val="20"/>
          <w:szCs w:val="20"/>
          <w:lang w:eastAsia="es-BO"/>
        </w:rPr>
        <w:t>colorrectal</w:t>
      </w:r>
      <w:proofErr w:type="spellEnd"/>
      <w:r w:rsidRPr="00C7125E">
        <w:rPr>
          <w:rFonts w:ascii="Arial" w:eastAsia="Times New Roman" w:hAnsi="Arial" w:cs="Arial"/>
          <w:sz w:val="20"/>
          <w:szCs w:val="20"/>
          <w:lang w:eastAsia="es-BO"/>
        </w:rPr>
        <w:t xml:space="preserve"> ha demostrado ser estado dependiente; el CEA se va </w:t>
      </w:r>
      <w:proofErr w:type="spellStart"/>
      <w:r w:rsidRPr="00C7125E">
        <w:rPr>
          <w:rFonts w:ascii="Arial" w:eastAsia="Times New Roman" w:hAnsi="Arial" w:cs="Arial"/>
          <w:sz w:val="20"/>
          <w:szCs w:val="20"/>
          <w:lang w:eastAsia="es-BO"/>
        </w:rPr>
        <w:t>ha</w:t>
      </w:r>
      <w:proofErr w:type="spellEnd"/>
      <w:r w:rsidRPr="00C7125E">
        <w:rPr>
          <w:rFonts w:ascii="Arial" w:eastAsia="Times New Roman" w:hAnsi="Arial" w:cs="Arial"/>
          <w:sz w:val="20"/>
          <w:szCs w:val="20"/>
          <w:lang w:eastAsia="es-BO"/>
        </w:rPr>
        <w:t xml:space="preserve"> encontrar elevado (&gt; 3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 xml:space="preserve">/ml) en el 10-28% de los pacientes con carcinoma estado A de </w:t>
      </w:r>
      <w:proofErr w:type="spellStart"/>
      <w:r w:rsidRPr="00C7125E">
        <w:rPr>
          <w:rFonts w:ascii="Arial" w:eastAsia="Times New Roman" w:hAnsi="Arial" w:cs="Arial"/>
          <w:sz w:val="20"/>
          <w:szCs w:val="20"/>
          <w:lang w:eastAsia="es-BO"/>
        </w:rPr>
        <w:t>Duke</w:t>
      </w:r>
      <w:proofErr w:type="spellEnd"/>
      <w:r w:rsidRPr="00C7125E">
        <w:rPr>
          <w:rFonts w:ascii="Arial" w:eastAsia="Times New Roman" w:hAnsi="Arial" w:cs="Arial"/>
          <w:sz w:val="20"/>
          <w:szCs w:val="20"/>
          <w:lang w:eastAsia="es-BO"/>
        </w:rPr>
        <w:t xml:space="preserve">, 45% en estado B de </w:t>
      </w:r>
      <w:proofErr w:type="spellStart"/>
      <w:r w:rsidRPr="00C7125E">
        <w:rPr>
          <w:rFonts w:ascii="Arial" w:eastAsia="Times New Roman" w:hAnsi="Arial" w:cs="Arial"/>
          <w:sz w:val="20"/>
          <w:szCs w:val="20"/>
          <w:lang w:eastAsia="es-BO"/>
        </w:rPr>
        <w:t>Duke</w:t>
      </w:r>
      <w:proofErr w:type="spellEnd"/>
      <w:r w:rsidRPr="00C7125E">
        <w:rPr>
          <w:rFonts w:ascii="Arial" w:eastAsia="Times New Roman" w:hAnsi="Arial" w:cs="Arial"/>
          <w:sz w:val="20"/>
          <w:szCs w:val="20"/>
          <w:lang w:eastAsia="es-BO"/>
        </w:rPr>
        <w:t xml:space="preserve"> y 70% en pacientes con </w:t>
      </w:r>
      <w:proofErr w:type="spellStart"/>
      <w:r w:rsidRPr="00C7125E">
        <w:rPr>
          <w:rFonts w:ascii="Arial" w:eastAsia="Times New Roman" w:hAnsi="Arial" w:cs="Arial"/>
          <w:sz w:val="20"/>
          <w:szCs w:val="20"/>
          <w:lang w:eastAsia="es-BO"/>
        </w:rPr>
        <w:t>carcimoma</w:t>
      </w:r>
      <w:proofErr w:type="spellEnd"/>
      <w:r w:rsidRPr="00C7125E">
        <w:rPr>
          <w:rFonts w:ascii="Arial" w:eastAsia="Times New Roman" w:hAnsi="Arial" w:cs="Arial"/>
          <w:sz w:val="20"/>
          <w:szCs w:val="20"/>
          <w:lang w:eastAsia="es-BO"/>
        </w:rPr>
        <w:t xml:space="preserve"> en estado C de </w:t>
      </w:r>
      <w:proofErr w:type="spellStart"/>
      <w:r w:rsidRPr="00C7125E">
        <w:rPr>
          <w:rFonts w:ascii="Arial" w:eastAsia="Times New Roman" w:hAnsi="Arial" w:cs="Arial"/>
          <w:sz w:val="20"/>
          <w:szCs w:val="20"/>
          <w:lang w:eastAsia="es-BO"/>
        </w:rPr>
        <w:t>Duke</w:t>
      </w:r>
      <w:proofErr w:type="spellEnd"/>
      <w:r w:rsidRPr="00C7125E">
        <w:rPr>
          <w:rFonts w:ascii="Arial" w:eastAsia="Times New Roman" w:hAnsi="Arial" w:cs="Arial"/>
          <w:sz w:val="20"/>
          <w:szCs w:val="20"/>
          <w:lang w:eastAsia="es-BO"/>
        </w:rPr>
        <w:t xml:space="preserve">. Otros estudios han demostrado que niveles elevados superiores a 5 </w:t>
      </w:r>
      <w:proofErr w:type="spellStart"/>
      <w:r w:rsidRPr="00C7125E">
        <w:rPr>
          <w:rFonts w:ascii="Arial" w:eastAsia="Times New Roman" w:hAnsi="Arial" w:cs="Arial"/>
          <w:sz w:val="20"/>
          <w:szCs w:val="20"/>
          <w:lang w:eastAsia="es-BO"/>
        </w:rPr>
        <w:t>ng</w:t>
      </w:r>
      <w:proofErr w:type="spellEnd"/>
      <w:r w:rsidRPr="00C7125E">
        <w:rPr>
          <w:rFonts w:ascii="Arial" w:eastAsia="Times New Roman" w:hAnsi="Arial" w:cs="Arial"/>
          <w:sz w:val="20"/>
          <w:szCs w:val="20"/>
          <w:lang w:eastAsia="es-BO"/>
        </w:rPr>
        <w:t xml:space="preserve">/ml se han encontrado en un 26%, 32%,38%, y 77% de pacientes con carcinoma </w:t>
      </w:r>
      <w:proofErr w:type="spellStart"/>
      <w:r w:rsidRPr="00C7125E">
        <w:rPr>
          <w:rFonts w:ascii="Arial" w:eastAsia="Times New Roman" w:hAnsi="Arial" w:cs="Arial"/>
          <w:sz w:val="20"/>
          <w:szCs w:val="20"/>
          <w:lang w:eastAsia="es-BO"/>
        </w:rPr>
        <w:t>colorrectal</w:t>
      </w:r>
      <w:proofErr w:type="spellEnd"/>
      <w:r w:rsidRPr="00C7125E">
        <w:rPr>
          <w:rFonts w:ascii="Arial" w:eastAsia="Times New Roman" w:hAnsi="Arial" w:cs="Arial"/>
          <w:sz w:val="20"/>
          <w:szCs w:val="20"/>
          <w:lang w:eastAsia="es-BO"/>
        </w:rPr>
        <w:t xml:space="preserve"> en estados de </w:t>
      </w:r>
      <w:proofErr w:type="spellStart"/>
      <w:r w:rsidRPr="00C7125E">
        <w:rPr>
          <w:rFonts w:ascii="Arial" w:eastAsia="Times New Roman" w:hAnsi="Arial" w:cs="Arial"/>
          <w:sz w:val="20"/>
          <w:szCs w:val="20"/>
          <w:lang w:eastAsia="es-BO"/>
        </w:rPr>
        <w:t>Duke</w:t>
      </w:r>
      <w:proofErr w:type="spellEnd"/>
      <w:r w:rsidRPr="00C7125E">
        <w:rPr>
          <w:rFonts w:ascii="Arial" w:eastAsia="Times New Roman" w:hAnsi="Arial" w:cs="Arial"/>
          <w:sz w:val="20"/>
          <w:szCs w:val="20"/>
          <w:lang w:eastAsia="es-BO"/>
        </w:rPr>
        <w:t xml:space="preserve"> A, B, C y D respectivamente.</w:t>
      </w:r>
      <w:r w:rsidRPr="00C7125E">
        <w:rPr>
          <w:rFonts w:ascii="Arial" w:eastAsia="Times New Roman" w:hAnsi="Arial" w:cs="Arial"/>
          <w:sz w:val="20"/>
          <w:szCs w:val="20"/>
          <w:lang w:eastAsia="es-BO"/>
        </w:rPr>
        <w:br/>
        <w:t xml:space="preserve">El CEA es un instrumento muy adecuado para el seguimiento posoperativo de cáncer </w:t>
      </w:r>
      <w:proofErr w:type="spellStart"/>
      <w:r w:rsidRPr="00C7125E">
        <w:rPr>
          <w:rFonts w:ascii="Arial" w:eastAsia="Times New Roman" w:hAnsi="Arial" w:cs="Arial"/>
          <w:sz w:val="20"/>
          <w:szCs w:val="20"/>
          <w:lang w:eastAsia="es-BO"/>
        </w:rPr>
        <w:t>colorrectal</w:t>
      </w:r>
      <w:proofErr w:type="spellEnd"/>
      <w:r w:rsidRPr="00C7125E">
        <w:rPr>
          <w:rFonts w:ascii="Arial" w:eastAsia="Times New Roman" w:hAnsi="Arial" w:cs="Arial"/>
          <w:sz w:val="20"/>
          <w:szCs w:val="20"/>
          <w:lang w:eastAsia="es-BO"/>
        </w:rPr>
        <w:t xml:space="preserve"> pero teniendo en cuenta que un 20% de dichos cánceres no producen CEA. Los niveles séricos de CEA tienen una sensibilidad entre 65 y 95% en la detección de recurrencia antes de su detección clínica.</w:t>
      </w:r>
    </w:p>
    <w:p w:rsidR="00901F31" w:rsidRPr="00C7125E" w:rsidRDefault="005F15CB" w:rsidP="00901F31">
      <w:pPr>
        <w:spacing w:before="240" w:after="240" w:line="252" w:lineRule="atLeast"/>
        <w:jc w:val="both"/>
        <w:rPr>
          <w:rFonts w:ascii="Arial" w:eastAsia="Times New Roman" w:hAnsi="Arial" w:cs="Arial"/>
          <w:caps/>
          <w:sz w:val="20"/>
          <w:szCs w:val="20"/>
          <w:lang w:eastAsia="es-BO"/>
        </w:rPr>
      </w:pPr>
      <w:r w:rsidRPr="00C7125E">
        <w:rPr>
          <w:rFonts w:ascii="Arial" w:eastAsia="Times New Roman" w:hAnsi="Arial" w:cs="Arial"/>
          <w:b/>
          <w:bCs/>
          <w:caps/>
          <w:sz w:val="20"/>
          <w:szCs w:val="20"/>
          <w:lang w:eastAsia="es-BO"/>
        </w:rPr>
        <w:t xml:space="preserve">6. </w:t>
      </w:r>
      <w:r w:rsidR="00901F31" w:rsidRPr="00C7125E">
        <w:rPr>
          <w:rFonts w:ascii="Arial" w:eastAsia="Times New Roman" w:hAnsi="Arial" w:cs="Arial"/>
          <w:b/>
          <w:bCs/>
          <w:caps/>
          <w:sz w:val="20"/>
          <w:szCs w:val="20"/>
          <w:lang w:eastAsia="es-BO"/>
        </w:rPr>
        <w:t>Antígeno carcinoembrionario</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El antígeno </w:t>
      </w:r>
      <w:proofErr w:type="spellStart"/>
      <w:r w:rsidRPr="00C7125E">
        <w:rPr>
          <w:rFonts w:ascii="Arial" w:eastAsia="Times New Roman" w:hAnsi="Arial" w:cs="Arial"/>
          <w:sz w:val="20"/>
          <w:szCs w:val="20"/>
          <w:lang w:eastAsia="es-BO"/>
        </w:rPr>
        <w:t>carcinoembrionario</w:t>
      </w:r>
      <w:proofErr w:type="spellEnd"/>
      <w:r w:rsidRPr="00C7125E">
        <w:rPr>
          <w:rFonts w:ascii="Arial" w:eastAsia="Times New Roman" w:hAnsi="Arial" w:cs="Arial"/>
          <w:sz w:val="20"/>
          <w:szCs w:val="20"/>
          <w:lang w:eastAsia="es-BO"/>
        </w:rPr>
        <w:t xml:space="preserve"> (CEA, por sus siglas en inglés) normalmente se encuentra en cantidades pequeñas en la sangre de la mayoría de las personas saludables, pero puede elevarse en personas que tienen cáncer o algunos trastornos benignos. El antígeno </w:t>
      </w:r>
      <w:proofErr w:type="spellStart"/>
      <w:r w:rsidRPr="00C7125E">
        <w:rPr>
          <w:rFonts w:ascii="Arial" w:eastAsia="Times New Roman" w:hAnsi="Arial" w:cs="Arial"/>
          <w:sz w:val="20"/>
          <w:szCs w:val="20"/>
          <w:lang w:eastAsia="es-BO"/>
        </w:rPr>
        <w:t>carcinoembrionario</w:t>
      </w:r>
      <w:proofErr w:type="spellEnd"/>
      <w:r w:rsidRPr="00C7125E">
        <w:rPr>
          <w:rFonts w:ascii="Arial" w:eastAsia="Times New Roman" w:hAnsi="Arial" w:cs="Arial"/>
          <w:sz w:val="20"/>
          <w:szCs w:val="20"/>
          <w:lang w:eastAsia="es-BO"/>
        </w:rPr>
        <w:t xml:space="preserve"> se utiliza primordialmente para controlar el cáncer </w:t>
      </w:r>
      <w:proofErr w:type="spellStart"/>
      <w:r w:rsidRPr="00C7125E">
        <w:rPr>
          <w:rFonts w:ascii="Arial" w:eastAsia="Times New Roman" w:hAnsi="Arial" w:cs="Arial"/>
          <w:sz w:val="20"/>
          <w:szCs w:val="20"/>
          <w:lang w:eastAsia="es-BO"/>
        </w:rPr>
        <w:t>colorectal</w:t>
      </w:r>
      <w:proofErr w:type="spellEnd"/>
      <w:r w:rsidRPr="00C7125E">
        <w:rPr>
          <w:rFonts w:ascii="Arial" w:eastAsia="Times New Roman" w:hAnsi="Arial" w:cs="Arial"/>
          <w:sz w:val="20"/>
          <w:szCs w:val="20"/>
          <w:lang w:eastAsia="es-BO"/>
        </w:rPr>
        <w:t xml:space="preserve">, sobre todo cuando la enfermedad se ha extendido (ha hecho metástasis). También se utiliza después del tratamiento para controlar la recaída del cáncer </w:t>
      </w:r>
      <w:proofErr w:type="spellStart"/>
      <w:r w:rsidRPr="00C7125E">
        <w:rPr>
          <w:rFonts w:ascii="Arial" w:eastAsia="Times New Roman" w:hAnsi="Arial" w:cs="Arial"/>
          <w:sz w:val="20"/>
          <w:szCs w:val="20"/>
          <w:lang w:eastAsia="es-BO"/>
        </w:rPr>
        <w:t>colorectal</w:t>
      </w:r>
      <w:proofErr w:type="spellEnd"/>
      <w:r w:rsidRPr="00C7125E">
        <w:rPr>
          <w:rFonts w:ascii="Arial" w:eastAsia="Times New Roman" w:hAnsi="Arial" w:cs="Arial"/>
          <w:sz w:val="20"/>
          <w:szCs w:val="20"/>
          <w:lang w:eastAsia="es-BO"/>
        </w:rPr>
        <w:t>. Sin embargo, existe una gran variedad de otros cánceres que pueden producir niveles elevados de este marcador tumoral, los cuales incluyen melanoma; linfoma y cánceres del pecho, pulmón, páncreas, estómago, cuello del útero, vejiga, riñón, tiroides, hígado y ovario.</w:t>
      </w:r>
    </w:p>
    <w:p w:rsidR="00E559A6"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También se pueden presentar niveles elevados de antígeno </w:t>
      </w:r>
      <w:proofErr w:type="spellStart"/>
      <w:r w:rsidRPr="00C7125E">
        <w:rPr>
          <w:rFonts w:ascii="Arial" w:eastAsia="Times New Roman" w:hAnsi="Arial" w:cs="Arial"/>
          <w:sz w:val="20"/>
          <w:szCs w:val="20"/>
          <w:lang w:eastAsia="es-BO"/>
        </w:rPr>
        <w:t>carcinoembrionario</w:t>
      </w:r>
      <w:proofErr w:type="spellEnd"/>
      <w:r w:rsidRPr="00C7125E">
        <w:rPr>
          <w:rFonts w:ascii="Arial" w:eastAsia="Times New Roman" w:hAnsi="Arial" w:cs="Arial"/>
          <w:sz w:val="20"/>
          <w:szCs w:val="20"/>
          <w:lang w:eastAsia="es-BO"/>
        </w:rPr>
        <w:t xml:space="preserve"> en pacientes con trastornos no cancerosos, que incluyen la enfermedad inflamatoria del intestino, pancreatitis y la enfermedad del hígado. El uso del tabaco también puede contribuir a niveles de antígeno </w:t>
      </w:r>
      <w:proofErr w:type="spellStart"/>
      <w:r w:rsidRPr="00C7125E">
        <w:rPr>
          <w:rFonts w:ascii="Arial" w:eastAsia="Times New Roman" w:hAnsi="Arial" w:cs="Arial"/>
          <w:sz w:val="20"/>
          <w:szCs w:val="20"/>
          <w:lang w:eastAsia="es-BO"/>
        </w:rPr>
        <w:t>carcinoembrionario</w:t>
      </w:r>
      <w:proofErr w:type="spellEnd"/>
      <w:r w:rsidRPr="00C7125E">
        <w:rPr>
          <w:rFonts w:ascii="Arial" w:eastAsia="Times New Roman" w:hAnsi="Arial" w:cs="Arial"/>
          <w:sz w:val="20"/>
          <w:szCs w:val="20"/>
          <w:lang w:eastAsia="es-BO"/>
        </w:rPr>
        <w:t xml:space="preserve"> más altos de los normales. </w:t>
      </w:r>
      <w:r w:rsidR="00E559A6" w:rsidRPr="00C7125E">
        <w:rPr>
          <w:rFonts w:ascii="Arial" w:eastAsia="Times New Roman" w:hAnsi="Arial" w:cs="Arial"/>
          <w:bCs/>
          <w:sz w:val="20"/>
          <w:szCs w:val="20"/>
          <w:lang w:eastAsia="es-BO"/>
        </w:rPr>
        <w:t xml:space="preserve">Falsos positivos suelen encontrarse en niveles menores a 10 </w:t>
      </w:r>
      <w:proofErr w:type="spellStart"/>
      <w:r w:rsidR="00E559A6" w:rsidRPr="00C7125E">
        <w:rPr>
          <w:rFonts w:ascii="Arial" w:eastAsia="Times New Roman" w:hAnsi="Arial" w:cs="Arial"/>
          <w:bCs/>
          <w:sz w:val="20"/>
          <w:szCs w:val="20"/>
          <w:lang w:eastAsia="es-BO"/>
        </w:rPr>
        <w:t>ng</w:t>
      </w:r>
      <w:proofErr w:type="spellEnd"/>
      <w:r w:rsidR="00E559A6" w:rsidRPr="00C7125E">
        <w:rPr>
          <w:rFonts w:ascii="Arial" w:eastAsia="Times New Roman" w:hAnsi="Arial" w:cs="Arial"/>
          <w:bCs/>
          <w:sz w:val="20"/>
          <w:szCs w:val="20"/>
          <w:lang w:eastAsia="es-BO"/>
        </w:rPr>
        <w:t>/ml. La sensibilidad del CEA para detectar las recurrencias se ve muy influenciada por el lugar donde se dé la recurrencia. El CEA es más sensitivo en metástasis hepáticas y mucho menor en metástasis o pulmonares. Después de la resección de un carcinoma los valores deben bajar a la normalidad en un rango de cuatro a seis semanas después de la cirugí</w:t>
      </w:r>
      <w:r w:rsidRPr="00C7125E">
        <w:rPr>
          <w:rFonts w:ascii="Arial" w:eastAsia="Times New Roman" w:hAnsi="Arial" w:cs="Arial"/>
          <w:bCs/>
          <w:sz w:val="20"/>
          <w:szCs w:val="20"/>
          <w:lang w:eastAsia="es-BO"/>
        </w:rPr>
        <w:t xml:space="preserve">a.  </w:t>
      </w:r>
      <w:r w:rsidR="00E559A6" w:rsidRPr="00C7125E">
        <w:rPr>
          <w:rFonts w:ascii="Arial" w:eastAsia="Times New Roman" w:hAnsi="Arial" w:cs="Arial"/>
          <w:bCs/>
          <w:sz w:val="20"/>
          <w:szCs w:val="20"/>
          <w:lang w:eastAsia="es-BO"/>
        </w:rPr>
        <w:t xml:space="preserve">Si los niveles se mantienen elevados o aumentan puede indicar resección quirúrgica incompleta o metástasis. En pacientes a los cuales se las da seguimiento para detectar recurrencias se puede encontrar un 16% de falsos positivos si el valor corte que se utiliza para el CEA es de 5 </w:t>
      </w:r>
      <w:proofErr w:type="spellStart"/>
      <w:r w:rsidR="00E559A6" w:rsidRPr="00C7125E">
        <w:rPr>
          <w:rFonts w:ascii="Arial" w:eastAsia="Times New Roman" w:hAnsi="Arial" w:cs="Arial"/>
          <w:bCs/>
          <w:sz w:val="20"/>
          <w:szCs w:val="20"/>
          <w:lang w:eastAsia="es-BO"/>
        </w:rPr>
        <w:t>ng</w:t>
      </w:r>
      <w:proofErr w:type="spellEnd"/>
      <w:r w:rsidR="00E559A6" w:rsidRPr="00C7125E">
        <w:rPr>
          <w:rFonts w:ascii="Arial" w:eastAsia="Times New Roman" w:hAnsi="Arial" w:cs="Arial"/>
          <w:bCs/>
          <w:sz w:val="20"/>
          <w:szCs w:val="20"/>
          <w:lang w:eastAsia="es-BO"/>
        </w:rPr>
        <w:t xml:space="preserve">/ml, los falsos positivos van a ser menores al 1% si el valor corte que se utiliza es 15 </w:t>
      </w:r>
      <w:proofErr w:type="spellStart"/>
      <w:r w:rsidR="00E559A6" w:rsidRPr="00C7125E">
        <w:rPr>
          <w:rFonts w:ascii="Arial" w:eastAsia="Times New Roman" w:hAnsi="Arial" w:cs="Arial"/>
          <w:bCs/>
          <w:sz w:val="20"/>
          <w:szCs w:val="20"/>
          <w:lang w:eastAsia="es-BO"/>
        </w:rPr>
        <w:t>ng</w:t>
      </w:r>
      <w:proofErr w:type="spellEnd"/>
      <w:r w:rsidR="00E559A6" w:rsidRPr="00C7125E">
        <w:rPr>
          <w:rFonts w:ascii="Arial" w:eastAsia="Times New Roman" w:hAnsi="Arial" w:cs="Arial"/>
          <w:bCs/>
          <w:sz w:val="20"/>
          <w:szCs w:val="20"/>
          <w:lang w:eastAsia="es-BO"/>
        </w:rPr>
        <w:t>/ml. El mejor indicador de recurrencias es un aumento gradual de las concentraciones de CEA, generalmente aumentos mayores a 12,5% por mes.</w:t>
      </w:r>
      <w:r w:rsidR="00E559A6" w:rsidRPr="00C7125E">
        <w:rPr>
          <w:rFonts w:ascii="Arial" w:eastAsia="Times New Roman" w:hAnsi="Arial" w:cs="Arial"/>
          <w:bCs/>
          <w:sz w:val="20"/>
          <w:szCs w:val="20"/>
          <w:lang w:eastAsia="es-BO"/>
        </w:rPr>
        <w:br/>
      </w:r>
      <w:r w:rsidR="00E559A6" w:rsidRPr="00C7125E">
        <w:rPr>
          <w:rFonts w:ascii="Arial" w:eastAsia="Times New Roman" w:hAnsi="Arial" w:cs="Arial"/>
          <w:bCs/>
          <w:sz w:val="20"/>
          <w:szCs w:val="20"/>
          <w:lang w:eastAsia="es-BO"/>
        </w:rPr>
        <w:br/>
        <w:t xml:space="preserve">En otros carcinomas como el de estómago (en un 50%), pulmón (en un 77%) y páncreas (en un 50%), concentraciones posoperatorias elevadas de CEA van a estar asociados a recurrencias. En pacientes con resección de cáncer esofágico, el CEA ha demostrado ser muy factor muy importante ya que se puede detectar la recurrencia mucho más temprano que la aparición de los primeros indicios clínicos, con un valor predictivo muy alto. En el caso de cáncer gástrico la combinación del CEA y el CA 72-4 es muy útil como pronóstico </w:t>
      </w:r>
      <w:proofErr w:type="spellStart"/>
      <w:r w:rsidR="00E559A6" w:rsidRPr="00C7125E">
        <w:rPr>
          <w:rFonts w:ascii="Arial" w:eastAsia="Times New Roman" w:hAnsi="Arial" w:cs="Arial"/>
          <w:bCs/>
          <w:sz w:val="20"/>
          <w:szCs w:val="20"/>
          <w:lang w:eastAsia="es-BO"/>
        </w:rPr>
        <w:t>preoperativo</w:t>
      </w:r>
      <w:proofErr w:type="spellEnd"/>
      <w:r w:rsidR="00E559A6" w:rsidRPr="00C7125E">
        <w:rPr>
          <w:rFonts w:ascii="Arial" w:eastAsia="Times New Roman" w:hAnsi="Arial" w:cs="Arial"/>
          <w:bCs/>
          <w:sz w:val="20"/>
          <w:szCs w:val="20"/>
          <w:lang w:eastAsia="es-BO"/>
        </w:rPr>
        <w:t>, mientras que el uso del CA 72-4 ha demostrado ser mejor para el seguimiento posoperatorio.</w:t>
      </w:r>
      <w:r w:rsidR="00E559A6" w:rsidRPr="00C7125E">
        <w:rPr>
          <w:rFonts w:ascii="Arial" w:eastAsia="Times New Roman" w:hAnsi="Arial" w:cs="Arial"/>
          <w:bCs/>
          <w:sz w:val="20"/>
          <w:szCs w:val="20"/>
          <w:lang w:eastAsia="es-BO"/>
        </w:rPr>
        <w:br/>
        <w:t xml:space="preserve">Para el seguimiento posoperatorio de cáncer de mama el CA 15-3 y el CA 27.29 son los más </w:t>
      </w:r>
      <w:r w:rsidR="00E559A6" w:rsidRPr="00C7125E">
        <w:rPr>
          <w:rFonts w:ascii="Arial" w:eastAsia="Times New Roman" w:hAnsi="Arial" w:cs="Arial"/>
          <w:bCs/>
          <w:sz w:val="20"/>
          <w:szCs w:val="20"/>
          <w:lang w:eastAsia="es-BO"/>
        </w:rPr>
        <w:lastRenderedPageBreak/>
        <w:t>convenientes. El CEA solo es recomendado en aquellos casos que el cáncer de mama lo produzca en altas concentraciones y donde los dos anteriores marcadores no sean producidos en niveles adecuados para el seguimiento de la en</w:t>
      </w:r>
    </w:p>
    <w:p w:rsidR="00E559A6" w:rsidRPr="00C7125E" w:rsidRDefault="005F15CB" w:rsidP="00E559A6">
      <w:pPr>
        <w:keepNext/>
        <w:keepLines/>
        <w:spacing w:before="161" w:after="161"/>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t xml:space="preserve">7. </w:t>
      </w:r>
      <w:r w:rsidR="00E559A6" w:rsidRPr="00C7125E">
        <w:rPr>
          <w:rFonts w:ascii="Arial" w:eastAsia="Times New Roman" w:hAnsi="Arial" w:cs="Arial"/>
          <w:b/>
          <w:bCs/>
          <w:kern w:val="36"/>
          <w:sz w:val="20"/>
          <w:szCs w:val="20"/>
          <w:lang w:eastAsia="es-BO"/>
        </w:rPr>
        <w:t>Marcador Tumoral CA 125</w:t>
      </w:r>
    </w:p>
    <w:p w:rsidR="00E559A6" w:rsidRPr="00C7125E" w:rsidRDefault="00C7125E" w:rsidP="00C7125E">
      <w:pPr>
        <w:spacing w:before="401" w:after="401" w:line="240" w:lineRule="auto"/>
        <w:outlineLvl w:val="4"/>
        <w:rPr>
          <w:rFonts w:ascii="Arial" w:eastAsia="Times New Roman" w:hAnsi="Arial" w:cs="Arial"/>
          <w:b/>
          <w:bCs/>
          <w:sz w:val="20"/>
          <w:szCs w:val="20"/>
          <w:lang w:eastAsia="es-BO"/>
        </w:rPr>
      </w:pPr>
      <w:r>
        <w:rPr>
          <w:rFonts w:ascii="Arial" w:eastAsia="Times New Roman" w:hAnsi="Arial" w:cs="Arial"/>
          <w:b/>
          <w:bCs/>
          <w:sz w:val="20"/>
          <w:szCs w:val="20"/>
          <w:lang w:eastAsia="es-BO"/>
        </w:rPr>
        <w:t xml:space="preserve">Valores </w:t>
      </w:r>
      <w:r w:rsidR="00E559A6" w:rsidRPr="00C7125E">
        <w:rPr>
          <w:rFonts w:ascii="Arial" w:eastAsia="Times New Roman" w:hAnsi="Arial" w:cs="Arial"/>
          <w:b/>
          <w:bCs/>
          <w:sz w:val="20"/>
          <w:szCs w:val="20"/>
          <w:lang w:eastAsia="es-BO"/>
        </w:rPr>
        <w:t>normales</w:t>
      </w:r>
      <w:r w:rsidR="00E559A6" w:rsidRPr="00C7125E">
        <w:rPr>
          <w:rFonts w:ascii="Arial" w:eastAsia="Times New Roman" w:hAnsi="Arial" w:cs="Arial"/>
          <w:b/>
          <w:bCs/>
          <w:sz w:val="20"/>
          <w:szCs w:val="20"/>
          <w:lang w:eastAsia="es-BO"/>
        </w:rPr>
        <w:br/>
      </w:r>
      <w:r w:rsidR="00E559A6" w:rsidRPr="00C7125E">
        <w:rPr>
          <w:rFonts w:ascii="Arial" w:eastAsia="Times New Roman" w:hAnsi="Arial" w:cs="Arial"/>
          <w:b/>
          <w:bCs/>
          <w:sz w:val="20"/>
          <w:szCs w:val="20"/>
          <w:lang w:eastAsia="es-BO"/>
        </w:rPr>
        <w:br/>
        <w:t>0-35 U/ml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El CA-125 es una glicoproteína de alto peso molecular (&gt;200KD), la cual se encuentra altamente expresada en la superficie celular del epitelio </w:t>
      </w:r>
      <w:proofErr w:type="spellStart"/>
      <w:r w:rsidRPr="00C7125E">
        <w:rPr>
          <w:rFonts w:ascii="Arial" w:eastAsia="Times New Roman" w:hAnsi="Arial" w:cs="Arial"/>
          <w:sz w:val="20"/>
          <w:szCs w:val="20"/>
          <w:lang w:eastAsia="es-BO"/>
        </w:rPr>
        <w:t>celómico</w:t>
      </w:r>
      <w:proofErr w:type="spellEnd"/>
      <w:r w:rsidRPr="00C7125E">
        <w:rPr>
          <w:rFonts w:ascii="Arial" w:eastAsia="Times New Roman" w:hAnsi="Arial" w:cs="Arial"/>
          <w:sz w:val="20"/>
          <w:szCs w:val="20"/>
          <w:lang w:eastAsia="es-BO"/>
        </w:rPr>
        <w:t xml:space="preserve"> durante el desarrollo embrionario y en las células epiteliales de muchas malignidades ováricas.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Concentraciones elevadas en el suero de CA-125 las podemos encontrar en el 80% de las mujeres con </w:t>
      </w:r>
      <w:hyperlink r:id="rId22" w:history="1">
        <w:r w:rsidRPr="00C7125E">
          <w:rPr>
            <w:rFonts w:ascii="Arial" w:eastAsia="Times New Roman" w:hAnsi="Arial" w:cs="Arial"/>
            <w:sz w:val="20"/>
            <w:szCs w:val="20"/>
            <w:lang w:eastAsia="es-BO"/>
          </w:rPr>
          <w:t>carcinoma de ovario</w:t>
        </w:r>
      </w:hyperlink>
      <w:r w:rsidRPr="00C7125E">
        <w:rPr>
          <w:rFonts w:ascii="Arial" w:eastAsia="Times New Roman" w:hAnsi="Arial" w:cs="Arial"/>
          <w:sz w:val="20"/>
          <w:szCs w:val="20"/>
          <w:lang w:eastAsia="es-BO"/>
        </w:rPr>
        <w:t xml:space="preserve">, en el 26% de las mujeres con tumores ováricos benignos y en el 66% de las pacientes con condiciones no neoplásicas incluyendo estados como el primer trimestre del embarazo, menstruación, endometriosis, </w:t>
      </w:r>
      <w:proofErr w:type="spellStart"/>
      <w:r w:rsidRPr="00C7125E">
        <w:rPr>
          <w:rFonts w:ascii="Arial" w:eastAsia="Times New Roman" w:hAnsi="Arial" w:cs="Arial"/>
          <w:sz w:val="20"/>
          <w:szCs w:val="20"/>
          <w:lang w:eastAsia="es-BO"/>
        </w:rPr>
        <w:t>adenomiosis</w:t>
      </w:r>
      <w:proofErr w:type="spellEnd"/>
      <w:r w:rsidRPr="00C7125E">
        <w:rPr>
          <w:rFonts w:ascii="Arial" w:eastAsia="Times New Roman" w:hAnsi="Arial" w:cs="Arial"/>
          <w:sz w:val="20"/>
          <w:szCs w:val="20"/>
          <w:lang w:eastAsia="es-BO"/>
        </w:rPr>
        <w:t>, fibrosis uterina, salpingitis aguda, enfermedades hepáticas como la cirrosis y en inflamaciones del peritoneo, pericardio y pleura.</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Sólo del 0,8% al 3% de las mujeres "sanas" tienen concentraciones elevadas de CA-125 entre 35 y 65 U/ml. Niveles elevados también han sido descritos en pacientes con tuberculosis peritoneal pélvica.</w:t>
      </w:r>
      <w:r w:rsidRPr="00C7125E">
        <w:rPr>
          <w:rFonts w:ascii="Arial" w:eastAsia="Times New Roman" w:hAnsi="Arial" w:cs="Arial"/>
          <w:sz w:val="20"/>
          <w:szCs w:val="20"/>
          <w:lang w:eastAsia="es-BO"/>
        </w:rPr>
        <w:br/>
        <w:t>Concentraciones elevadas de CA-125 en el suero (&gt;35 U/ml) se encuentran en el 90% de las pacientes con carcinoma de ovario diseminado (estados II, III y IV); sin embargo, sólo el 50% de las pacientes que sólo poseen la enfermedad confinada al ovario (estado I) dan niveles altos.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La combinación del examen pélvico y la concentración de CA-125 (&gt;30 U/ml) para la detección </w:t>
      </w:r>
      <w:proofErr w:type="spellStart"/>
      <w:r w:rsidRPr="00C7125E">
        <w:rPr>
          <w:rFonts w:ascii="Arial" w:eastAsia="Times New Roman" w:hAnsi="Arial" w:cs="Arial"/>
          <w:sz w:val="20"/>
          <w:szCs w:val="20"/>
          <w:lang w:eastAsia="es-BO"/>
        </w:rPr>
        <w:t>de</w:t>
      </w:r>
      <w:hyperlink r:id="rId23" w:history="1">
        <w:r w:rsidRPr="00C7125E">
          <w:rPr>
            <w:rFonts w:ascii="Arial" w:eastAsia="Times New Roman" w:hAnsi="Arial" w:cs="Arial"/>
            <w:sz w:val="20"/>
            <w:szCs w:val="20"/>
            <w:lang w:eastAsia="es-BO"/>
          </w:rPr>
          <w:t>cáncer</w:t>
        </w:r>
        <w:proofErr w:type="spellEnd"/>
        <w:r w:rsidRPr="00C7125E">
          <w:rPr>
            <w:rFonts w:ascii="Arial" w:eastAsia="Times New Roman" w:hAnsi="Arial" w:cs="Arial"/>
            <w:sz w:val="20"/>
            <w:szCs w:val="20"/>
            <w:lang w:eastAsia="es-BO"/>
          </w:rPr>
          <w:t xml:space="preserve"> de ovario</w:t>
        </w:r>
      </w:hyperlink>
      <w:r w:rsidRPr="00C7125E">
        <w:rPr>
          <w:rFonts w:ascii="Arial" w:eastAsia="Times New Roman" w:hAnsi="Arial" w:cs="Arial"/>
          <w:sz w:val="20"/>
          <w:szCs w:val="20"/>
          <w:lang w:eastAsia="es-BO"/>
        </w:rPr>
        <w:t xml:space="preserve"> dan una especificidad de 99.6%. En la detección del cáncer de ovario, la realización de ultrasonidos </w:t>
      </w:r>
      <w:proofErr w:type="gramStart"/>
      <w:r w:rsidRPr="00C7125E">
        <w:rPr>
          <w:rFonts w:ascii="Arial" w:eastAsia="Times New Roman" w:hAnsi="Arial" w:cs="Arial"/>
          <w:sz w:val="20"/>
          <w:szCs w:val="20"/>
          <w:lang w:eastAsia="es-BO"/>
        </w:rPr>
        <w:t>ayudan</w:t>
      </w:r>
      <w:proofErr w:type="gramEnd"/>
      <w:r w:rsidRPr="00C7125E">
        <w:rPr>
          <w:rFonts w:ascii="Arial" w:eastAsia="Times New Roman" w:hAnsi="Arial" w:cs="Arial"/>
          <w:sz w:val="20"/>
          <w:szCs w:val="20"/>
          <w:lang w:eastAsia="es-BO"/>
        </w:rPr>
        <w:t xml:space="preserve"> en la sensibilidad y especificidad; así mismo, determinaciones seriales de CA-125 con valores persistentemente elevados tienen un valor predictivo positivo.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La ausencia de una masa pélvica en una enfermedad maligna es poco común, desde este punto de vista, la realización de un ultrasonido en mujeres con historia familiar de cáncer de ovario cuando la concentración de CA-125 está por arriba de 20 U/ml es un buen parámetro en la detección del cáncer.</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CA-125 puede servir también como marcador pronóstico de sobrevida del paciente. Pacientes con concentraciones de CA-125 &gt;450 U/ml tienen una pobre sobrevida con apenas 7 meses, mientras que pacientes con concentraciones &lt;55 U/ml tienen una mejor sobrevida (hasta 23 meses). </w:t>
      </w:r>
      <w:r w:rsidRPr="00C7125E">
        <w:rPr>
          <w:rFonts w:ascii="Arial" w:eastAsia="Times New Roman" w:hAnsi="Arial" w:cs="Arial"/>
          <w:sz w:val="20"/>
          <w:szCs w:val="20"/>
          <w:lang w:eastAsia="es-BO"/>
        </w:rPr>
        <w:br/>
        <w:t>Concentraciones pos-operatorias predicen una sobrevida superior a 2 años (&gt;35 U/ml 87%;&gt;65 U/ml 30%). La tasa de disminución del CA-125 después del primer ciclo de quimioterapia es un indicador del pronóstico predictivo de sobrevida del paciente. Pacientes con una disminución &gt;50% en la concentración de CA-125 tienen un 45% de 2 años de sobrevida comparado a un 22% en pacientes cuya disminución fue &lt;50%. Un aumento de más de 60 U/ml después del primer ciclo de quimioterapia es un indicador de que puede haber una recaída.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lastRenderedPageBreak/>
        <w:br/>
        <w:t xml:space="preserve">El más importante uso del CA-125 es en el seguimiento de pacientes que fueron sometidos a una </w:t>
      </w:r>
      <w:proofErr w:type="spellStart"/>
      <w:r w:rsidRPr="00C7125E">
        <w:rPr>
          <w:rFonts w:ascii="Arial" w:eastAsia="Times New Roman" w:hAnsi="Arial" w:cs="Arial"/>
          <w:sz w:val="20"/>
          <w:szCs w:val="20"/>
          <w:lang w:eastAsia="es-BO"/>
        </w:rPr>
        <w:t>ooforectomía</w:t>
      </w:r>
      <w:proofErr w:type="spellEnd"/>
      <w:r w:rsidRPr="00C7125E">
        <w:rPr>
          <w:rFonts w:ascii="Arial" w:eastAsia="Times New Roman" w:hAnsi="Arial" w:cs="Arial"/>
          <w:sz w:val="20"/>
          <w:szCs w:val="20"/>
          <w:lang w:eastAsia="es-BO"/>
        </w:rPr>
        <w:t>. Enfermedades residuales fueron detectadas en un 95% de los casos en aquellas pacientes cuyas concentraciones de CA-125 fueron mayores a 35 U/ml. Sin embargo, un resultado negativo no excluye la presencia de una recaída, la mitad de las pacientes que tuvieron un resultado negativo tenían un carcinoma microscópico residual. El mejor seguimiento de pacientes con carcinoma ovárico recurrente es la combinación de los dos procedimientos, biopsias y CA-125.</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El CA 125 es producido por una variedad de células, pero particularmente por células de cáncer ovárico. Los estudios han demostrado que muchas mujeres con cáncer ovárico tienen niveles elevados de CA 125. El CA 125 se usa principalmente en el manejo del tratamiento del cáncer ovárico. En las mujeres con cáncer ovárico que están siendo tratadas con quimioterapia, una disminución en el nivel de CA 125 generalmente indica que el cáncer está respondiendo al tratamiento. Por otro lado, un aumento en los niveles de CA 125 durante o después del tratamiento puede indicar que el cáncer no está respondiendo a la terapia o que algunas células cancerosas permanecen aún en el cuerpo. Los médicos también pueden utilizar los niveles de CA 125 para supervisar la recaída de los pacientes con cáncer ovárico.</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No todas las mujeres con niveles elevados de CA 125 tienen cáncer ovárico. Los niveles de CA 125 también pueden aumentar por los cánceres del cuello y cuerpo del útero, páncreas, hígado, colon, seno, pulmón y del tracto digestivo. Los trastornos no cancerosos que pueden causar aumento en los niveles de CA 125 incluyen la endometriosis, la enfermedad pélvica inflamatoria, peritonitis, pancreatitis, enfermedad del hígado y cualquier trastorno que inflame la pleura (el tejido que rodea los pulmones y recubre la cavidad del pecho). La menstruación y el embarazo también pueden causar un aumento de CA 125.</w:t>
      </w:r>
    </w:p>
    <w:p w:rsidR="00901F31" w:rsidRPr="00C7125E" w:rsidRDefault="00901F31" w:rsidP="00E559A6">
      <w:pPr>
        <w:spacing w:before="240" w:after="240" w:line="252" w:lineRule="atLeast"/>
        <w:jc w:val="both"/>
        <w:rPr>
          <w:rFonts w:ascii="Arial" w:eastAsia="Times New Roman" w:hAnsi="Arial" w:cs="Arial"/>
          <w:sz w:val="20"/>
          <w:szCs w:val="20"/>
          <w:lang w:eastAsia="es-BO"/>
        </w:rPr>
      </w:pPr>
    </w:p>
    <w:p w:rsidR="00E559A6" w:rsidRPr="00C7125E" w:rsidRDefault="005F15CB" w:rsidP="00E559A6">
      <w:pPr>
        <w:spacing w:before="161" w:after="161" w:line="240" w:lineRule="auto"/>
        <w:jc w:val="both"/>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t xml:space="preserve">8. </w:t>
      </w:r>
      <w:r w:rsidR="00E559A6" w:rsidRPr="00C7125E">
        <w:rPr>
          <w:rFonts w:ascii="Arial" w:eastAsia="Times New Roman" w:hAnsi="Arial" w:cs="Arial"/>
          <w:b/>
          <w:bCs/>
          <w:kern w:val="36"/>
          <w:sz w:val="20"/>
          <w:szCs w:val="20"/>
          <w:lang w:eastAsia="es-BO"/>
        </w:rPr>
        <w:t>Marcador Tumoral CA 19-9</w:t>
      </w:r>
    </w:p>
    <w:p w:rsidR="00E559A6" w:rsidRPr="00C7125E" w:rsidRDefault="00E559A6" w:rsidP="00533E00">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Valores normales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0- 37 UI/ml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Se trata de una glicoproteína de peso molecular de más de 400 </w:t>
      </w:r>
      <w:proofErr w:type="spellStart"/>
      <w:r w:rsidRPr="00C7125E">
        <w:rPr>
          <w:rFonts w:ascii="Arial" w:eastAsia="Times New Roman" w:hAnsi="Arial" w:cs="Arial"/>
          <w:sz w:val="20"/>
          <w:szCs w:val="20"/>
          <w:lang w:eastAsia="es-BO"/>
        </w:rPr>
        <w:t>kD</w:t>
      </w:r>
      <w:proofErr w:type="spellEnd"/>
      <w:r w:rsidRPr="00C7125E">
        <w:rPr>
          <w:rFonts w:ascii="Arial" w:eastAsia="Times New Roman" w:hAnsi="Arial" w:cs="Arial"/>
          <w:sz w:val="20"/>
          <w:szCs w:val="20"/>
          <w:lang w:eastAsia="es-BO"/>
        </w:rPr>
        <w:t xml:space="preserve"> relacionado con el grupo sanguíneo </w:t>
      </w:r>
      <w:proofErr w:type="spellStart"/>
      <w:r w:rsidRPr="00C7125E">
        <w:rPr>
          <w:rFonts w:ascii="Arial" w:eastAsia="Times New Roman" w:hAnsi="Arial" w:cs="Arial"/>
          <w:sz w:val="20"/>
          <w:szCs w:val="20"/>
          <w:lang w:eastAsia="es-BO"/>
        </w:rPr>
        <w:t>Lewisab</w:t>
      </w:r>
      <w:proofErr w:type="spellEnd"/>
    </w:p>
    <w:p w:rsidR="00533E00" w:rsidRDefault="00E559A6" w:rsidP="00533E00">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Su mayor uso es en el diagnóstico y seguimiento de procesos malignos gastrointestinales tales como </w:t>
      </w:r>
      <w:hyperlink r:id="rId24" w:history="1">
        <w:r w:rsidRPr="00C7125E">
          <w:rPr>
            <w:rFonts w:ascii="Arial" w:eastAsia="Times New Roman" w:hAnsi="Arial" w:cs="Arial"/>
            <w:sz w:val="20"/>
            <w:szCs w:val="20"/>
            <w:u w:val="single"/>
            <w:lang w:eastAsia="es-BO"/>
          </w:rPr>
          <w:t>adenocarcinomas pancreáticos</w:t>
        </w:r>
      </w:hyperlink>
      <w:r w:rsidRPr="00C7125E">
        <w:rPr>
          <w:rFonts w:ascii="Arial" w:eastAsia="Times New Roman" w:hAnsi="Arial" w:cs="Arial"/>
          <w:sz w:val="20"/>
          <w:szCs w:val="20"/>
          <w:lang w:eastAsia="es-BO"/>
        </w:rPr>
        <w:t>. Proceso no malignos como pancreatitis pueden presentar niveles elevados (niveles menores de 75 UI/ml en el 90% de pacientes con pancreatitis).</w:t>
      </w:r>
      <w:r w:rsidRPr="00C7125E">
        <w:rPr>
          <w:rFonts w:ascii="Arial" w:eastAsia="Times New Roman" w:hAnsi="Arial" w:cs="Arial"/>
          <w:sz w:val="20"/>
          <w:szCs w:val="20"/>
          <w:lang w:eastAsia="es-BO"/>
        </w:rPr>
        <w:br/>
        <w:t>Concentraciones mayores de 37 UI/ml se pueden encontrar en </w:t>
      </w:r>
      <w:hyperlink r:id="rId25" w:history="1">
        <w:r w:rsidRPr="00C7125E">
          <w:rPr>
            <w:rFonts w:ascii="Arial" w:eastAsia="Times New Roman" w:hAnsi="Arial" w:cs="Arial"/>
            <w:sz w:val="20"/>
            <w:szCs w:val="20"/>
            <w:u w:val="single"/>
            <w:lang w:eastAsia="es-BO"/>
          </w:rPr>
          <w:t>carcinoma pancreático</w:t>
        </w:r>
      </w:hyperlink>
      <w:r w:rsidRPr="00C7125E">
        <w:rPr>
          <w:rFonts w:ascii="Arial" w:eastAsia="Times New Roman" w:hAnsi="Arial" w:cs="Arial"/>
          <w:sz w:val="20"/>
          <w:szCs w:val="20"/>
          <w:lang w:eastAsia="es-BO"/>
        </w:rPr>
        <w:t> (72-100%), carcinoma </w:t>
      </w:r>
      <w:proofErr w:type="spellStart"/>
      <w:r w:rsidRPr="00C7125E">
        <w:rPr>
          <w:rFonts w:ascii="Arial" w:eastAsia="Times New Roman" w:hAnsi="Arial" w:cs="Arial"/>
          <w:sz w:val="20"/>
          <w:szCs w:val="20"/>
          <w:lang w:eastAsia="es-BO"/>
        </w:rPr>
        <w:fldChar w:fldCharType="begin"/>
      </w:r>
      <w:r w:rsidRPr="00C7125E">
        <w:rPr>
          <w:rFonts w:ascii="Arial" w:eastAsia="Times New Roman" w:hAnsi="Arial" w:cs="Arial"/>
          <w:sz w:val="20"/>
          <w:szCs w:val="20"/>
          <w:lang w:eastAsia="es-BO"/>
        </w:rPr>
        <w:instrText xml:space="preserve"> HYPERLINK "http://www.geosalud.com/Cancerpacientes/higadoindex.htm" </w:instrText>
      </w:r>
      <w:r w:rsidRPr="00C7125E">
        <w:rPr>
          <w:rFonts w:ascii="Arial" w:eastAsia="Times New Roman" w:hAnsi="Arial" w:cs="Arial"/>
          <w:sz w:val="20"/>
          <w:szCs w:val="20"/>
          <w:lang w:eastAsia="es-BO"/>
        </w:rPr>
        <w:fldChar w:fldCharType="separate"/>
      </w:r>
      <w:r w:rsidRPr="00C7125E">
        <w:rPr>
          <w:rFonts w:ascii="Arial" w:eastAsia="Times New Roman" w:hAnsi="Arial" w:cs="Arial"/>
          <w:sz w:val="20"/>
          <w:szCs w:val="20"/>
          <w:u w:val="single"/>
          <w:lang w:eastAsia="es-BO"/>
        </w:rPr>
        <w:t>hepatocelular</w:t>
      </w:r>
      <w:proofErr w:type="spellEnd"/>
      <w:r w:rsidRPr="00C7125E">
        <w:rPr>
          <w:rFonts w:ascii="Arial" w:eastAsia="Times New Roman" w:hAnsi="Arial" w:cs="Arial"/>
          <w:sz w:val="20"/>
          <w:szCs w:val="20"/>
          <w:lang w:eastAsia="es-BO"/>
        </w:rPr>
        <w:fldChar w:fldCharType="end"/>
      </w:r>
      <w:r w:rsidRPr="00C7125E">
        <w:rPr>
          <w:rFonts w:ascii="Arial" w:eastAsia="Times New Roman" w:hAnsi="Arial" w:cs="Arial"/>
          <w:sz w:val="20"/>
          <w:szCs w:val="20"/>
          <w:lang w:eastAsia="es-BO"/>
        </w:rPr>
        <w:t> (67%), </w:t>
      </w:r>
      <w:hyperlink r:id="rId26" w:history="1">
        <w:r w:rsidRPr="00C7125E">
          <w:rPr>
            <w:rFonts w:ascii="Arial" w:eastAsia="Times New Roman" w:hAnsi="Arial" w:cs="Arial"/>
            <w:sz w:val="20"/>
            <w:szCs w:val="20"/>
            <w:u w:val="single"/>
            <w:lang w:eastAsia="es-BO"/>
          </w:rPr>
          <w:t>carcinoma gástrico</w:t>
        </w:r>
        <w:r w:rsidRPr="00C7125E">
          <w:rPr>
            <w:rFonts w:ascii="Arial" w:eastAsia="Times New Roman" w:hAnsi="Arial" w:cs="Arial"/>
            <w:sz w:val="20"/>
            <w:szCs w:val="20"/>
            <w:lang w:eastAsia="es-BO"/>
          </w:rPr>
          <w:t> </w:t>
        </w:r>
      </w:hyperlink>
      <w:r w:rsidRPr="00C7125E">
        <w:rPr>
          <w:rFonts w:ascii="Arial" w:eastAsia="Times New Roman" w:hAnsi="Arial" w:cs="Arial"/>
          <w:sz w:val="20"/>
          <w:szCs w:val="20"/>
          <w:lang w:eastAsia="es-BO"/>
        </w:rPr>
        <w:t>(62%) y en algunos pacientes con </w:t>
      </w:r>
      <w:hyperlink r:id="rId27" w:history="1">
        <w:r w:rsidRPr="00C7125E">
          <w:rPr>
            <w:rFonts w:ascii="Arial" w:eastAsia="Times New Roman" w:hAnsi="Arial" w:cs="Arial"/>
            <w:sz w:val="20"/>
            <w:szCs w:val="20"/>
            <w:u w:val="single"/>
            <w:lang w:eastAsia="es-BO"/>
          </w:rPr>
          <w:t xml:space="preserve">carcinoma </w:t>
        </w:r>
        <w:proofErr w:type="spellStart"/>
        <w:r w:rsidRPr="00C7125E">
          <w:rPr>
            <w:rFonts w:ascii="Arial" w:eastAsia="Times New Roman" w:hAnsi="Arial" w:cs="Arial"/>
            <w:sz w:val="20"/>
            <w:szCs w:val="20"/>
            <w:u w:val="single"/>
            <w:lang w:eastAsia="es-BO"/>
          </w:rPr>
          <w:t>colorrectal</w:t>
        </w:r>
        <w:proofErr w:type="spellEnd"/>
      </w:hyperlink>
      <w:r w:rsidRPr="00C7125E">
        <w:rPr>
          <w:rFonts w:ascii="Arial" w:eastAsia="Times New Roman" w:hAnsi="Arial" w:cs="Arial"/>
          <w:sz w:val="20"/>
          <w:szCs w:val="20"/>
          <w:lang w:eastAsia="es-BO"/>
        </w:rPr>
        <w:t xml:space="preserve"> (19%). Su uso principal se dirige a detectar carcinomas de páncreas que aún puede ser </w:t>
      </w:r>
      <w:proofErr w:type="spellStart"/>
      <w:r w:rsidRPr="00C7125E">
        <w:rPr>
          <w:rFonts w:ascii="Arial" w:eastAsia="Times New Roman" w:hAnsi="Arial" w:cs="Arial"/>
          <w:sz w:val="20"/>
          <w:szCs w:val="20"/>
          <w:lang w:eastAsia="es-BO"/>
        </w:rPr>
        <w:t>resectables</w:t>
      </w:r>
      <w:proofErr w:type="spellEnd"/>
      <w:r w:rsidRPr="00C7125E">
        <w:rPr>
          <w:rFonts w:ascii="Arial" w:eastAsia="Times New Roman" w:hAnsi="Arial" w:cs="Arial"/>
          <w:sz w:val="20"/>
          <w:szCs w:val="20"/>
          <w:lang w:eastAsia="es-BO"/>
        </w:rPr>
        <w:t>, pues entre mayor sea su concentración menos la probabilidad de ser operables (mayor que 1000 UI/ml solo 5% son operables)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De igual manera su concentración ayuda a predecir recaídas antes de que aparezcan los primeros </w:t>
      </w:r>
      <w:r w:rsidRPr="00C7125E">
        <w:rPr>
          <w:rFonts w:ascii="Arial" w:eastAsia="Times New Roman" w:hAnsi="Arial" w:cs="Arial"/>
          <w:sz w:val="20"/>
          <w:szCs w:val="20"/>
          <w:lang w:eastAsia="es-BO"/>
        </w:rPr>
        <w:lastRenderedPageBreak/>
        <w:t>síntomas clínicos. Por lo tanto se recomienda monitorear en forma mensual durante el primer año posoperatorio, luego cada 2 o 3 meses durante dos años, pues concentraciones decrecientes indican que la enfermedad se encuentra controlada, que el tratamiento está funcionando.</w:t>
      </w:r>
      <w:r w:rsidR="00533E00">
        <w:rPr>
          <w:rFonts w:ascii="Arial" w:eastAsia="Times New Roman" w:hAnsi="Arial" w:cs="Arial"/>
          <w:sz w:val="20"/>
          <w:szCs w:val="20"/>
          <w:lang w:eastAsia="es-BO"/>
        </w:rPr>
        <w:t>9.</w:t>
      </w:r>
    </w:p>
    <w:p w:rsidR="00E559A6" w:rsidRPr="00533E00" w:rsidRDefault="005F15CB" w:rsidP="00533E00">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kern w:val="36"/>
          <w:sz w:val="20"/>
          <w:szCs w:val="20"/>
          <w:lang w:eastAsia="es-BO"/>
        </w:rPr>
        <w:t xml:space="preserve">9. </w:t>
      </w:r>
      <w:r w:rsidR="00E559A6" w:rsidRPr="00C7125E">
        <w:rPr>
          <w:rFonts w:ascii="Arial" w:eastAsia="Times New Roman" w:hAnsi="Arial" w:cs="Arial"/>
          <w:b/>
          <w:bCs/>
          <w:kern w:val="36"/>
          <w:sz w:val="20"/>
          <w:szCs w:val="20"/>
          <w:lang w:eastAsia="es-BO"/>
        </w:rPr>
        <w:t>MARCADOR TUMORAL CA 15-3</w:t>
      </w:r>
    </w:p>
    <w:p w:rsidR="00533E00" w:rsidRDefault="00E559A6" w:rsidP="00533E00">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br/>
      </w:r>
      <w:r w:rsidRPr="00C7125E">
        <w:rPr>
          <w:rFonts w:ascii="Arial" w:eastAsia="Times New Roman" w:hAnsi="Arial" w:cs="Arial"/>
          <w:b/>
          <w:bCs/>
          <w:sz w:val="20"/>
          <w:szCs w:val="20"/>
          <w:lang w:eastAsia="es-BO"/>
        </w:rPr>
        <w:t>Valores normales</w:t>
      </w:r>
      <w:r w:rsidRPr="00C7125E">
        <w:rPr>
          <w:rFonts w:ascii="Arial" w:eastAsia="Times New Roman" w:hAnsi="Arial" w:cs="Arial"/>
          <w:sz w:val="20"/>
          <w:szCs w:val="20"/>
          <w:lang w:eastAsia="es-BO"/>
        </w:rPr>
        <w:br/>
      </w:r>
    </w:p>
    <w:p w:rsidR="00E559A6" w:rsidRPr="00C7125E" w:rsidRDefault="00E559A6" w:rsidP="00533E00">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t>7,5 - 53 U/ml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Los </w:t>
      </w:r>
      <w:hyperlink r:id="rId28" w:history="1">
        <w:r w:rsidRPr="00C7125E">
          <w:rPr>
            <w:rFonts w:ascii="Arial" w:eastAsia="Times New Roman" w:hAnsi="Arial" w:cs="Arial"/>
            <w:sz w:val="20"/>
            <w:szCs w:val="20"/>
            <w:lang w:eastAsia="es-BO"/>
          </w:rPr>
          <w:t>tumores de mama</w:t>
        </w:r>
      </w:hyperlink>
      <w:r w:rsidRPr="00C7125E">
        <w:rPr>
          <w:rFonts w:ascii="Arial" w:eastAsia="Times New Roman" w:hAnsi="Arial" w:cs="Arial"/>
          <w:sz w:val="20"/>
          <w:szCs w:val="20"/>
          <w:lang w:eastAsia="es-BO"/>
        </w:rPr>
        <w:t xml:space="preserve"> generalmente producen antígenos </w:t>
      </w:r>
      <w:proofErr w:type="spellStart"/>
      <w:r w:rsidRPr="00C7125E">
        <w:rPr>
          <w:rFonts w:ascii="Arial" w:eastAsia="Times New Roman" w:hAnsi="Arial" w:cs="Arial"/>
          <w:sz w:val="20"/>
          <w:szCs w:val="20"/>
          <w:lang w:eastAsia="es-BO"/>
        </w:rPr>
        <w:t>glicoproteicos</w:t>
      </w:r>
      <w:proofErr w:type="spellEnd"/>
      <w:r w:rsidRPr="00C7125E">
        <w:rPr>
          <w:rFonts w:ascii="Arial" w:eastAsia="Times New Roman" w:hAnsi="Arial" w:cs="Arial"/>
          <w:sz w:val="20"/>
          <w:szCs w:val="20"/>
          <w:lang w:eastAsia="es-BO"/>
        </w:rPr>
        <w:t xml:space="preserve"> de alto peso molecular con diferentes cadenas de oligosacáridos. Uno de estos antígenos es el antígeno CA 15-3. El CA 27.29 es otro marcador que al ser utilizado junto con el CA 15.3 aumenta la sensibilidad para el diagnóstico.</w:t>
      </w:r>
    </w:p>
    <w:p w:rsidR="00E559A6" w:rsidRPr="00C7125E" w:rsidRDefault="00E559A6" w:rsidP="005F15CB">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El CA 15.3 no es útil como prueba de tamizaje, ya que solo el 21% de pacientes en estados tempranos de la enfermedad (estado I, II y III) van presentar niveles altos.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Niveles </w:t>
      </w:r>
      <w:proofErr w:type="spellStart"/>
      <w:r w:rsidRPr="00C7125E">
        <w:rPr>
          <w:rFonts w:ascii="Arial" w:eastAsia="Times New Roman" w:hAnsi="Arial" w:cs="Arial"/>
          <w:sz w:val="20"/>
          <w:szCs w:val="20"/>
          <w:lang w:eastAsia="es-BO"/>
        </w:rPr>
        <w:t>preoperativos</w:t>
      </w:r>
      <w:proofErr w:type="spellEnd"/>
      <w:r w:rsidRPr="00C7125E">
        <w:rPr>
          <w:rFonts w:ascii="Arial" w:eastAsia="Times New Roman" w:hAnsi="Arial" w:cs="Arial"/>
          <w:sz w:val="20"/>
          <w:szCs w:val="20"/>
          <w:lang w:eastAsia="es-BO"/>
        </w:rPr>
        <w:t xml:space="preserve"> elevados de CA 15.3 son de mal pronóstico ya que están correlacionados con estados avanzados, tumores grandes, metástasis de nódulos linfáticos e invasión linfática.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Cambios de la concentración de CA 15.3 en el tiempo son más eficaces que valores absolutos. Cambios que representan un 25% de aumento indican progresión del carcinoma en un 95% de los pacientes. Mientras que una reducción del 25% indica una respuesta adecuada a la terapia. Cambios menores al 25% ya sea </w:t>
      </w:r>
      <w:proofErr w:type="gramStart"/>
      <w:r w:rsidRPr="00C7125E">
        <w:rPr>
          <w:rFonts w:ascii="Arial" w:eastAsia="Times New Roman" w:hAnsi="Arial" w:cs="Arial"/>
          <w:sz w:val="20"/>
          <w:szCs w:val="20"/>
          <w:lang w:eastAsia="es-BO"/>
        </w:rPr>
        <w:t>negativos o positivos</w:t>
      </w:r>
      <w:proofErr w:type="gramEnd"/>
      <w:r w:rsidRPr="00C7125E">
        <w:rPr>
          <w:rFonts w:ascii="Arial" w:eastAsia="Times New Roman" w:hAnsi="Arial" w:cs="Arial"/>
          <w:sz w:val="20"/>
          <w:szCs w:val="20"/>
          <w:lang w:eastAsia="es-BO"/>
        </w:rPr>
        <w:t xml:space="preserve"> está asociado con estabilidad de la enfermedad. Muchas veces se presenta un "pico", un aumento en las primeras semanas después de empezada la terapia, dicho pico no debe ser confundido con una falla en el tratamiento. Un decrecimiento en un 50% indica respuesta positiva al tratamiento y regresión de la enfermedad.</w:t>
      </w:r>
    </w:p>
    <w:p w:rsidR="00E559A6" w:rsidRPr="00C7125E" w:rsidRDefault="005F15CB" w:rsidP="00781C38">
      <w:pPr>
        <w:spacing w:before="161" w:after="161" w:line="240" w:lineRule="auto"/>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t xml:space="preserve">10. </w:t>
      </w:r>
      <w:r w:rsidR="00E559A6" w:rsidRPr="00C7125E">
        <w:rPr>
          <w:rFonts w:ascii="Arial" w:eastAsia="Times New Roman" w:hAnsi="Arial" w:cs="Arial"/>
          <w:b/>
          <w:bCs/>
          <w:kern w:val="36"/>
          <w:sz w:val="20"/>
          <w:szCs w:val="20"/>
          <w:lang w:eastAsia="es-BO"/>
        </w:rPr>
        <w:t>HORMONA GONADOTROPINA CORIÓNICA HUMANA (HCG)</w:t>
      </w:r>
    </w:p>
    <w:p w:rsidR="00E559A6" w:rsidRPr="00C7125E" w:rsidRDefault="00E559A6" w:rsidP="00E559A6">
      <w:pPr>
        <w:spacing w:before="240" w:after="240" w:line="240" w:lineRule="auto"/>
        <w:jc w:val="both"/>
        <w:outlineLvl w:val="2"/>
        <w:rPr>
          <w:rFonts w:ascii="Arial" w:eastAsia="Times New Roman" w:hAnsi="Arial" w:cs="Arial"/>
          <w:b/>
          <w:bCs/>
          <w:sz w:val="20"/>
          <w:szCs w:val="20"/>
          <w:lang w:eastAsia="es-BO"/>
        </w:rPr>
      </w:pPr>
      <w:r w:rsidRPr="00C7125E">
        <w:rPr>
          <w:rFonts w:ascii="Arial" w:eastAsia="Times New Roman" w:hAnsi="Arial" w:cs="Arial"/>
          <w:b/>
          <w:bCs/>
          <w:sz w:val="20"/>
          <w:szCs w:val="20"/>
          <w:lang w:eastAsia="es-BO"/>
        </w:rPr>
        <w:br/>
        <w:t>Valores normales</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Hombres y mujeres no embarazadas: Menos de 5 </w:t>
      </w:r>
      <w:proofErr w:type="spellStart"/>
      <w:r w:rsidRPr="00C7125E">
        <w:rPr>
          <w:rFonts w:ascii="Arial" w:eastAsia="Times New Roman" w:hAnsi="Arial" w:cs="Arial"/>
          <w:sz w:val="20"/>
          <w:szCs w:val="20"/>
          <w:lang w:eastAsia="es-BO"/>
        </w:rPr>
        <w:t>mUI</w:t>
      </w:r>
      <w:proofErr w:type="spellEnd"/>
      <w:r w:rsidRPr="00C7125E">
        <w:rPr>
          <w:rFonts w:ascii="Arial" w:eastAsia="Times New Roman" w:hAnsi="Arial" w:cs="Arial"/>
          <w:sz w:val="20"/>
          <w:szCs w:val="20"/>
          <w:lang w:eastAsia="es-BO"/>
        </w:rPr>
        <w:t>/ml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Hormona constituida por dos subunidades. La subunidad alfa la cual es idéntica a las subunidades beta de hormonas </w:t>
      </w:r>
      <w:proofErr w:type="spellStart"/>
      <w:r w:rsidRPr="00C7125E">
        <w:rPr>
          <w:rFonts w:ascii="Arial" w:eastAsia="Times New Roman" w:hAnsi="Arial" w:cs="Arial"/>
          <w:sz w:val="20"/>
          <w:szCs w:val="20"/>
          <w:lang w:eastAsia="es-BO"/>
        </w:rPr>
        <w:t>hipofisiarias</w:t>
      </w:r>
      <w:proofErr w:type="spellEnd"/>
      <w:r w:rsidRPr="00C7125E">
        <w:rPr>
          <w:rFonts w:ascii="Arial" w:eastAsia="Times New Roman" w:hAnsi="Arial" w:cs="Arial"/>
          <w:sz w:val="20"/>
          <w:szCs w:val="20"/>
          <w:lang w:eastAsia="es-BO"/>
        </w:rPr>
        <w:t xml:space="preserve"> como la LH, FSH y TSH. La subunidad beta es la que proporciona su función biológica específica y la que detecta específicamente </w:t>
      </w:r>
      <w:r w:rsidR="00533E00">
        <w:rPr>
          <w:rFonts w:ascii="Arial" w:eastAsia="Times New Roman" w:hAnsi="Arial" w:cs="Arial"/>
          <w:sz w:val="20"/>
          <w:szCs w:val="20"/>
          <w:lang w:eastAsia="es-BO"/>
        </w:rPr>
        <w:t>a la</w:t>
      </w:r>
      <w:r w:rsidRPr="00C7125E">
        <w:rPr>
          <w:rFonts w:ascii="Arial" w:eastAsia="Times New Roman" w:hAnsi="Arial" w:cs="Arial"/>
          <w:sz w:val="20"/>
          <w:szCs w:val="20"/>
          <w:lang w:eastAsia="es-BO"/>
        </w:rPr>
        <w:t xml:space="preserve"> hora de hacer la prueba. Por lo tanto cuando se determina la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 xml:space="preserve"> lo que realmente se mide es la subunidad beta de la </w:t>
      </w:r>
      <w:proofErr w:type="spellStart"/>
      <w:r w:rsidRPr="00C7125E">
        <w:rPr>
          <w:rFonts w:ascii="Arial" w:eastAsia="Times New Roman" w:hAnsi="Arial" w:cs="Arial"/>
          <w:sz w:val="20"/>
          <w:szCs w:val="20"/>
          <w:lang w:eastAsia="es-BO"/>
        </w:rPr>
        <w:t>hCG</w:t>
      </w:r>
      <w:proofErr w:type="spellEnd"/>
    </w:p>
    <w:p w:rsidR="00C01E03" w:rsidRDefault="00C01E03" w:rsidP="00781C38">
      <w:pPr>
        <w:spacing w:before="240" w:after="240" w:line="252" w:lineRule="atLeast"/>
        <w:rPr>
          <w:rFonts w:ascii="Arial" w:eastAsia="Times New Roman" w:hAnsi="Arial" w:cs="Arial"/>
          <w:b/>
          <w:bCs/>
          <w:sz w:val="20"/>
          <w:szCs w:val="20"/>
          <w:lang w:eastAsia="es-BO"/>
        </w:rPr>
      </w:pPr>
    </w:p>
    <w:p w:rsidR="00781C38" w:rsidRPr="00C7125E" w:rsidRDefault="00E559A6" w:rsidP="00781C38">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lastRenderedPageBreak/>
        <w:t>Importancia clínica</w:t>
      </w:r>
      <w:r w:rsidR="00781C38" w:rsidRPr="00C7125E">
        <w:rPr>
          <w:rFonts w:ascii="Arial" w:eastAsia="Times New Roman" w:hAnsi="Arial" w:cs="Arial"/>
          <w:sz w:val="20"/>
          <w:szCs w:val="20"/>
          <w:lang w:eastAsia="es-BO"/>
        </w:rPr>
        <w:br/>
      </w:r>
    </w:p>
    <w:p w:rsidR="00E559A6" w:rsidRPr="00C7125E" w:rsidRDefault="00E559A6" w:rsidP="00781C38">
      <w:pPr>
        <w:spacing w:before="240" w:after="240" w:line="252" w:lineRule="atLeast"/>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La determinación cuantitativa de la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 xml:space="preserve"> es de mucha utilidad en los seguimientos de embarazos, en diagnóstico de embarazos ectópicos, molas </w:t>
      </w:r>
      <w:proofErr w:type="spellStart"/>
      <w:r w:rsidRPr="00C7125E">
        <w:rPr>
          <w:rFonts w:ascii="Arial" w:eastAsia="Times New Roman" w:hAnsi="Arial" w:cs="Arial"/>
          <w:sz w:val="20"/>
          <w:szCs w:val="20"/>
          <w:lang w:eastAsia="es-BO"/>
        </w:rPr>
        <w:t>hidatidiformes</w:t>
      </w:r>
      <w:proofErr w:type="spellEnd"/>
      <w:r w:rsidRPr="00C7125E">
        <w:rPr>
          <w:rFonts w:ascii="Arial" w:eastAsia="Times New Roman" w:hAnsi="Arial" w:cs="Arial"/>
          <w:sz w:val="20"/>
          <w:szCs w:val="20"/>
          <w:lang w:eastAsia="es-BO"/>
        </w:rPr>
        <w:t xml:space="preserve">, y tumores testiculares. Junto con la determinación del </w:t>
      </w:r>
      <w:proofErr w:type="spellStart"/>
      <w:r w:rsidRPr="00C7125E">
        <w:rPr>
          <w:rFonts w:ascii="Arial" w:eastAsia="Times New Roman" w:hAnsi="Arial" w:cs="Arial"/>
          <w:sz w:val="20"/>
          <w:szCs w:val="20"/>
          <w:lang w:eastAsia="es-BO"/>
        </w:rPr>
        <w:t>estriol</w:t>
      </w:r>
      <w:proofErr w:type="spellEnd"/>
      <w:r w:rsidRPr="00C7125E">
        <w:rPr>
          <w:rFonts w:ascii="Arial" w:eastAsia="Times New Roman" w:hAnsi="Arial" w:cs="Arial"/>
          <w:sz w:val="20"/>
          <w:szCs w:val="20"/>
          <w:lang w:eastAsia="es-BO"/>
        </w:rPr>
        <w:t xml:space="preserve"> y la AFP colaboran en la detección de problemas fetales como el síndrome de Down y la espina bífida.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La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 xml:space="preserve"> es un marcador para el seguimiento de enfermedad </w:t>
      </w:r>
      <w:proofErr w:type="spellStart"/>
      <w:r w:rsidRPr="00C7125E">
        <w:rPr>
          <w:rFonts w:ascii="Arial" w:eastAsia="Times New Roman" w:hAnsi="Arial" w:cs="Arial"/>
          <w:sz w:val="20"/>
          <w:szCs w:val="20"/>
          <w:lang w:eastAsia="es-BO"/>
        </w:rPr>
        <w:t>trofoblástica</w:t>
      </w:r>
      <w:proofErr w:type="spellEnd"/>
      <w:r w:rsidRPr="00C7125E">
        <w:rPr>
          <w:rFonts w:ascii="Arial" w:eastAsia="Times New Roman" w:hAnsi="Arial" w:cs="Arial"/>
          <w:sz w:val="20"/>
          <w:szCs w:val="20"/>
          <w:lang w:eastAsia="es-BO"/>
        </w:rPr>
        <w:t xml:space="preserve"> gestacional o mola </w:t>
      </w:r>
      <w:proofErr w:type="spellStart"/>
      <w:r w:rsidRPr="00C7125E">
        <w:rPr>
          <w:rFonts w:ascii="Arial" w:eastAsia="Times New Roman" w:hAnsi="Arial" w:cs="Arial"/>
          <w:sz w:val="20"/>
          <w:szCs w:val="20"/>
          <w:lang w:eastAsia="es-BO"/>
        </w:rPr>
        <w:t>hidatidiforme</w:t>
      </w:r>
      <w:proofErr w:type="spellEnd"/>
      <w:r w:rsidRPr="00C7125E">
        <w:rPr>
          <w:rFonts w:ascii="Arial" w:eastAsia="Times New Roman" w:hAnsi="Arial" w:cs="Arial"/>
          <w:sz w:val="20"/>
          <w:szCs w:val="20"/>
          <w:lang w:eastAsia="es-BO"/>
        </w:rPr>
        <w:t xml:space="preserve">. Después de la resección adecuada de la mola los niveles deben bajar en 3 a 12 semanas. Si los valores persisten elevados o disminuyen muy lentamente requieren terapia sistémica contra mola invasiva o </w:t>
      </w:r>
      <w:proofErr w:type="spellStart"/>
      <w:r w:rsidRPr="00C7125E">
        <w:rPr>
          <w:rFonts w:ascii="Arial" w:eastAsia="Times New Roman" w:hAnsi="Arial" w:cs="Arial"/>
          <w:sz w:val="20"/>
          <w:szCs w:val="20"/>
          <w:lang w:eastAsia="es-BO"/>
        </w:rPr>
        <w:t>coriocarcinoma</w:t>
      </w:r>
      <w:proofErr w:type="spellEnd"/>
      <w:r w:rsidRPr="00C7125E">
        <w:rPr>
          <w:rFonts w:ascii="Arial" w:eastAsia="Times New Roman" w:hAnsi="Arial" w:cs="Arial"/>
          <w:sz w:val="20"/>
          <w:szCs w:val="20"/>
          <w:lang w:eastAsia="es-BO"/>
        </w:rPr>
        <w:t>.</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La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 xml:space="preserve"> se detecta en el suero de pacientes con tumores germinales no </w:t>
      </w:r>
      <w:proofErr w:type="spellStart"/>
      <w:r w:rsidRPr="00C7125E">
        <w:rPr>
          <w:rFonts w:ascii="Arial" w:eastAsia="Times New Roman" w:hAnsi="Arial" w:cs="Arial"/>
          <w:sz w:val="20"/>
          <w:szCs w:val="20"/>
          <w:lang w:eastAsia="es-BO"/>
        </w:rPr>
        <w:t>seminomatosos</w:t>
      </w:r>
      <w:proofErr w:type="spellEnd"/>
      <w:r w:rsidRPr="00C7125E">
        <w:rPr>
          <w:rFonts w:ascii="Arial" w:eastAsia="Times New Roman" w:hAnsi="Arial" w:cs="Arial"/>
          <w:sz w:val="20"/>
          <w:szCs w:val="20"/>
          <w:lang w:eastAsia="es-BO"/>
        </w:rPr>
        <w:t xml:space="preserve">. Al combinar la determinación de </w:t>
      </w:r>
      <w:proofErr w:type="spellStart"/>
      <w:r w:rsidRPr="00C7125E">
        <w:rPr>
          <w:rFonts w:ascii="Arial" w:eastAsia="Times New Roman" w:hAnsi="Arial" w:cs="Arial"/>
          <w:sz w:val="20"/>
          <w:szCs w:val="20"/>
          <w:lang w:eastAsia="es-BO"/>
        </w:rPr>
        <w:t>hCG</w:t>
      </w:r>
      <w:proofErr w:type="spellEnd"/>
      <w:r w:rsidRPr="00C7125E">
        <w:rPr>
          <w:rFonts w:ascii="Arial" w:eastAsia="Times New Roman" w:hAnsi="Arial" w:cs="Arial"/>
          <w:sz w:val="20"/>
          <w:szCs w:val="20"/>
          <w:lang w:eastAsia="es-BO"/>
        </w:rPr>
        <w:t xml:space="preserve"> con la AFP aumenta la sensibilidad en todos los estadios. Además de la detección de diseminación y recaídas.</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 xml:space="preserve">Gonadotropina </w:t>
      </w:r>
      <w:proofErr w:type="spellStart"/>
      <w:r w:rsidRPr="00C7125E">
        <w:rPr>
          <w:rFonts w:ascii="Arial" w:eastAsia="Times New Roman" w:hAnsi="Arial" w:cs="Arial"/>
          <w:b/>
          <w:bCs/>
          <w:sz w:val="20"/>
          <w:szCs w:val="20"/>
          <w:lang w:eastAsia="es-BO"/>
        </w:rPr>
        <w:t>coriónica</w:t>
      </w:r>
      <w:proofErr w:type="spellEnd"/>
      <w:r w:rsidRPr="00C7125E">
        <w:rPr>
          <w:rFonts w:ascii="Arial" w:eastAsia="Times New Roman" w:hAnsi="Arial" w:cs="Arial"/>
          <w:b/>
          <w:bCs/>
          <w:sz w:val="20"/>
          <w:szCs w:val="20"/>
          <w:lang w:eastAsia="es-BO"/>
        </w:rPr>
        <w:t xml:space="preserve"> humana</w:t>
      </w:r>
    </w:p>
    <w:p w:rsidR="00901F31" w:rsidRPr="00C7125E" w:rsidRDefault="00901F31" w:rsidP="00901F31">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 xml:space="preserve">La gonadotropina </w:t>
      </w:r>
      <w:proofErr w:type="spellStart"/>
      <w:r w:rsidRPr="00C7125E">
        <w:rPr>
          <w:rFonts w:ascii="Arial" w:eastAsia="Times New Roman" w:hAnsi="Arial" w:cs="Arial"/>
          <w:sz w:val="20"/>
          <w:szCs w:val="20"/>
          <w:lang w:eastAsia="es-BO"/>
        </w:rPr>
        <w:t>coriónica</w:t>
      </w:r>
      <w:proofErr w:type="spellEnd"/>
      <w:r w:rsidRPr="00C7125E">
        <w:rPr>
          <w:rFonts w:ascii="Arial" w:eastAsia="Times New Roman" w:hAnsi="Arial" w:cs="Arial"/>
          <w:sz w:val="20"/>
          <w:szCs w:val="20"/>
          <w:lang w:eastAsia="es-BO"/>
        </w:rPr>
        <w:t xml:space="preserve"> humana (HCG, por sus siglas en inglés) normalmente es producida por la placenta durante el embarazo. De hecho, la gonadotropina </w:t>
      </w:r>
      <w:proofErr w:type="spellStart"/>
      <w:r w:rsidRPr="00C7125E">
        <w:rPr>
          <w:rFonts w:ascii="Arial" w:eastAsia="Times New Roman" w:hAnsi="Arial" w:cs="Arial"/>
          <w:sz w:val="20"/>
          <w:szCs w:val="20"/>
          <w:lang w:eastAsia="es-BO"/>
        </w:rPr>
        <w:t>coriónica</w:t>
      </w:r>
      <w:proofErr w:type="spellEnd"/>
      <w:r w:rsidRPr="00C7125E">
        <w:rPr>
          <w:rFonts w:ascii="Arial" w:eastAsia="Times New Roman" w:hAnsi="Arial" w:cs="Arial"/>
          <w:sz w:val="20"/>
          <w:szCs w:val="20"/>
          <w:lang w:eastAsia="es-BO"/>
        </w:rPr>
        <w:t xml:space="preserve"> humana se utiliza a veces como una prueba de embarazo porque aumenta durante el primer trimestre de la gestación. También se utiliza para detectar el </w:t>
      </w:r>
      <w:proofErr w:type="spellStart"/>
      <w:r w:rsidRPr="00C7125E">
        <w:rPr>
          <w:rFonts w:ascii="Arial" w:eastAsia="Times New Roman" w:hAnsi="Arial" w:cs="Arial"/>
          <w:sz w:val="20"/>
          <w:szCs w:val="20"/>
          <w:lang w:eastAsia="es-BO"/>
        </w:rPr>
        <w:t>coriocarcinoma</w:t>
      </w:r>
      <w:proofErr w:type="spellEnd"/>
      <w:r w:rsidRPr="00C7125E">
        <w:rPr>
          <w:rFonts w:ascii="Arial" w:eastAsia="Times New Roman" w:hAnsi="Arial" w:cs="Arial"/>
          <w:sz w:val="20"/>
          <w:szCs w:val="20"/>
          <w:lang w:eastAsia="es-BO"/>
        </w:rPr>
        <w:t xml:space="preserve"> (un cáncer poco común del útero) en las mujeres que tienen alto riesgo de desarrollar la enfermedad, y para supervisar el tratamiento de la enfermedad </w:t>
      </w:r>
      <w:proofErr w:type="spellStart"/>
      <w:r w:rsidRPr="00C7125E">
        <w:rPr>
          <w:rFonts w:ascii="Arial" w:eastAsia="Times New Roman" w:hAnsi="Arial" w:cs="Arial"/>
          <w:sz w:val="20"/>
          <w:szCs w:val="20"/>
          <w:lang w:eastAsia="es-BO"/>
        </w:rPr>
        <w:t>trofoblástica</w:t>
      </w:r>
      <w:proofErr w:type="spellEnd"/>
      <w:r w:rsidRPr="00C7125E">
        <w:rPr>
          <w:rFonts w:ascii="Arial" w:eastAsia="Times New Roman" w:hAnsi="Arial" w:cs="Arial"/>
          <w:sz w:val="20"/>
          <w:szCs w:val="20"/>
          <w:lang w:eastAsia="es-BO"/>
        </w:rPr>
        <w:t xml:space="preserve"> (un cáncer poco común que se desarrolla a partir de un huevo fertilizado anormalmente). Los niveles elevados de gonadotropina </w:t>
      </w:r>
      <w:proofErr w:type="spellStart"/>
      <w:r w:rsidRPr="00C7125E">
        <w:rPr>
          <w:rFonts w:ascii="Arial" w:eastAsia="Times New Roman" w:hAnsi="Arial" w:cs="Arial"/>
          <w:sz w:val="20"/>
          <w:szCs w:val="20"/>
          <w:lang w:eastAsia="es-BO"/>
        </w:rPr>
        <w:t>coriónica</w:t>
      </w:r>
      <w:proofErr w:type="spellEnd"/>
      <w:r w:rsidRPr="00C7125E">
        <w:rPr>
          <w:rFonts w:ascii="Arial" w:eastAsia="Times New Roman" w:hAnsi="Arial" w:cs="Arial"/>
          <w:sz w:val="20"/>
          <w:szCs w:val="20"/>
          <w:lang w:eastAsia="es-BO"/>
        </w:rPr>
        <w:t xml:space="preserve"> humana también pueden indicar la presencia de cánceres del testículo, ovario, hígado, estómago, páncreas y del pulmón. El embarazo y el uso de la marihuana también pueden causar niveles elevados de gonadotropina </w:t>
      </w:r>
      <w:proofErr w:type="spellStart"/>
      <w:r w:rsidRPr="00C7125E">
        <w:rPr>
          <w:rFonts w:ascii="Arial" w:eastAsia="Times New Roman" w:hAnsi="Arial" w:cs="Arial"/>
          <w:sz w:val="20"/>
          <w:szCs w:val="20"/>
          <w:lang w:eastAsia="es-BO"/>
        </w:rPr>
        <w:t>coriónica</w:t>
      </w:r>
      <w:proofErr w:type="spellEnd"/>
      <w:r w:rsidRPr="00C7125E">
        <w:rPr>
          <w:rFonts w:ascii="Arial" w:eastAsia="Times New Roman" w:hAnsi="Arial" w:cs="Arial"/>
          <w:sz w:val="20"/>
          <w:szCs w:val="20"/>
          <w:lang w:eastAsia="es-BO"/>
        </w:rPr>
        <w:t xml:space="preserve"> humana.</w:t>
      </w:r>
    </w:p>
    <w:p w:rsidR="00901F31" w:rsidRPr="00C7125E" w:rsidRDefault="00901F31" w:rsidP="00781C38">
      <w:pPr>
        <w:spacing w:before="240" w:after="240" w:line="252" w:lineRule="atLeast"/>
        <w:rPr>
          <w:rFonts w:ascii="Arial" w:eastAsia="Times New Roman" w:hAnsi="Arial" w:cs="Arial"/>
          <w:sz w:val="20"/>
          <w:szCs w:val="20"/>
          <w:lang w:eastAsia="es-BO"/>
        </w:rPr>
      </w:pPr>
    </w:p>
    <w:p w:rsidR="00E559A6" w:rsidRPr="00C7125E" w:rsidRDefault="00E559A6" w:rsidP="00781C38">
      <w:pPr>
        <w:spacing w:before="161" w:after="161" w:line="240" w:lineRule="auto"/>
        <w:outlineLvl w:val="0"/>
        <w:rPr>
          <w:rFonts w:ascii="Arial" w:eastAsia="Times New Roman" w:hAnsi="Arial" w:cs="Arial"/>
          <w:b/>
          <w:bCs/>
          <w:kern w:val="36"/>
          <w:sz w:val="20"/>
          <w:szCs w:val="20"/>
          <w:lang w:eastAsia="es-BO"/>
        </w:rPr>
      </w:pPr>
      <w:r w:rsidRPr="00C7125E">
        <w:rPr>
          <w:rFonts w:ascii="Arial" w:eastAsia="Times New Roman" w:hAnsi="Arial" w:cs="Arial"/>
          <w:b/>
          <w:bCs/>
          <w:kern w:val="36"/>
          <w:sz w:val="20"/>
          <w:szCs w:val="20"/>
          <w:lang w:eastAsia="es-BO"/>
        </w:rPr>
        <w:br/>
      </w:r>
      <w:r w:rsidR="005F15CB" w:rsidRPr="00C7125E">
        <w:rPr>
          <w:rFonts w:ascii="Arial" w:eastAsia="Times New Roman" w:hAnsi="Arial" w:cs="Arial"/>
          <w:b/>
          <w:bCs/>
          <w:kern w:val="36"/>
          <w:sz w:val="20"/>
          <w:szCs w:val="20"/>
          <w:lang w:eastAsia="es-BO"/>
        </w:rPr>
        <w:t xml:space="preserve">11. </w:t>
      </w:r>
      <w:r w:rsidRPr="00C7125E">
        <w:rPr>
          <w:rFonts w:ascii="Arial" w:eastAsia="Times New Roman" w:hAnsi="Arial" w:cs="Arial"/>
          <w:b/>
          <w:bCs/>
          <w:kern w:val="36"/>
          <w:sz w:val="20"/>
          <w:szCs w:val="20"/>
          <w:lang w:eastAsia="es-BO"/>
        </w:rPr>
        <w:t>NUCLEAR MATRIX PROTEIN 22 (NMP 22)</w:t>
      </w:r>
    </w:p>
    <w:p w:rsidR="00E559A6" w:rsidRPr="00C7125E" w:rsidRDefault="00E559A6" w:rsidP="00781C38">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Valores normales</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&lt; 10 unidades/ml</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Descripción</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Las proteínas de matriz nuclear (NMP) son proteínas que forman parte de una red que mantiene la estructura del núcleo de las células. Algunas de estas NMP son órgano-específicas y en el caso de la NMP22, se encuentra en células epiteliales humanas, como parte del aparato nuclear mitótico (</w:t>
      </w:r>
      <w:proofErr w:type="spellStart"/>
      <w:r w:rsidRPr="00C7125E">
        <w:rPr>
          <w:rFonts w:ascii="Arial" w:eastAsia="Times New Roman" w:hAnsi="Arial" w:cs="Arial"/>
          <w:sz w:val="20"/>
          <w:szCs w:val="20"/>
          <w:lang w:eastAsia="es-BO"/>
        </w:rPr>
        <w:t>NuMA</w:t>
      </w:r>
      <w:proofErr w:type="spellEnd"/>
      <w:r w:rsidRPr="00C7125E">
        <w:rPr>
          <w:rFonts w:ascii="Arial" w:eastAsia="Times New Roman" w:hAnsi="Arial" w:cs="Arial"/>
          <w:sz w:val="20"/>
          <w:szCs w:val="20"/>
          <w:lang w:eastAsia="es-BO"/>
        </w:rPr>
        <w:t>).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Este </w:t>
      </w:r>
      <w:proofErr w:type="spellStart"/>
      <w:r w:rsidRPr="00C7125E">
        <w:rPr>
          <w:rFonts w:ascii="Arial" w:eastAsia="Times New Roman" w:hAnsi="Arial" w:cs="Arial"/>
          <w:sz w:val="20"/>
          <w:szCs w:val="20"/>
          <w:lang w:eastAsia="es-BO"/>
        </w:rPr>
        <w:t>NuMA</w:t>
      </w:r>
      <w:proofErr w:type="spellEnd"/>
      <w:r w:rsidRPr="00C7125E">
        <w:rPr>
          <w:rFonts w:ascii="Arial" w:eastAsia="Times New Roman" w:hAnsi="Arial" w:cs="Arial"/>
          <w:sz w:val="20"/>
          <w:szCs w:val="20"/>
          <w:lang w:eastAsia="es-BO"/>
        </w:rPr>
        <w:t xml:space="preserve"> se encuentra en concentraciones muy elevadas en las células </w:t>
      </w:r>
      <w:proofErr w:type="spellStart"/>
      <w:r w:rsidRPr="00C7125E">
        <w:rPr>
          <w:rFonts w:ascii="Arial" w:eastAsia="Times New Roman" w:hAnsi="Arial" w:cs="Arial"/>
          <w:sz w:val="20"/>
          <w:szCs w:val="20"/>
          <w:lang w:eastAsia="es-BO"/>
        </w:rPr>
        <w:t>uroteliales</w:t>
      </w:r>
      <w:proofErr w:type="spellEnd"/>
      <w:r w:rsidRPr="00C7125E">
        <w:rPr>
          <w:rFonts w:ascii="Arial" w:eastAsia="Times New Roman" w:hAnsi="Arial" w:cs="Arial"/>
          <w:sz w:val="20"/>
          <w:szCs w:val="20"/>
          <w:lang w:eastAsia="es-BO"/>
        </w:rPr>
        <w:t xml:space="preserve"> cancerosas, llegando a estar 25 veces más alta que en células </w:t>
      </w:r>
      <w:proofErr w:type="spellStart"/>
      <w:r w:rsidRPr="00C7125E">
        <w:rPr>
          <w:rFonts w:ascii="Arial" w:eastAsia="Times New Roman" w:hAnsi="Arial" w:cs="Arial"/>
          <w:sz w:val="20"/>
          <w:szCs w:val="20"/>
          <w:lang w:eastAsia="es-BO"/>
        </w:rPr>
        <w:t>uroteliales</w:t>
      </w:r>
      <w:proofErr w:type="spellEnd"/>
      <w:r w:rsidRPr="00C7125E">
        <w:rPr>
          <w:rFonts w:ascii="Arial" w:eastAsia="Times New Roman" w:hAnsi="Arial" w:cs="Arial"/>
          <w:sz w:val="20"/>
          <w:szCs w:val="20"/>
          <w:lang w:eastAsia="es-BO"/>
        </w:rPr>
        <w:t xml:space="preserve"> normales. Por este hecho la NMP22 fue reconocida como un marcador específico de cáncer de células </w:t>
      </w:r>
      <w:proofErr w:type="spellStart"/>
      <w:r w:rsidRPr="00C7125E">
        <w:rPr>
          <w:rFonts w:ascii="Arial" w:eastAsia="Times New Roman" w:hAnsi="Arial" w:cs="Arial"/>
          <w:sz w:val="20"/>
          <w:szCs w:val="20"/>
          <w:lang w:eastAsia="es-BO"/>
        </w:rPr>
        <w:t>uroteliales</w:t>
      </w:r>
      <w:proofErr w:type="spellEnd"/>
      <w:r w:rsidRPr="00C7125E">
        <w:rPr>
          <w:rFonts w:ascii="Arial" w:eastAsia="Times New Roman" w:hAnsi="Arial" w:cs="Arial"/>
          <w:sz w:val="20"/>
          <w:szCs w:val="20"/>
          <w:lang w:eastAsia="es-BO"/>
        </w:rPr>
        <w:t>.</w:t>
      </w:r>
    </w:p>
    <w:p w:rsidR="00E559A6" w:rsidRPr="00C7125E" w:rsidRDefault="00E559A6" w:rsidP="00781C38">
      <w:pPr>
        <w:spacing w:before="240" w:after="240" w:line="252" w:lineRule="atLeast"/>
        <w:rPr>
          <w:rFonts w:ascii="Arial" w:eastAsia="Times New Roman" w:hAnsi="Arial" w:cs="Arial"/>
          <w:sz w:val="20"/>
          <w:szCs w:val="20"/>
          <w:lang w:eastAsia="es-BO"/>
        </w:rPr>
      </w:pPr>
      <w:r w:rsidRPr="00C7125E">
        <w:rPr>
          <w:rFonts w:ascii="Arial" w:eastAsia="Times New Roman" w:hAnsi="Arial" w:cs="Arial"/>
          <w:b/>
          <w:bCs/>
          <w:sz w:val="20"/>
          <w:szCs w:val="20"/>
          <w:lang w:eastAsia="es-BO"/>
        </w:rPr>
        <w:t>Importancia clínica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lastRenderedPageBreak/>
        <w:t xml:space="preserve">El cáncer de vejiga es la malignidad </w:t>
      </w:r>
      <w:proofErr w:type="spellStart"/>
      <w:r w:rsidRPr="00C7125E">
        <w:rPr>
          <w:rFonts w:ascii="Arial" w:eastAsia="Times New Roman" w:hAnsi="Arial" w:cs="Arial"/>
          <w:sz w:val="20"/>
          <w:szCs w:val="20"/>
          <w:lang w:eastAsia="es-BO"/>
        </w:rPr>
        <w:t>urotelial</w:t>
      </w:r>
      <w:proofErr w:type="spellEnd"/>
      <w:r w:rsidRPr="00C7125E">
        <w:rPr>
          <w:rFonts w:ascii="Arial" w:eastAsia="Times New Roman" w:hAnsi="Arial" w:cs="Arial"/>
          <w:sz w:val="20"/>
          <w:szCs w:val="20"/>
          <w:lang w:eastAsia="es-BO"/>
        </w:rPr>
        <w:t xml:space="preserve"> más común a nivel del tracto urinario. En Estados Unidos y Europa es el cuarto cáncer más común en hombres y el octavo entre las mujeres, con un reporte de 50 a 80 mil nuevos casos por año.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En el 70% de los casos la enfermedad se desarrolla a nivel superficial y puede ser tratada por resección </w:t>
      </w:r>
      <w:proofErr w:type="spellStart"/>
      <w:r w:rsidRPr="00C7125E">
        <w:rPr>
          <w:rFonts w:ascii="Arial" w:eastAsia="Times New Roman" w:hAnsi="Arial" w:cs="Arial"/>
          <w:sz w:val="20"/>
          <w:szCs w:val="20"/>
          <w:lang w:eastAsia="es-BO"/>
        </w:rPr>
        <w:t>transuretral</w:t>
      </w:r>
      <w:proofErr w:type="spellEnd"/>
      <w:r w:rsidRPr="00C7125E">
        <w:rPr>
          <w:rFonts w:ascii="Arial" w:eastAsia="Times New Roman" w:hAnsi="Arial" w:cs="Arial"/>
          <w:sz w:val="20"/>
          <w:szCs w:val="20"/>
          <w:lang w:eastAsia="es-BO"/>
        </w:rPr>
        <w:t xml:space="preserve">. La probabilidad de recurrencia es del 50 al 75 % en los 5 años </w:t>
      </w:r>
      <w:proofErr w:type="spellStart"/>
      <w:r w:rsidRPr="00C7125E">
        <w:rPr>
          <w:rFonts w:ascii="Arial" w:eastAsia="Times New Roman" w:hAnsi="Arial" w:cs="Arial"/>
          <w:sz w:val="20"/>
          <w:szCs w:val="20"/>
          <w:lang w:eastAsia="es-BO"/>
        </w:rPr>
        <w:t>posresección</w:t>
      </w:r>
      <w:proofErr w:type="spellEnd"/>
      <w:r w:rsidRPr="00C7125E">
        <w:rPr>
          <w:rFonts w:ascii="Arial" w:eastAsia="Times New Roman" w:hAnsi="Arial" w:cs="Arial"/>
          <w:sz w:val="20"/>
          <w:szCs w:val="20"/>
          <w:lang w:eastAsia="es-BO"/>
        </w:rPr>
        <w:t>, siendo la mayoría en el primer año, con una 10-20 % de progresión a enfermedad invasiva. </w:t>
      </w:r>
      <w:r w:rsidRPr="00C7125E">
        <w:rPr>
          <w:rFonts w:ascii="Arial" w:eastAsia="Times New Roman" w:hAnsi="Arial" w:cs="Arial"/>
          <w:sz w:val="20"/>
          <w:szCs w:val="20"/>
          <w:lang w:eastAsia="es-BO"/>
        </w:rPr>
        <w:br/>
        <w:t xml:space="preserve">Para ambos, el diagnóstico inicial así como para el seguimiento posoperatorio son utilizados actualmente dos procedimientos: El análisis citológico del sedimento urinario y la visualización directa de la mucosa de la vejiga con </w:t>
      </w:r>
      <w:proofErr w:type="spellStart"/>
      <w:r w:rsidRPr="00C7125E">
        <w:rPr>
          <w:rFonts w:ascii="Arial" w:eastAsia="Times New Roman" w:hAnsi="Arial" w:cs="Arial"/>
          <w:sz w:val="20"/>
          <w:szCs w:val="20"/>
          <w:lang w:eastAsia="es-BO"/>
        </w:rPr>
        <w:t>citoscopía</w:t>
      </w:r>
      <w:proofErr w:type="spellEnd"/>
      <w:r w:rsidRPr="00C7125E">
        <w:rPr>
          <w:rFonts w:ascii="Arial" w:eastAsia="Times New Roman" w:hAnsi="Arial" w:cs="Arial"/>
          <w:sz w:val="20"/>
          <w:szCs w:val="20"/>
          <w:lang w:eastAsia="es-BO"/>
        </w:rPr>
        <w:t xml:space="preserve"> y de ser necesario la biopsia que constituirá el diagnóstico definitivo.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Siendo la citología un análisis muy subjetivo, con una sensibilidad muy baja y la </w:t>
      </w:r>
      <w:proofErr w:type="spellStart"/>
      <w:r w:rsidRPr="00C7125E">
        <w:rPr>
          <w:rFonts w:ascii="Arial" w:eastAsia="Times New Roman" w:hAnsi="Arial" w:cs="Arial"/>
          <w:sz w:val="20"/>
          <w:szCs w:val="20"/>
          <w:lang w:eastAsia="es-BO"/>
        </w:rPr>
        <w:t>citoscopía</w:t>
      </w:r>
      <w:proofErr w:type="spellEnd"/>
      <w:r w:rsidRPr="00C7125E">
        <w:rPr>
          <w:rFonts w:ascii="Arial" w:eastAsia="Times New Roman" w:hAnsi="Arial" w:cs="Arial"/>
          <w:sz w:val="20"/>
          <w:szCs w:val="20"/>
          <w:lang w:eastAsia="es-BO"/>
        </w:rPr>
        <w:t xml:space="preserve"> un procedimiento invasivo y caro, resulta muy práctico la utilización </w:t>
      </w:r>
      <w:proofErr w:type="spellStart"/>
      <w:r w:rsidRPr="00C7125E">
        <w:rPr>
          <w:rFonts w:ascii="Arial" w:eastAsia="Times New Roman" w:hAnsi="Arial" w:cs="Arial"/>
          <w:sz w:val="20"/>
          <w:szCs w:val="20"/>
          <w:lang w:eastAsia="es-BO"/>
        </w:rPr>
        <w:t>del</w:t>
      </w:r>
      <w:proofErr w:type="spellEnd"/>
      <w:r w:rsidRPr="00C7125E">
        <w:rPr>
          <w:rFonts w:ascii="Arial" w:eastAsia="Times New Roman" w:hAnsi="Arial" w:cs="Arial"/>
          <w:sz w:val="20"/>
          <w:szCs w:val="20"/>
          <w:lang w:eastAsia="es-BO"/>
        </w:rPr>
        <w:t xml:space="preserve"> un marcador tumoral como lo es el NMP22.</w:t>
      </w:r>
      <w:r w:rsidRPr="00C7125E">
        <w:rPr>
          <w:rFonts w:ascii="Arial" w:eastAsia="Times New Roman" w:hAnsi="Arial" w:cs="Arial"/>
          <w:sz w:val="20"/>
          <w:szCs w:val="20"/>
          <w:lang w:eastAsia="es-BO"/>
        </w:rPr>
        <w:br/>
        <w:t>Comparando estudios realizados demuestran la alta sensibilidad demostrada por esta prueba. Cuando el NMP22 es usado junto con la citología la sensibilidad de las pruebas se complementan llegando a ser del 100% en pacientes con hematuria con diagnóstico de cáncer de vejiga confirmado después por biopsia.</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 xml:space="preserve">En teoría, altos niveles de NMP22 deberían encontrarse en condiciones inflamatorias del </w:t>
      </w:r>
      <w:proofErr w:type="spellStart"/>
      <w:r w:rsidRPr="00C7125E">
        <w:rPr>
          <w:rFonts w:ascii="Arial" w:eastAsia="Times New Roman" w:hAnsi="Arial" w:cs="Arial"/>
          <w:sz w:val="20"/>
          <w:szCs w:val="20"/>
          <w:lang w:eastAsia="es-BO"/>
        </w:rPr>
        <w:t>urotelio</w:t>
      </w:r>
      <w:proofErr w:type="spellEnd"/>
      <w:r w:rsidRPr="00C7125E">
        <w:rPr>
          <w:rFonts w:ascii="Arial" w:eastAsia="Times New Roman" w:hAnsi="Arial" w:cs="Arial"/>
          <w:sz w:val="20"/>
          <w:szCs w:val="20"/>
          <w:lang w:eastAsia="es-BO"/>
        </w:rPr>
        <w:t xml:space="preserve"> no malignas y dar falsos positivos. Pero la experiencia de diversas investigaciones difieren es este sentido. </w:t>
      </w:r>
      <w:r w:rsidRPr="00C7125E">
        <w:rPr>
          <w:rFonts w:ascii="Arial" w:eastAsia="Times New Roman" w:hAnsi="Arial" w:cs="Arial"/>
          <w:sz w:val="20"/>
          <w:szCs w:val="20"/>
          <w:lang w:eastAsia="es-BO"/>
        </w:rPr>
        <w:br/>
        <w:t>Mientras que algunos reportan no haber una diferencia significativa entre males benignos urológicos y voluntarios normales, otros reportan bajos porcentajes de falsos positivos en el caso de algunas enfermedades benignas urológicas y renales y de algunas displasias. </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t>Otros marcadores tumorales que se utilizan en orina para el diagnóstico de tumores de vejiga es el BTA (</w:t>
      </w:r>
      <w:proofErr w:type="spellStart"/>
      <w:r w:rsidRPr="00C7125E">
        <w:rPr>
          <w:rFonts w:ascii="Arial" w:eastAsia="Times New Roman" w:hAnsi="Arial" w:cs="Arial"/>
          <w:sz w:val="20"/>
          <w:szCs w:val="20"/>
          <w:lang w:eastAsia="es-BO"/>
        </w:rPr>
        <w:t>Bladder</w:t>
      </w:r>
      <w:proofErr w:type="spellEnd"/>
      <w:r w:rsidRPr="00C7125E">
        <w:rPr>
          <w:rFonts w:ascii="Arial" w:eastAsia="Times New Roman" w:hAnsi="Arial" w:cs="Arial"/>
          <w:sz w:val="20"/>
          <w:szCs w:val="20"/>
          <w:lang w:eastAsia="es-BO"/>
        </w:rPr>
        <w:t xml:space="preserve"> tumor </w:t>
      </w:r>
      <w:proofErr w:type="spellStart"/>
      <w:r w:rsidRPr="00C7125E">
        <w:rPr>
          <w:rFonts w:ascii="Arial" w:eastAsia="Times New Roman" w:hAnsi="Arial" w:cs="Arial"/>
          <w:sz w:val="20"/>
          <w:szCs w:val="20"/>
          <w:lang w:eastAsia="es-BO"/>
        </w:rPr>
        <w:t>antigen</w:t>
      </w:r>
      <w:proofErr w:type="spellEnd"/>
      <w:r w:rsidRPr="00C7125E">
        <w:rPr>
          <w:rFonts w:ascii="Arial" w:eastAsia="Times New Roman" w:hAnsi="Arial" w:cs="Arial"/>
          <w:sz w:val="20"/>
          <w:szCs w:val="20"/>
          <w:lang w:eastAsia="es-BO"/>
        </w:rPr>
        <w:t xml:space="preserve">) y la </w:t>
      </w:r>
      <w:proofErr w:type="spellStart"/>
      <w:r w:rsidRPr="00C7125E">
        <w:rPr>
          <w:rFonts w:ascii="Arial" w:eastAsia="Times New Roman" w:hAnsi="Arial" w:cs="Arial"/>
          <w:sz w:val="20"/>
          <w:szCs w:val="20"/>
          <w:lang w:eastAsia="es-BO"/>
        </w:rPr>
        <w:t>survivina</w:t>
      </w:r>
      <w:proofErr w:type="spellEnd"/>
      <w:r w:rsidRPr="00C7125E">
        <w:rPr>
          <w:rFonts w:ascii="Arial" w:eastAsia="Times New Roman" w:hAnsi="Arial" w:cs="Arial"/>
          <w:sz w:val="20"/>
          <w:szCs w:val="20"/>
          <w:lang w:eastAsia="es-BO"/>
        </w:rPr>
        <w:t xml:space="preserve"> (</w:t>
      </w:r>
      <w:proofErr w:type="spellStart"/>
      <w:r w:rsidRPr="00C7125E">
        <w:rPr>
          <w:rFonts w:ascii="Arial" w:eastAsia="Times New Roman" w:hAnsi="Arial" w:cs="Arial"/>
          <w:sz w:val="20"/>
          <w:szCs w:val="20"/>
          <w:lang w:eastAsia="es-BO"/>
        </w:rPr>
        <w:t>survivin</w:t>
      </w:r>
      <w:proofErr w:type="spellEnd"/>
      <w:r w:rsidRPr="00C7125E">
        <w:rPr>
          <w:rFonts w:ascii="Arial" w:eastAsia="Times New Roman" w:hAnsi="Arial" w:cs="Arial"/>
          <w:sz w:val="20"/>
          <w:szCs w:val="20"/>
          <w:lang w:eastAsia="es-BO"/>
        </w:rPr>
        <w:t>). Esta última es una sustancia producida por diferentes células cancerosas donde inhibe el proceso normal de la apoptosis. Se ha encontrado en orina en cáncer de vejiga resultando un marcador muy prometedor.</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b/>
          <w:bCs/>
          <w:sz w:val="20"/>
          <w:szCs w:val="20"/>
          <w:lang w:eastAsia="es-BO"/>
        </w:rPr>
        <w:t>Fuente</w:t>
      </w:r>
      <w:r w:rsidRPr="00C7125E">
        <w:rPr>
          <w:rFonts w:ascii="Arial" w:eastAsia="Times New Roman" w:hAnsi="Arial" w:cs="Arial"/>
          <w:sz w:val="20"/>
          <w:szCs w:val="20"/>
          <w:lang w:eastAsia="es-BO"/>
        </w:rPr>
        <w:br/>
      </w:r>
      <w:r w:rsidRPr="00C7125E">
        <w:rPr>
          <w:rFonts w:ascii="Arial" w:eastAsia="Times New Roman" w:hAnsi="Arial" w:cs="Arial"/>
          <w:sz w:val="20"/>
          <w:szCs w:val="20"/>
          <w:lang w:eastAsia="es-BO"/>
        </w:rPr>
        <w:br/>
      </w:r>
      <w:hyperlink r:id="rId29" w:history="1">
        <w:r w:rsidRPr="00C7125E">
          <w:rPr>
            <w:rFonts w:ascii="Arial" w:eastAsia="Times New Roman" w:hAnsi="Arial" w:cs="Arial"/>
            <w:sz w:val="20"/>
            <w:szCs w:val="20"/>
            <w:u w:val="single"/>
            <w:lang w:eastAsia="es-BO"/>
          </w:rPr>
          <w:t>Quesada-Chanto, A.</w:t>
        </w:r>
      </w:hyperlink>
      <w:r w:rsidRPr="00C7125E">
        <w:rPr>
          <w:rFonts w:ascii="Arial" w:eastAsia="Times New Roman" w:hAnsi="Arial" w:cs="Arial"/>
          <w:sz w:val="20"/>
          <w:szCs w:val="20"/>
          <w:lang w:eastAsia="es-BO"/>
        </w:rPr>
        <w:t xml:space="preserve"> Diagnóstico de Laboratorio. Principales pruebas de bioquímica clínica y hematología. 1° ed. Litografía e Imprenta </w:t>
      </w:r>
      <w:proofErr w:type="spellStart"/>
      <w:r w:rsidRPr="00C7125E">
        <w:rPr>
          <w:rFonts w:ascii="Arial" w:eastAsia="Times New Roman" w:hAnsi="Arial" w:cs="Arial"/>
          <w:sz w:val="20"/>
          <w:szCs w:val="20"/>
          <w:lang w:eastAsia="es-BO"/>
        </w:rPr>
        <w:t>Lehmann</w:t>
      </w:r>
      <w:proofErr w:type="spellEnd"/>
      <w:r w:rsidRPr="00C7125E">
        <w:rPr>
          <w:rFonts w:ascii="Arial" w:eastAsia="Times New Roman" w:hAnsi="Arial" w:cs="Arial"/>
          <w:sz w:val="20"/>
          <w:szCs w:val="20"/>
          <w:lang w:eastAsia="es-BO"/>
        </w:rPr>
        <w:t>. San José Costa Rica, 2003. </w:t>
      </w:r>
    </w:p>
    <w:p w:rsidR="00E559A6" w:rsidRPr="00C7125E" w:rsidRDefault="00E559A6" w:rsidP="00E559A6">
      <w:pPr>
        <w:spacing w:before="240" w:after="240" w:line="252" w:lineRule="atLeast"/>
        <w:jc w:val="both"/>
        <w:rPr>
          <w:rFonts w:ascii="Arial" w:eastAsia="Times New Roman" w:hAnsi="Arial" w:cs="Arial"/>
          <w:sz w:val="20"/>
          <w:szCs w:val="20"/>
          <w:lang w:eastAsia="es-BO"/>
        </w:rPr>
      </w:pPr>
      <w:r w:rsidRPr="00C7125E">
        <w:rPr>
          <w:rFonts w:ascii="Arial" w:eastAsia="Times New Roman" w:hAnsi="Arial" w:cs="Arial"/>
          <w:sz w:val="20"/>
          <w:szCs w:val="20"/>
          <w:lang w:eastAsia="es-BO"/>
        </w:rPr>
        <w:t>Instituto Nacional del Cáncer (NCI): </w:t>
      </w:r>
      <w:r w:rsidRPr="00C7125E">
        <w:rPr>
          <w:rFonts w:ascii="Arial" w:eastAsia="Times New Roman" w:hAnsi="Arial" w:cs="Arial"/>
          <w:sz w:val="20"/>
          <w:szCs w:val="20"/>
          <w:lang w:eastAsia="es-BO"/>
        </w:rPr>
        <w:br/>
      </w:r>
      <w:hyperlink r:id="rId30" w:history="1">
        <w:r w:rsidRPr="00C7125E">
          <w:rPr>
            <w:rFonts w:ascii="Arial" w:eastAsia="Times New Roman" w:hAnsi="Arial" w:cs="Arial"/>
            <w:sz w:val="20"/>
            <w:szCs w:val="20"/>
            <w:lang w:eastAsia="es-BO"/>
          </w:rPr>
          <w:t>http://www.cancer.gov</w:t>
        </w:r>
      </w:hyperlink>
    </w:p>
    <w:p w:rsidR="00E559A6" w:rsidRPr="00C7125E" w:rsidRDefault="00E559A6" w:rsidP="00E559A6">
      <w:pPr>
        <w:spacing w:before="240" w:after="240" w:line="252" w:lineRule="atLeast"/>
        <w:jc w:val="both"/>
        <w:rPr>
          <w:rFonts w:ascii="Arial" w:eastAsia="Times New Roman" w:hAnsi="Arial" w:cs="Arial"/>
          <w:sz w:val="20"/>
          <w:szCs w:val="20"/>
          <w:lang w:eastAsia="es-BO"/>
        </w:rPr>
      </w:pPr>
    </w:p>
    <w:sectPr w:rsidR="00E559A6" w:rsidRPr="00C7125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C0EA0" w:rsidRDefault="007C0EA0" w:rsidP="00E559A6">
      <w:pPr>
        <w:spacing w:after="0" w:line="240" w:lineRule="auto"/>
      </w:pPr>
      <w:r>
        <w:separator/>
      </w:r>
    </w:p>
  </w:endnote>
  <w:endnote w:type="continuationSeparator" w:id="0">
    <w:p w:rsidR="007C0EA0" w:rsidRDefault="007C0EA0" w:rsidP="00E55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Aharoni">
    <w:panose1 w:val="02010803020104030203"/>
    <w:charset w:val="B1"/>
    <w:family w:val="auto"/>
    <w:pitch w:val="variable"/>
    <w:sig w:usb0="00000801" w:usb1="00000000" w:usb2="00000000" w:usb3="00000000" w:csb0="0000002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C0EA0" w:rsidRDefault="007C0EA0" w:rsidP="00E559A6">
      <w:pPr>
        <w:spacing w:after="0" w:line="240" w:lineRule="auto"/>
      </w:pPr>
      <w:r>
        <w:separator/>
      </w:r>
    </w:p>
  </w:footnote>
  <w:footnote w:type="continuationSeparator" w:id="0">
    <w:p w:rsidR="007C0EA0" w:rsidRDefault="007C0EA0" w:rsidP="00E559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65603"/>
    <w:multiLevelType w:val="hybridMultilevel"/>
    <w:tmpl w:val="B866D59A"/>
    <w:lvl w:ilvl="0" w:tplc="253CB956">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1D8E1134"/>
    <w:multiLevelType w:val="multilevel"/>
    <w:tmpl w:val="613C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0DE1C71"/>
    <w:multiLevelType w:val="multilevel"/>
    <w:tmpl w:val="A652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8205C1"/>
    <w:multiLevelType w:val="hybridMultilevel"/>
    <w:tmpl w:val="E6C8231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9A6"/>
    <w:rsid w:val="000340CA"/>
    <w:rsid w:val="000F66E3"/>
    <w:rsid w:val="0030232A"/>
    <w:rsid w:val="003C5D00"/>
    <w:rsid w:val="00434768"/>
    <w:rsid w:val="00471824"/>
    <w:rsid w:val="00533E00"/>
    <w:rsid w:val="005F15CB"/>
    <w:rsid w:val="005F450E"/>
    <w:rsid w:val="00781C38"/>
    <w:rsid w:val="007B4B8C"/>
    <w:rsid w:val="007C0EA0"/>
    <w:rsid w:val="00901F31"/>
    <w:rsid w:val="0095644D"/>
    <w:rsid w:val="00B050F4"/>
    <w:rsid w:val="00C01E03"/>
    <w:rsid w:val="00C7125E"/>
    <w:rsid w:val="00CA6B4C"/>
    <w:rsid w:val="00E559A6"/>
    <w:rsid w:val="00F36997"/>
    <w:rsid w:val="00FC607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5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9A6"/>
  </w:style>
  <w:style w:type="paragraph" w:styleId="Piedepgina">
    <w:name w:val="footer"/>
    <w:basedOn w:val="Normal"/>
    <w:link w:val="PiedepginaCar"/>
    <w:uiPriority w:val="99"/>
    <w:unhideWhenUsed/>
    <w:rsid w:val="00E55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9A6"/>
  </w:style>
  <w:style w:type="paragraph" w:styleId="Prrafodelista">
    <w:name w:val="List Paragraph"/>
    <w:basedOn w:val="Normal"/>
    <w:uiPriority w:val="34"/>
    <w:qFormat/>
    <w:rsid w:val="00E559A6"/>
    <w:pPr>
      <w:ind w:left="720"/>
      <w:contextualSpacing/>
    </w:pPr>
  </w:style>
  <w:style w:type="paragraph" w:styleId="Textodeglobo">
    <w:name w:val="Balloon Text"/>
    <w:basedOn w:val="Normal"/>
    <w:link w:val="TextodegloboCar"/>
    <w:uiPriority w:val="99"/>
    <w:semiHidden/>
    <w:unhideWhenUsed/>
    <w:rsid w:val="00FC60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60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5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59A6"/>
  </w:style>
  <w:style w:type="paragraph" w:styleId="Piedepgina">
    <w:name w:val="footer"/>
    <w:basedOn w:val="Normal"/>
    <w:link w:val="PiedepginaCar"/>
    <w:uiPriority w:val="99"/>
    <w:unhideWhenUsed/>
    <w:rsid w:val="00E55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59A6"/>
  </w:style>
  <w:style w:type="paragraph" w:styleId="Prrafodelista">
    <w:name w:val="List Paragraph"/>
    <w:basedOn w:val="Normal"/>
    <w:uiPriority w:val="34"/>
    <w:qFormat/>
    <w:rsid w:val="00E559A6"/>
    <w:pPr>
      <w:ind w:left="720"/>
      <w:contextualSpacing/>
    </w:pPr>
  </w:style>
  <w:style w:type="paragraph" w:styleId="Textodeglobo">
    <w:name w:val="Balloon Text"/>
    <w:basedOn w:val="Normal"/>
    <w:link w:val="TextodegloboCar"/>
    <w:uiPriority w:val="99"/>
    <w:semiHidden/>
    <w:unhideWhenUsed/>
    <w:rsid w:val="00FC607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C60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573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eosalud.com/Cancerpacientes/carcinoembriogenico.htm" TargetMode="External"/><Relationship Id="rId18" Type="http://schemas.openxmlformats.org/officeDocument/2006/relationships/hyperlink" Target="http://www.geosalud.com/Cancerpacientes/Gonadotropina.htm" TargetMode="External"/><Relationship Id="rId26" Type="http://schemas.openxmlformats.org/officeDocument/2006/relationships/hyperlink" Target="http://www.geosalud.com/Cancerpacientes/Cancerdeestomago.htm" TargetMode="External"/><Relationship Id="rId3" Type="http://schemas.microsoft.com/office/2007/relationships/stylesWithEffects" Target="stylesWithEffects.xml"/><Relationship Id="rId21" Type="http://schemas.openxmlformats.org/officeDocument/2006/relationships/hyperlink" Target="http://www.geosalud.com/Cancerpacientes/Cancerdeestomago.htm" TargetMode="External"/><Relationship Id="rId7" Type="http://schemas.openxmlformats.org/officeDocument/2006/relationships/endnotes" Target="endnotes.xml"/><Relationship Id="rId12" Type="http://schemas.openxmlformats.org/officeDocument/2006/relationships/hyperlink" Target="http://www.geosalud.com/Cancerpacientes/alfafetoproteina.htm" TargetMode="External"/><Relationship Id="rId17" Type="http://schemas.openxmlformats.org/officeDocument/2006/relationships/hyperlink" Target="http://www.geosalud.com/Cancerpacientes/caquince.htm" TargetMode="External"/><Relationship Id="rId25" Type="http://schemas.openxmlformats.org/officeDocument/2006/relationships/hyperlink" Target="http://www.geosalud.com/Cancerpacientes/pancreas/pancreasindex.htm" TargetMode="External"/><Relationship Id="rId2" Type="http://schemas.openxmlformats.org/officeDocument/2006/relationships/styles" Target="styles.xml"/><Relationship Id="rId16" Type="http://schemas.openxmlformats.org/officeDocument/2006/relationships/hyperlink" Target="http://www.geosalud.com/Cancerpacientes/cadiecinueva.htm" TargetMode="External"/><Relationship Id="rId20" Type="http://schemas.openxmlformats.org/officeDocument/2006/relationships/hyperlink" Target="http://www.geosalud.com/Cancerpacientes/higadoprimarioadultos.htm" TargetMode="External"/><Relationship Id="rId29" Type="http://schemas.openxmlformats.org/officeDocument/2006/relationships/hyperlink" Target="http://www.geosalud.com/laboratorioclinico/adolfo.quesada.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geosalud.com/Cancerpacientes/hidroxiindolacetico.htm" TargetMode="External"/><Relationship Id="rId24" Type="http://schemas.openxmlformats.org/officeDocument/2006/relationships/hyperlink" Target="http://www.geosalud.com/Cancerpacientes/pancreas/pancreasindex.ht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geosalud.com/Cancerpacientes/caciento.htm" TargetMode="External"/><Relationship Id="rId23" Type="http://schemas.openxmlformats.org/officeDocument/2006/relationships/hyperlink" Target="http://www.geosalud.com/Cancerpacientes/ovariogeneral.htm" TargetMode="External"/><Relationship Id="rId28" Type="http://schemas.openxmlformats.org/officeDocument/2006/relationships/hyperlink" Target="http://www.geosalud.com/Cancerpacientes/Cancerdemama.htm" TargetMode="External"/><Relationship Id="rId10" Type="http://schemas.openxmlformats.org/officeDocument/2006/relationships/hyperlink" Target="http://www.geosalud.com/Cancerpacientes/marcadorestumorales.htm" TargetMode="External"/><Relationship Id="rId19" Type="http://schemas.openxmlformats.org/officeDocument/2006/relationships/hyperlink" Target="http://www.geosalud.com/Cancerpacientes/nuclearmatrix.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geosalud.com/Cancerpacientes/marcadores.html" TargetMode="External"/><Relationship Id="rId14" Type="http://schemas.openxmlformats.org/officeDocument/2006/relationships/hyperlink" Target="http://www.geosalud.com/Cancerpacientes/antigeno_prostatico.htm" TargetMode="External"/><Relationship Id="rId22" Type="http://schemas.openxmlformats.org/officeDocument/2006/relationships/hyperlink" Target="http://www.geosalud.com/Cancerpacientes/ovariogeneral.htm" TargetMode="External"/><Relationship Id="rId27" Type="http://schemas.openxmlformats.org/officeDocument/2006/relationships/hyperlink" Target="http://www.geosalud.com/Cancerpacientes/colorrectal.htm" TargetMode="External"/><Relationship Id="rId30" Type="http://schemas.openxmlformats.org/officeDocument/2006/relationships/hyperlink" Target="http://www.cancer.go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14</Pages>
  <Words>5851</Words>
  <Characters>32182</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9</cp:revision>
  <cp:lastPrinted>2014-08-23T11:07:00Z</cp:lastPrinted>
  <dcterms:created xsi:type="dcterms:W3CDTF">2014-08-08T22:09:00Z</dcterms:created>
  <dcterms:modified xsi:type="dcterms:W3CDTF">2014-08-23T13:42:00Z</dcterms:modified>
</cp:coreProperties>
</file>