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1047" w:rsidRPr="00BF76D6" w:rsidRDefault="006D1047" w:rsidP="00BF76D6">
      <w:pPr>
        <w:spacing w:after="0"/>
        <w:jc w:val="center"/>
        <w:rPr>
          <w:rFonts w:ascii="Arial" w:eastAsia="Times New Roman" w:hAnsi="Arial" w:cs="Arial"/>
          <w:b/>
          <w:sz w:val="24"/>
          <w:szCs w:val="24"/>
          <w:lang w:eastAsia="es-ES"/>
        </w:rPr>
      </w:pPr>
      <w:bookmarkStart w:id="0" w:name="_GoBack"/>
      <w:bookmarkEnd w:id="0"/>
      <w:r w:rsidRPr="00BF76D6">
        <w:rPr>
          <w:rFonts w:ascii="Arial" w:eastAsia="Times New Roman" w:hAnsi="Arial" w:cs="Arial"/>
          <w:b/>
          <w:sz w:val="24"/>
          <w:szCs w:val="24"/>
          <w:lang w:eastAsia="es-ES"/>
        </w:rPr>
        <w:t>Marcadores Tumorales</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xml:space="preserve">En el ámbito de la investigación y detección del cáncer, un </w:t>
      </w:r>
      <w:r w:rsidRPr="00BF76D6">
        <w:rPr>
          <w:rFonts w:ascii="Arial" w:eastAsia="Times New Roman" w:hAnsi="Arial" w:cs="Arial"/>
          <w:b/>
          <w:bCs/>
          <w:sz w:val="24"/>
          <w:szCs w:val="24"/>
          <w:lang w:eastAsia="es-ES"/>
        </w:rPr>
        <w:t>marcador tumoral</w:t>
      </w:r>
      <w:r w:rsidRPr="00BF76D6">
        <w:rPr>
          <w:rFonts w:ascii="Arial" w:eastAsia="Times New Roman" w:hAnsi="Arial" w:cs="Arial"/>
          <w:sz w:val="24"/>
          <w:szCs w:val="24"/>
          <w:lang w:eastAsia="es-ES"/>
        </w:rPr>
        <w:t xml:space="preserve"> se refiere a una sustancia que es indicativa de la presencia de cáncer en el organismo.</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xml:space="preserve">Puede ser una molécula secretada por el tumor en sí, o una respuesta específica del organismo a la presencia del cáncer.  Los marcadores tumorales generalmente se miden en la </w:t>
      </w:r>
      <w:proofErr w:type="spellStart"/>
      <w:r w:rsidRPr="00BF76D6">
        <w:rPr>
          <w:rFonts w:ascii="Arial" w:eastAsia="Times New Roman" w:hAnsi="Arial" w:cs="Arial"/>
          <w:sz w:val="24"/>
          <w:szCs w:val="24"/>
          <w:lang w:eastAsia="es-ES"/>
        </w:rPr>
        <w:t>análítica</w:t>
      </w:r>
      <w:proofErr w:type="spellEnd"/>
      <w:r w:rsidRPr="00BF76D6">
        <w:rPr>
          <w:rFonts w:ascii="Arial" w:eastAsia="Times New Roman" w:hAnsi="Arial" w:cs="Arial"/>
          <w:sz w:val="24"/>
          <w:szCs w:val="24"/>
          <w:lang w:eastAsia="es-ES"/>
        </w:rPr>
        <w:t xml:space="preserve"> de sangre.</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Los marcadores tumorales pueden utilizarse en el diagnóstico de procesos tumorales, antes de que los individuos presenten síntomas.</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Para tener utilidad clínica, los marcadores tumorales deben poder ser medidos fácilmente en sangre y ser lo más específicos posibles de la presencia de un determinado tumor, es decir, que cuando encontremos elevado un marcador tumoral en sangre nos esté indicando con la mayor seguridad posible que estamos ante un crecimiento maligno tumoral.</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b/>
          <w:bCs/>
          <w:sz w:val="24"/>
          <w:szCs w:val="24"/>
          <w:lang w:eastAsia="es-ES"/>
        </w:rPr>
        <w:t>Los marcadores tumorales nos sirven para:</w:t>
      </w:r>
    </w:p>
    <w:p w:rsidR="00BF76D6" w:rsidRDefault="006D1047" w:rsidP="00BF76D6">
      <w:pPr>
        <w:pStyle w:val="Prrafodelista"/>
        <w:numPr>
          <w:ilvl w:val="0"/>
          <w:numId w:val="1"/>
        </w:num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Seguimiento de pacientes con un determinado tumor diagnosticado para evaluar la eficacia o no del tratamiento que esté recibiendo</w:t>
      </w:r>
    </w:p>
    <w:p w:rsidR="006D1047" w:rsidRPr="00BF76D6" w:rsidRDefault="006D1047" w:rsidP="00BF76D6">
      <w:pPr>
        <w:pStyle w:val="Prrafodelista"/>
        <w:numPr>
          <w:ilvl w:val="0"/>
          <w:numId w:val="1"/>
        </w:num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Diagnosticar lo más tempranamente posible a un paciente con cáncer</w:t>
      </w:r>
    </w:p>
    <w:p w:rsidR="006D1047" w:rsidRPr="00BF76D6" w:rsidRDefault="006D1047" w:rsidP="00BF76D6">
      <w:pPr>
        <w:pStyle w:val="Prrafodelista"/>
        <w:numPr>
          <w:ilvl w:val="0"/>
          <w:numId w:val="1"/>
        </w:num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Diagnosticar de un determinado tumor a un paciente que no conocemos cuál es el tumor primario que le está originando las metástasis</w:t>
      </w:r>
    </w:p>
    <w:p w:rsidR="006D1047" w:rsidRPr="00BF76D6" w:rsidRDefault="006D1047" w:rsidP="00BF76D6">
      <w:pPr>
        <w:pStyle w:val="Prrafodelista"/>
        <w:numPr>
          <w:ilvl w:val="0"/>
          <w:numId w:val="1"/>
        </w:num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Vigilar a pacientes que han sido operados de un tumor y que tienen riesgo de que vuelva a aparecer</w:t>
      </w:r>
    </w:p>
    <w:p w:rsidR="006D1047" w:rsidRPr="00BF76D6" w:rsidRDefault="006D1047" w:rsidP="00BF76D6">
      <w:pPr>
        <w:pStyle w:val="Prrafodelista"/>
        <w:numPr>
          <w:ilvl w:val="0"/>
          <w:numId w:val="1"/>
        </w:num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xml:space="preserve">Hacer </w:t>
      </w:r>
      <w:proofErr w:type="spellStart"/>
      <w:r w:rsidRPr="00BF76D6">
        <w:rPr>
          <w:rFonts w:ascii="Arial" w:eastAsia="Times New Roman" w:hAnsi="Arial" w:cs="Arial"/>
          <w:sz w:val="24"/>
          <w:szCs w:val="24"/>
          <w:lang w:eastAsia="es-ES"/>
        </w:rPr>
        <w:t>screening</w:t>
      </w:r>
      <w:proofErr w:type="spellEnd"/>
      <w:r w:rsidRPr="00BF76D6">
        <w:rPr>
          <w:rFonts w:ascii="Arial" w:eastAsia="Times New Roman" w:hAnsi="Arial" w:cs="Arial"/>
          <w:sz w:val="24"/>
          <w:szCs w:val="24"/>
          <w:lang w:eastAsia="es-ES"/>
        </w:rPr>
        <w:t xml:space="preserve"> de personas con alto riesgo de padecer un determinado tipo de tumor</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b/>
          <w:bCs/>
          <w:sz w:val="24"/>
          <w:szCs w:val="24"/>
          <w:lang w:eastAsia="es-ES"/>
        </w:rPr>
        <w:t>Los Principales Marcadores Tumorales empleados en la práctica diaria pueden verse en la siguiente tabla:</w:t>
      </w:r>
    </w:p>
    <w:tbl>
      <w:tblPr>
        <w:tblW w:w="9069" w:type="dxa"/>
        <w:tblBorders>
          <w:top w:val="outset" w:sz="12" w:space="0" w:color="auto"/>
          <w:left w:val="outset" w:sz="12" w:space="0" w:color="auto"/>
          <w:bottom w:val="outset" w:sz="12" w:space="0" w:color="auto"/>
          <w:right w:val="outset" w:sz="12" w:space="0" w:color="auto"/>
        </w:tblBorders>
        <w:tblCellMar>
          <w:left w:w="0" w:type="dxa"/>
          <w:right w:w="0" w:type="dxa"/>
        </w:tblCellMar>
        <w:tblLook w:val="04A0" w:firstRow="1" w:lastRow="0" w:firstColumn="1" w:lastColumn="0" w:noHBand="0" w:noVBand="1"/>
      </w:tblPr>
      <w:tblGrid>
        <w:gridCol w:w="3127"/>
        <w:gridCol w:w="2551"/>
        <w:gridCol w:w="3391"/>
      </w:tblGrid>
      <w:tr w:rsidR="00BF76D6" w:rsidRPr="00BF76D6" w:rsidTr="00BF76D6">
        <w:trPr>
          <w:trHeight w:val="581"/>
        </w:trPr>
        <w:tc>
          <w:tcPr>
            <w:tcW w:w="3127"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center"/>
              <w:rPr>
                <w:rFonts w:ascii="Arial" w:eastAsia="Times New Roman" w:hAnsi="Arial" w:cs="Arial"/>
                <w:lang w:eastAsia="es-ES"/>
              </w:rPr>
            </w:pPr>
            <w:proofErr w:type="spellStart"/>
            <w:r w:rsidRPr="00BF76D6">
              <w:rPr>
                <w:rFonts w:ascii="Arial" w:eastAsia="Times New Roman" w:hAnsi="Arial" w:cs="Arial"/>
                <w:b/>
                <w:bCs/>
                <w:kern w:val="24"/>
                <w:lang w:val="en-GB" w:eastAsia="es-ES"/>
              </w:rPr>
              <w:t>Marcador</w:t>
            </w:r>
            <w:proofErr w:type="spellEnd"/>
            <w:r w:rsidRPr="00BF76D6">
              <w:rPr>
                <w:rFonts w:ascii="Arial" w:eastAsia="Times New Roman" w:hAnsi="Arial" w:cs="Arial"/>
                <w:b/>
                <w:bCs/>
                <w:kern w:val="24"/>
                <w:lang w:val="en-GB" w:eastAsia="es-ES"/>
              </w:rPr>
              <w:t xml:space="preserve"> </w:t>
            </w:r>
            <w:proofErr w:type="spellStart"/>
            <w:r w:rsidRPr="00BF76D6">
              <w:rPr>
                <w:rFonts w:ascii="Arial" w:eastAsia="Times New Roman" w:hAnsi="Arial" w:cs="Arial"/>
                <w:b/>
                <w:bCs/>
                <w:kern w:val="24"/>
                <w:lang w:val="en-GB" w:eastAsia="es-ES"/>
              </w:rPr>
              <w:t>Tumoral</w:t>
            </w:r>
            <w:proofErr w:type="spellEnd"/>
          </w:p>
        </w:tc>
        <w:tc>
          <w:tcPr>
            <w:tcW w:w="2551"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center"/>
              <w:rPr>
                <w:rFonts w:ascii="Arial" w:eastAsia="Times New Roman" w:hAnsi="Arial" w:cs="Arial"/>
                <w:lang w:eastAsia="es-ES"/>
              </w:rPr>
            </w:pPr>
            <w:r w:rsidRPr="00BF76D6">
              <w:rPr>
                <w:rFonts w:ascii="Arial" w:eastAsia="Times New Roman" w:hAnsi="Arial" w:cs="Arial"/>
                <w:b/>
                <w:bCs/>
                <w:kern w:val="24"/>
                <w:lang w:val="en-GB" w:eastAsia="es-ES"/>
              </w:rPr>
              <w:t xml:space="preserve">Principal </w:t>
            </w:r>
            <w:proofErr w:type="spellStart"/>
            <w:r w:rsidRPr="00BF76D6">
              <w:rPr>
                <w:rFonts w:ascii="Arial" w:eastAsia="Times New Roman" w:hAnsi="Arial" w:cs="Arial"/>
                <w:b/>
                <w:bCs/>
                <w:kern w:val="24"/>
                <w:lang w:val="en-GB" w:eastAsia="es-ES"/>
              </w:rPr>
              <w:t>tumor</w:t>
            </w:r>
            <w:proofErr w:type="spellEnd"/>
            <w:r w:rsidRPr="00BF76D6">
              <w:rPr>
                <w:rFonts w:ascii="Arial" w:eastAsia="Times New Roman" w:hAnsi="Arial" w:cs="Arial"/>
                <w:b/>
                <w:bCs/>
                <w:kern w:val="24"/>
                <w:lang w:val="en-GB" w:eastAsia="es-ES"/>
              </w:rPr>
              <w:t xml:space="preserve"> </w:t>
            </w:r>
            <w:proofErr w:type="spellStart"/>
            <w:r w:rsidRPr="00BF76D6">
              <w:rPr>
                <w:rFonts w:ascii="Arial" w:eastAsia="Times New Roman" w:hAnsi="Arial" w:cs="Arial"/>
                <w:b/>
                <w:bCs/>
                <w:kern w:val="24"/>
                <w:lang w:val="en-GB" w:eastAsia="es-ES"/>
              </w:rPr>
              <w:t>asociado</w:t>
            </w:r>
            <w:proofErr w:type="spellEnd"/>
          </w:p>
        </w:tc>
        <w:tc>
          <w:tcPr>
            <w:tcW w:w="3391"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center"/>
              <w:rPr>
                <w:rFonts w:ascii="Arial" w:eastAsia="Times New Roman" w:hAnsi="Arial" w:cs="Arial"/>
                <w:lang w:eastAsia="es-ES"/>
              </w:rPr>
            </w:pPr>
            <w:proofErr w:type="spellStart"/>
            <w:r w:rsidRPr="00BF76D6">
              <w:rPr>
                <w:rFonts w:ascii="Arial" w:eastAsia="Times New Roman" w:hAnsi="Arial" w:cs="Arial"/>
                <w:b/>
                <w:bCs/>
                <w:kern w:val="24"/>
                <w:shd w:val="clear" w:color="auto" w:fill="FFFFFF"/>
                <w:lang w:val="en-GB" w:eastAsia="es-ES"/>
              </w:rPr>
              <w:t>Utilidad</w:t>
            </w:r>
            <w:proofErr w:type="spellEnd"/>
            <w:r w:rsidRPr="00BF76D6">
              <w:rPr>
                <w:rFonts w:ascii="Arial" w:eastAsia="Times New Roman" w:hAnsi="Arial" w:cs="Arial"/>
                <w:b/>
                <w:bCs/>
                <w:kern w:val="24"/>
                <w:shd w:val="clear" w:color="auto" w:fill="FFFFFF"/>
                <w:lang w:val="en-GB" w:eastAsia="es-ES"/>
              </w:rPr>
              <w:t xml:space="preserve"> </w:t>
            </w:r>
            <w:proofErr w:type="spellStart"/>
            <w:r w:rsidRPr="00BF76D6">
              <w:rPr>
                <w:rFonts w:ascii="Arial" w:eastAsia="Times New Roman" w:hAnsi="Arial" w:cs="Arial"/>
                <w:b/>
                <w:bCs/>
                <w:kern w:val="24"/>
                <w:shd w:val="clear" w:color="auto" w:fill="FFFFFF"/>
                <w:lang w:val="en-GB" w:eastAsia="es-ES"/>
              </w:rPr>
              <w:t>Clínica</w:t>
            </w:r>
            <w:proofErr w:type="spellEnd"/>
          </w:p>
        </w:tc>
      </w:tr>
      <w:tr w:rsidR="00BF76D6" w:rsidRPr="00BF76D6" w:rsidTr="00BF76D6">
        <w:trPr>
          <w:trHeight w:val="1453"/>
        </w:trPr>
        <w:tc>
          <w:tcPr>
            <w:tcW w:w="3127"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both"/>
              <w:rPr>
                <w:rFonts w:ascii="Arial" w:eastAsia="Times New Roman" w:hAnsi="Arial" w:cs="Arial"/>
                <w:lang w:eastAsia="es-ES"/>
              </w:rPr>
            </w:pPr>
            <w:r w:rsidRPr="00BF76D6">
              <w:rPr>
                <w:rFonts w:ascii="Arial" w:eastAsia="Times New Roman" w:hAnsi="Arial" w:cs="Arial"/>
                <w:kern w:val="24"/>
                <w:lang w:eastAsia="es-ES"/>
              </w:rPr>
              <w:t>Antígeno Prostático Específico (PSA)</w:t>
            </w:r>
          </w:p>
        </w:tc>
        <w:tc>
          <w:tcPr>
            <w:tcW w:w="2551"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center"/>
              <w:rPr>
                <w:rFonts w:ascii="Arial" w:eastAsia="Times New Roman" w:hAnsi="Arial" w:cs="Arial"/>
                <w:lang w:eastAsia="es-ES"/>
              </w:rPr>
            </w:pPr>
            <w:proofErr w:type="spellStart"/>
            <w:r w:rsidRPr="00BF76D6">
              <w:rPr>
                <w:rFonts w:ascii="Arial" w:eastAsia="Times New Roman" w:hAnsi="Arial" w:cs="Arial"/>
                <w:kern w:val="24"/>
                <w:lang w:val="en-GB" w:eastAsia="es-ES"/>
              </w:rPr>
              <w:t>Cáncer</w:t>
            </w:r>
            <w:proofErr w:type="spellEnd"/>
            <w:r w:rsidRPr="00BF76D6">
              <w:rPr>
                <w:rFonts w:ascii="Arial" w:eastAsia="Times New Roman" w:hAnsi="Arial" w:cs="Arial"/>
                <w:kern w:val="24"/>
                <w:lang w:val="en-GB" w:eastAsia="es-ES"/>
              </w:rPr>
              <w:t xml:space="preserve"> de </w:t>
            </w:r>
            <w:proofErr w:type="spellStart"/>
            <w:r w:rsidRPr="00BF76D6">
              <w:rPr>
                <w:rFonts w:ascii="Arial" w:eastAsia="Times New Roman" w:hAnsi="Arial" w:cs="Arial"/>
                <w:kern w:val="24"/>
                <w:lang w:val="en-GB" w:eastAsia="es-ES"/>
              </w:rPr>
              <w:t>próstata</w:t>
            </w:r>
            <w:proofErr w:type="spellEnd"/>
          </w:p>
        </w:tc>
        <w:tc>
          <w:tcPr>
            <w:tcW w:w="3391"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both"/>
              <w:rPr>
                <w:rFonts w:ascii="Arial" w:eastAsia="Times New Roman" w:hAnsi="Arial" w:cs="Arial"/>
                <w:lang w:eastAsia="es-ES"/>
              </w:rPr>
            </w:pPr>
            <w:proofErr w:type="spellStart"/>
            <w:r w:rsidRPr="00BF76D6">
              <w:rPr>
                <w:rFonts w:ascii="Arial" w:eastAsia="Times New Roman" w:hAnsi="Arial" w:cs="Arial"/>
                <w:kern w:val="24"/>
                <w:lang w:eastAsia="es-ES"/>
              </w:rPr>
              <w:t>Screening</w:t>
            </w:r>
            <w:proofErr w:type="spellEnd"/>
          </w:p>
          <w:p w:rsidR="006D1047" w:rsidRPr="00BF76D6" w:rsidRDefault="006D1047" w:rsidP="00BF76D6">
            <w:pPr>
              <w:spacing w:after="0" w:line="240" w:lineRule="auto"/>
              <w:jc w:val="both"/>
              <w:rPr>
                <w:rFonts w:ascii="Arial" w:eastAsia="Times New Roman" w:hAnsi="Arial" w:cs="Arial"/>
                <w:lang w:eastAsia="es-ES"/>
              </w:rPr>
            </w:pPr>
            <w:r w:rsidRPr="00BF76D6">
              <w:rPr>
                <w:rFonts w:ascii="Arial" w:eastAsia="Times New Roman" w:hAnsi="Arial" w:cs="Arial"/>
                <w:kern w:val="24"/>
                <w:lang w:eastAsia="es-ES"/>
              </w:rPr>
              <w:t>Seguimiento</w:t>
            </w:r>
          </w:p>
          <w:p w:rsidR="006D1047" w:rsidRPr="00BF76D6" w:rsidRDefault="006D1047" w:rsidP="00BF76D6">
            <w:pPr>
              <w:spacing w:after="0" w:line="240" w:lineRule="auto"/>
              <w:jc w:val="both"/>
              <w:rPr>
                <w:rFonts w:ascii="Arial" w:eastAsia="Times New Roman" w:hAnsi="Arial" w:cs="Arial"/>
                <w:lang w:eastAsia="es-ES"/>
              </w:rPr>
            </w:pPr>
            <w:r w:rsidRPr="00BF76D6">
              <w:rPr>
                <w:rFonts w:ascii="Arial" w:eastAsia="Times New Roman" w:hAnsi="Arial" w:cs="Arial"/>
                <w:kern w:val="24"/>
                <w:lang w:eastAsia="es-ES"/>
              </w:rPr>
              <w:t>Valoración de la efectividad del tratamiento en la enfermedad avanzada</w:t>
            </w:r>
          </w:p>
        </w:tc>
      </w:tr>
      <w:tr w:rsidR="00BF76D6" w:rsidRPr="00BF76D6" w:rsidTr="00BF76D6">
        <w:trPr>
          <w:trHeight w:val="872"/>
        </w:trPr>
        <w:tc>
          <w:tcPr>
            <w:tcW w:w="3127"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both"/>
              <w:rPr>
                <w:rFonts w:ascii="Arial" w:eastAsia="Times New Roman" w:hAnsi="Arial" w:cs="Arial"/>
                <w:lang w:eastAsia="es-ES"/>
              </w:rPr>
            </w:pPr>
            <w:r w:rsidRPr="00BF76D6">
              <w:rPr>
                <w:rFonts w:ascii="Arial" w:eastAsia="Times New Roman" w:hAnsi="Arial" w:cs="Arial"/>
                <w:kern w:val="24"/>
                <w:lang w:eastAsia="es-ES"/>
              </w:rPr>
              <w:lastRenderedPageBreak/>
              <w:t>CA 125</w:t>
            </w:r>
          </w:p>
        </w:tc>
        <w:tc>
          <w:tcPr>
            <w:tcW w:w="2551"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center"/>
              <w:rPr>
                <w:rFonts w:ascii="Arial" w:eastAsia="Times New Roman" w:hAnsi="Arial" w:cs="Arial"/>
                <w:lang w:eastAsia="es-ES"/>
              </w:rPr>
            </w:pPr>
            <w:proofErr w:type="spellStart"/>
            <w:r w:rsidRPr="00BF76D6">
              <w:rPr>
                <w:rFonts w:ascii="Arial" w:eastAsia="Times New Roman" w:hAnsi="Arial" w:cs="Arial"/>
                <w:kern w:val="24"/>
                <w:lang w:val="en-GB" w:eastAsia="es-ES"/>
              </w:rPr>
              <w:t>Cáncer</w:t>
            </w:r>
            <w:proofErr w:type="spellEnd"/>
            <w:r w:rsidRPr="00BF76D6">
              <w:rPr>
                <w:rFonts w:ascii="Arial" w:eastAsia="Times New Roman" w:hAnsi="Arial" w:cs="Arial"/>
                <w:kern w:val="24"/>
                <w:lang w:val="en-GB" w:eastAsia="es-ES"/>
              </w:rPr>
              <w:t xml:space="preserve"> de </w:t>
            </w:r>
            <w:proofErr w:type="spellStart"/>
            <w:r w:rsidRPr="00BF76D6">
              <w:rPr>
                <w:rFonts w:ascii="Arial" w:eastAsia="Times New Roman" w:hAnsi="Arial" w:cs="Arial"/>
                <w:kern w:val="24"/>
                <w:lang w:val="en-GB" w:eastAsia="es-ES"/>
              </w:rPr>
              <w:t>ovario</w:t>
            </w:r>
            <w:proofErr w:type="spellEnd"/>
          </w:p>
        </w:tc>
        <w:tc>
          <w:tcPr>
            <w:tcW w:w="3391"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both"/>
              <w:rPr>
                <w:rFonts w:ascii="Arial" w:eastAsia="Times New Roman" w:hAnsi="Arial" w:cs="Arial"/>
                <w:lang w:eastAsia="es-ES"/>
              </w:rPr>
            </w:pPr>
            <w:r w:rsidRPr="00BF76D6">
              <w:rPr>
                <w:rFonts w:ascii="Arial" w:eastAsia="Times New Roman" w:hAnsi="Arial" w:cs="Arial"/>
                <w:kern w:val="24"/>
                <w:lang w:eastAsia="es-ES"/>
              </w:rPr>
              <w:t>Valoración de respuesta al tratamiento</w:t>
            </w:r>
          </w:p>
          <w:p w:rsidR="006D1047" w:rsidRPr="00BF76D6" w:rsidRDefault="006D1047" w:rsidP="00BF76D6">
            <w:pPr>
              <w:spacing w:after="0" w:line="240" w:lineRule="auto"/>
              <w:jc w:val="both"/>
              <w:rPr>
                <w:rFonts w:ascii="Arial" w:eastAsia="Times New Roman" w:hAnsi="Arial" w:cs="Arial"/>
                <w:lang w:eastAsia="es-ES"/>
              </w:rPr>
            </w:pPr>
            <w:r w:rsidRPr="00BF76D6">
              <w:rPr>
                <w:rFonts w:ascii="Arial" w:eastAsia="Times New Roman" w:hAnsi="Arial" w:cs="Arial"/>
                <w:kern w:val="24"/>
                <w:lang w:eastAsia="es-ES"/>
              </w:rPr>
              <w:t>Detección de recurrencia</w:t>
            </w:r>
          </w:p>
        </w:tc>
      </w:tr>
      <w:tr w:rsidR="00BF76D6" w:rsidRPr="00BF76D6" w:rsidTr="00BF76D6">
        <w:trPr>
          <w:trHeight w:val="1695"/>
        </w:trPr>
        <w:tc>
          <w:tcPr>
            <w:tcW w:w="3127"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both"/>
              <w:rPr>
                <w:rFonts w:ascii="Arial" w:eastAsia="Times New Roman" w:hAnsi="Arial" w:cs="Arial"/>
                <w:lang w:eastAsia="es-ES"/>
              </w:rPr>
            </w:pPr>
            <w:r w:rsidRPr="00BF76D6">
              <w:rPr>
                <w:rFonts w:ascii="Arial" w:eastAsia="Times New Roman" w:hAnsi="Arial" w:cs="Arial"/>
                <w:kern w:val="24"/>
                <w:lang w:eastAsia="es-ES"/>
              </w:rPr>
              <w:t xml:space="preserve">Antígeno </w:t>
            </w:r>
            <w:proofErr w:type="spellStart"/>
            <w:r w:rsidRPr="00BF76D6">
              <w:rPr>
                <w:rFonts w:ascii="Arial" w:eastAsia="Times New Roman" w:hAnsi="Arial" w:cs="Arial"/>
                <w:kern w:val="24"/>
                <w:lang w:eastAsia="es-ES"/>
              </w:rPr>
              <w:t>Carcinoembrionario</w:t>
            </w:r>
            <w:proofErr w:type="spellEnd"/>
            <w:r w:rsidRPr="00BF76D6">
              <w:rPr>
                <w:rFonts w:ascii="Arial" w:eastAsia="Times New Roman" w:hAnsi="Arial" w:cs="Arial"/>
                <w:kern w:val="24"/>
                <w:lang w:eastAsia="es-ES"/>
              </w:rPr>
              <w:t xml:space="preserve"> (CEA)</w:t>
            </w:r>
          </w:p>
        </w:tc>
        <w:tc>
          <w:tcPr>
            <w:tcW w:w="2551"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center"/>
              <w:rPr>
                <w:rFonts w:ascii="Arial" w:eastAsia="Times New Roman" w:hAnsi="Arial" w:cs="Arial"/>
                <w:lang w:eastAsia="es-ES"/>
              </w:rPr>
            </w:pPr>
            <w:r w:rsidRPr="00BF76D6">
              <w:rPr>
                <w:rFonts w:ascii="Arial" w:eastAsia="Times New Roman" w:hAnsi="Arial" w:cs="Arial"/>
                <w:kern w:val="24"/>
                <w:lang w:val="en-GB" w:eastAsia="es-ES"/>
              </w:rPr>
              <w:t xml:space="preserve">Cancer </w:t>
            </w:r>
            <w:proofErr w:type="spellStart"/>
            <w:r w:rsidRPr="00BF76D6">
              <w:rPr>
                <w:rFonts w:ascii="Arial" w:eastAsia="Times New Roman" w:hAnsi="Arial" w:cs="Arial"/>
                <w:kern w:val="24"/>
                <w:lang w:val="en-GB" w:eastAsia="es-ES"/>
              </w:rPr>
              <w:t>colorrectal</w:t>
            </w:r>
            <w:proofErr w:type="spellEnd"/>
          </w:p>
        </w:tc>
        <w:tc>
          <w:tcPr>
            <w:tcW w:w="3391"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both"/>
              <w:rPr>
                <w:rFonts w:ascii="Arial" w:eastAsia="Times New Roman" w:hAnsi="Arial" w:cs="Arial"/>
                <w:lang w:eastAsia="es-ES"/>
              </w:rPr>
            </w:pPr>
            <w:r w:rsidRPr="00BF76D6">
              <w:rPr>
                <w:rFonts w:ascii="Arial" w:eastAsia="Times New Roman" w:hAnsi="Arial" w:cs="Arial"/>
                <w:kern w:val="24"/>
                <w:lang w:eastAsia="es-ES"/>
              </w:rPr>
              <w:t xml:space="preserve">Valor orientativo en el </w:t>
            </w:r>
            <w:proofErr w:type="spellStart"/>
            <w:r w:rsidRPr="00BF76D6">
              <w:rPr>
                <w:rFonts w:ascii="Arial" w:eastAsia="Times New Roman" w:hAnsi="Arial" w:cs="Arial"/>
                <w:kern w:val="24"/>
                <w:lang w:eastAsia="es-ES"/>
              </w:rPr>
              <w:t>screening</w:t>
            </w:r>
            <w:proofErr w:type="spellEnd"/>
          </w:p>
          <w:p w:rsidR="006D1047" w:rsidRPr="00BF76D6" w:rsidRDefault="006D1047" w:rsidP="00BF76D6">
            <w:pPr>
              <w:spacing w:after="0" w:line="240" w:lineRule="auto"/>
              <w:jc w:val="both"/>
              <w:rPr>
                <w:rFonts w:ascii="Arial" w:eastAsia="Times New Roman" w:hAnsi="Arial" w:cs="Arial"/>
                <w:lang w:eastAsia="es-ES"/>
              </w:rPr>
            </w:pPr>
            <w:r w:rsidRPr="00BF76D6">
              <w:rPr>
                <w:rFonts w:ascii="Arial" w:eastAsia="Times New Roman" w:hAnsi="Arial" w:cs="Arial"/>
                <w:kern w:val="24"/>
                <w:lang w:eastAsia="es-ES"/>
              </w:rPr>
              <w:t>Planificación del tratamiento postquirúrgico</w:t>
            </w:r>
          </w:p>
          <w:p w:rsidR="006D1047" w:rsidRPr="00BF76D6" w:rsidRDefault="006D1047" w:rsidP="00BF76D6">
            <w:pPr>
              <w:spacing w:after="0" w:line="240" w:lineRule="auto"/>
              <w:jc w:val="both"/>
              <w:rPr>
                <w:rFonts w:ascii="Arial" w:eastAsia="Times New Roman" w:hAnsi="Arial" w:cs="Arial"/>
                <w:lang w:eastAsia="es-ES"/>
              </w:rPr>
            </w:pPr>
            <w:r w:rsidRPr="00BF76D6">
              <w:rPr>
                <w:rFonts w:ascii="Arial" w:eastAsia="Times New Roman" w:hAnsi="Arial" w:cs="Arial"/>
                <w:kern w:val="24"/>
                <w:lang w:eastAsia="es-ES"/>
              </w:rPr>
              <w:t xml:space="preserve">Monitorización del tratamiento en enfermedad </w:t>
            </w:r>
            <w:proofErr w:type="spellStart"/>
            <w:r w:rsidRPr="00BF76D6">
              <w:rPr>
                <w:rFonts w:ascii="Arial" w:eastAsia="Times New Roman" w:hAnsi="Arial" w:cs="Arial"/>
                <w:kern w:val="24"/>
                <w:lang w:eastAsia="es-ES"/>
              </w:rPr>
              <w:t>metastásica</w:t>
            </w:r>
            <w:proofErr w:type="spellEnd"/>
          </w:p>
        </w:tc>
      </w:tr>
      <w:tr w:rsidR="00BF76D6" w:rsidRPr="00BF76D6" w:rsidTr="00BF76D6">
        <w:trPr>
          <w:trHeight w:val="1162"/>
        </w:trPr>
        <w:tc>
          <w:tcPr>
            <w:tcW w:w="3127"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both"/>
              <w:rPr>
                <w:rFonts w:ascii="Arial" w:eastAsia="Times New Roman" w:hAnsi="Arial" w:cs="Arial"/>
                <w:lang w:eastAsia="es-ES"/>
              </w:rPr>
            </w:pPr>
            <w:proofErr w:type="spellStart"/>
            <w:r w:rsidRPr="00BF76D6">
              <w:rPr>
                <w:rFonts w:ascii="Arial" w:eastAsia="Times New Roman" w:hAnsi="Arial" w:cs="Arial"/>
                <w:kern w:val="24"/>
                <w:lang w:eastAsia="es-ES"/>
              </w:rPr>
              <w:t>Alfafetoproteína</w:t>
            </w:r>
            <w:proofErr w:type="spellEnd"/>
            <w:r w:rsidRPr="00BF76D6">
              <w:rPr>
                <w:rFonts w:ascii="Arial" w:eastAsia="Times New Roman" w:hAnsi="Arial" w:cs="Arial"/>
                <w:kern w:val="24"/>
                <w:lang w:eastAsia="es-ES"/>
              </w:rPr>
              <w:t xml:space="preserve"> (AFP)</w:t>
            </w:r>
          </w:p>
        </w:tc>
        <w:tc>
          <w:tcPr>
            <w:tcW w:w="2551"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center"/>
              <w:rPr>
                <w:rFonts w:ascii="Arial" w:eastAsia="Times New Roman" w:hAnsi="Arial" w:cs="Arial"/>
                <w:lang w:eastAsia="es-ES"/>
              </w:rPr>
            </w:pPr>
            <w:r w:rsidRPr="00BF76D6">
              <w:rPr>
                <w:rFonts w:ascii="Arial" w:eastAsia="Times New Roman" w:hAnsi="Arial" w:cs="Arial"/>
                <w:kern w:val="24"/>
                <w:lang w:val="en-GB" w:eastAsia="es-ES"/>
              </w:rPr>
              <w:t xml:space="preserve">Carcinoma </w:t>
            </w:r>
            <w:proofErr w:type="spellStart"/>
            <w:r w:rsidRPr="00BF76D6">
              <w:rPr>
                <w:rFonts w:ascii="Arial" w:eastAsia="Times New Roman" w:hAnsi="Arial" w:cs="Arial"/>
                <w:kern w:val="24"/>
                <w:lang w:val="en-GB" w:eastAsia="es-ES"/>
              </w:rPr>
              <w:t>hepatocelular</w:t>
            </w:r>
            <w:proofErr w:type="spellEnd"/>
          </w:p>
          <w:p w:rsidR="006D1047" w:rsidRPr="00BF76D6" w:rsidRDefault="006D1047" w:rsidP="00BF76D6">
            <w:pPr>
              <w:spacing w:after="0" w:line="240" w:lineRule="auto"/>
              <w:jc w:val="center"/>
              <w:rPr>
                <w:rFonts w:ascii="Arial" w:eastAsia="Times New Roman" w:hAnsi="Arial" w:cs="Arial"/>
                <w:lang w:eastAsia="es-ES"/>
              </w:rPr>
            </w:pPr>
            <w:proofErr w:type="spellStart"/>
            <w:r w:rsidRPr="00BF76D6">
              <w:rPr>
                <w:rFonts w:ascii="Arial" w:eastAsia="Times New Roman" w:hAnsi="Arial" w:cs="Arial"/>
                <w:kern w:val="24"/>
                <w:lang w:val="en-GB" w:eastAsia="es-ES"/>
              </w:rPr>
              <w:t>Tumores</w:t>
            </w:r>
            <w:proofErr w:type="spellEnd"/>
            <w:r w:rsidRPr="00BF76D6">
              <w:rPr>
                <w:rFonts w:ascii="Arial" w:eastAsia="Times New Roman" w:hAnsi="Arial" w:cs="Arial"/>
                <w:kern w:val="24"/>
                <w:lang w:val="en-GB" w:eastAsia="es-ES"/>
              </w:rPr>
              <w:t xml:space="preserve"> </w:t>
            </w:r>
            <w:proofErr w:type="spellStart"/>
            <w:r w:rsidRPr="00BF76D6">
              <w:rPr>
                <w:rFonts w:ascii="Arial" w:eastAsia="Times New Roman" w:hAnsi="Arial" w:cs="Arial"/>
                <w:kern w:val="24"/>
                <w:lang w:val="en-GB" w:eastAsia="es-ES"/>
              </w:rPr>
              <w:t>germinales</w:t>
            </w:r>
            <w:proofErr w:type="spellEnd"/>
          </w:p>
        </w:tc>
        <w:tc>
          <w:tcPr>
            <w:tcW w:w="3391"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both"/>
              <w:rPr>
                <w:rFonts w:ascii="Arial" w:eastAsia="Times New Roman" w:hAnsi="Arial" w:cs="Arial"/>
                <w:lang w:eastAsia="es-ES"/>
              </w:rPr>
            </w:pPr>
            <w:proofErr w:type="spellStart"/>
            <w:r w:rsidRPr="00BF76D6">
              <w:rPr>
                <w:rFonts w:ascii="Arial" w:eastAsia="Times New Roman" w:hAnsi="Arial" w:cs="Arial"/>
                <w:kern w:val="24"/>
                <w:lang w:eastAsia="es-ES"/>
              </w:rPr>
              <w:t>Screening</w:t>
            </w:r>
            <w:proofErr w:type="spellEnd"/>
          </w:p>
          <w:p w:rsidR="006D1047" w:rsidRPr="00BF76D6" w:rsidRDefault="006D1047" w:rsidP="00BF76D6">
            <w:pPr>
              <w:spacing w:after="0" w:line="240" w:lineRule="auto"/>
              <w:jc w:val="both"/>
              <w:rPr>
                <w:rFonts w:ascii="Arial" w:eastAsia="Times New Roman" w:hAnsi="Arial" w:cs="Arial"/>
                <w:lang w:eastAsia="es-ES"/>
              </w:rPr>
            </w:pPr>
            <w:r w:rsidRPr="00BF76D6">
              <w:rPr>
                <w:rFonts w:ascii="Arial" w:eastAsia="Times New Roman" w:hAnsi="Arial" w:cs="Arial"/>
                <w:kern w:val="24"/>
                <w:lang w:eastAsia="es-ES"/>
              </w:rPr>
              <w:t>Seguimiento</w:t>
            </w:r>
          </w:p>
          <w:p w:rsidR="006D1047" w:rsidRPr="00BF76D6" w:rsidRDefault="006D1047" w:rsidP="00BF76D6">
            <w:pPr>
              <w:spacing w:after="0" w:line="240" w:lineRule="auto"/>
              <w:jc w:val="both"/>
              <w:rPr>
                <w:rFonts w:ascii="Arial" w:eastAsia="Times New Roman" w:hAnsi="Arial" w:cs="Arial"/>
                <w:lang w:eastAsia="es-ES"/>
              </w:rPr>
            </w:pPr>
            <w:r w:rsidRPr="00BF76D6">
              <w:rPr>
                <w:rFonts w:ascii="Arial" w:eastAsia="Times New Roman" w:hAnsi="Arial" w:cs="Arial"/>
                <w:kern w:val="24"/>
                <w:lang w:eastAsia="es-ES"/>
              </w:rPr>
              <w:t>Valoración de la eficacia terapéutica</w:t>
            </w:r>
          </w:p>
        </w:tc>
      </w:tr>
      <w:tr w:rsidR="00BF76D6" w:rsidRPr="00BF76D6" w:rsidTr="00BF76D6">
        <w:trPr>
          <w:trHeight w:val="1453"/>
        </w:trPr>
        <w:tc>
          <w:tcPr>
            <w:tcW w:w="3127"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both"/>
              <w:rPr>
                <w:rFonts w:ascii="Arial" w:eastAsia="Times New Roman" w:hAnsi="Arial" w:cs="Arial"/>
                <w:lang w:eastAsia="es-ES"/>
              </w:rPr>
            </w:pPr>
            <w:r w:rsidRPr="00BF76D6">
              <w:rPr>
                <w:rFonts w:ascii="Arial" w:eastAsia="Times New Roman" w:hAnsi="Arial" w:cs="Arial"/>
                <w:kern w:val="24"/>
                <w:lang w:eastAsia="es-ES"/>
              </w:rPr>
              <w:t xml:space="preserve">Gonadotropina </w:t>
            </w:r>
            <w:proofErr w:type="spellStart"/>
            <w:r w:rsidRPr="00BF76D6">
              <w:rPr>
                <w:rFonts w:ascii="Arial" w:eastAsia="Times New Roman" w:hAnsi="Arial" w:cs="Arial"/>
                <w:kern w:val="24"/>
                <w:lang w:eastAsia="es-ES"/>
              </w:rPr>
              <w:t>Coriónica</w:t>
            </w:r>
            <w:proofErr w:type="spellEnd"/>
            <w:r w:rsidRPr="00BF76D6">
              <w:rPr>
                <w:rFonts w:ascii="Arial" w:eastAsia="Times New Roman" w:hAnsi="Arial" w:cs="Arial"/>
                <w:kern w:val="24"/>
                <w:lang w:eastAsia="es-ES"/>
              </w:rPr>
              <w:t xml:space="preserve"> Humana (HCG)</w:t>
            </w:r>
          </w:p>
        </w:tc>
        <w:tc>
          <w:tcPr>
            <w:tcW w:w="2551"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center"/>
              <w:rPr>
                <w:rFonts w:ascii="Arial" w:eastAsia="Times New Roman" w:hAnsi="Arial" w:cs="Arial"/>
                <w:lang w:eastAsia="es-ES"/>
              </w:rPr>
            </w:pPr>
            <w:proofErr w:type="spellStart"/>
            <w:r w:rsidRPr="00BF76D6">
              <w:rPr>
                <w:rFonts w:ascii="Arial" w:eastAsia="Times New Roman" w:hAnsi="Arial" w:cs="Arial"/>
                <w:kern w:val="24"/>
                <w:lang w:val="en-GB" w:eastAsia="es-ES"/>
              </w:rPr>
              <w:t>Tumores</w:t>
            </w:r>
            <w:proofErr w:type="spellEnd"/>
            <w:r w:rsidRPr="00BF76D6">
              <w:rPr>
                <w:rFonts w:ascii="Arial" w:eastAsia="Times New Roman" w:hAnsi="Arial" w:cs="Arial"/>
                <w:kern w:val="24"/>
                <w:lang w:val="en-GB" w:eastAsia="es-ES"/>
              </w:rPr>
              <w:t xml:space="preserve"> </w:t>
            </w:r>
            <w:proofErr w:type="spellStart"/>
            <w:r w:rsidRPr="00BF76D6">
              <w:rPr>
                <w:rFonts w:ascii="Arial" w:eastAsia="Times New Roman" w:hAnsi="Arial" w:cs="Arial"/>
                <w:kern w:val="24"/>
                <w:lang w:val="en-GB" w:eastAsia="es-ES"/>
              </w:rPr>
              <w:t>germinales</w:t>
            </w:r>
            <w:proofErr w:type="spellEnd"/>
          </w:p>
        </w:tc>
        <w:tc>
          <w:tcPr>
            <w:tcW w:w="3391"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both"/>
              <w:rPr>
                <w:rFonts w:ascii="Arial" w:eastAsia="Times New Roman" w:hAnsi="Arial" w:cs="Arial"/>
                <w:lang w:eastAsia="es-ES"/>
              </w:rPr>
            </w:pPr>
            <w:r w:rsidRPr="00BF76D6">
              <w:rPr>
                <w:rFonts w:ascii="Arial" w:eastAsia="Times New Roman" w:hAnsi="Arial" w:cs="Arial"/>
                <w:kern w:val="24"/>
                <w:lang w:eastAsia="es-ES"/>
              </w:rPr>
              <w:t>Diagnóstico</w:t>
            </w:r>
          </w:p>
          <w:p w:rsidR="006D1047" w:rsidRPr="00BF76D6" w:rsidRDefault="006D1047" w:rsidP="00BF76D6">
            <w:pPr>
              <w:spacing w:after="0" w:line="240" w:lineRule="auto"/>
              <w:jc w:val="both"/>
              <w:rPr>
                <w:rFonts w:ascii="Arial" w:eastAsia="Times New Roman" w:hAnsi="Arial" w:cs="Arial"/>
                <w:lang w:eastAsia="es-ES"/>
              </w:rPr>
            </w:pPr>
            <w:r w:rsidRPr="00BF76D6">
              <w:rPr>
                <w:rFonts w:ascii="Arial" w:eastAsia="Times New Roman" w:hAnsi="Arial" w:cs="Arial"/>
                <w:kern w:val="24"/>
                <w:lang w:eastAsia="es-ES"/>
              </w:rPr>
              <w:t>Seguimiento</w:t>
            </w:r>
          </w:p>
          <w:p w:rsidR="006D1047" w:rsidRPr="00BF76D6" w:rsidRDefault="006D1047" w:rsidP="00BF76D6">
            <w:pPr>
              <w:spacing w:after="0" w:line="240" w:lineRule="auto"/>
              <w:jc w:val="both"/>
              <w:rPr>
                <w:rFonts w:ascii="Arial" w:eastAsia="Times New Roman" w:hAnsi="Arial" w:cs="Arial"/>
                <w:lang w:eastAsia="es-ES"/>
              </w:rPr>
            </w:pPr>
            <w:r w:rsidRPr="00BF76D6">
              <w:rPr>
                <w:rFonts w:ascii="Arial" w:eastAsia="Times New Roman" w:hAnsi="Arial" w:cs="Arial"/>
                <w:kern w:val="24"/>
                <w:lang w:eastAsia="es-ES"/>
              </w:rPr>
              <w:t xml:space="preserve">Evaluación de la eficacia del tratamiento en enfermedad </w:t>
            </w:r>
            <w:proofErr w:type="spellStart"/>
            <w:r w:rsidRPr="00BF76D6">
              <w:rPr>
                <w:rFonts w:ascii="Arial" w:eastAsia="Times New Roman" w:hAnsi="Arial" w:cs="Arial"/>
                <w:kern w:val="24"/>
                <w:lang w:eastAsia="es-ES"/>
              </w:rPr>
              <w:t>metastásica</w:t>
            </w:r>
            <w:proofErr w:type="spellEnd"/>
          </w:p>
        </w:tc>
      </w:tr>
      <w:tr w:rsidR="00BF76D6" w:rsidRPr="00BF76D6" w:rsidTr="00BF76D6">
        <w:trPr>
          <w:trHeight w:val="1744"/>
        </w:trPr>
        <w:tc>
          <w:tcPr>
            <w:tcW w:w="3127"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both"/>
              <w:rPr>
                <w:rFonts w:ascii="Arial" w:eastAsia="Times New Roman" w:hAnsi="Arial" w:cs="Arial"/>
                <w:lang w:eastAsia="es-ES"/>
              </w:rPr>
            </w:pPr>
            <w:r w:rsidRPr="00BF76D6">
              <w:rPr>
                <w:rFonts w:ascii="Arial" w:eastAsia="Times New Roman" w:hAnsi="Arial" w:cs="Arial"/>
                <w:kern w:val="24"/>
                <w:lang w:eastAsia="es-ES"/>
              </w:rPr>
              <w:t>CA 19-9</w:t>
            </w:r>
          </w:p>
        </w:tc>
        <w:tc>
          <w:tcPr>
            <w:tcW w:w="2551"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center"/>
              <w:rPr>
                <w:rFonts w:ascii="Arial" w:eastAsia="Times New Roman" w:hAnsi="Arial" w:cs="Arial"/>
                <w:lang w:eastAsia="es-ES"/>
              </w:rPr>
            </w:pPr>
            <w:proofErr w:type="spellStart"/>
            <w:r w:rsidRPr="00BF76D6">
              <w:rPr>
                <w:rFonts w:ascii="Arial" w:eastAsia="Times New Roman" w:hAnsi="Arial" w:cs="Arial"/>
                <w:kern w:val="24"/>
                <w:lang w:val="en-GB" w:eastAsia="es-ES"/>
              </w:rPr>
              <w:t>Cáncer</w:t>
            </w:r>
            <w:proofErr w:type="spellEnd"/>
            <w:r w:rsidRPr="00BF76D6">
              <w:rPr>
                <w:rFonts w:ascii="Arial" w:eastAsia="Times New Roman" w:hAnsi="Arial" w:cs="Arial"/>
                <w:kern w:val="24"/>
                <w:lang w:val="en-GB" w:eastAsia="es-ES"/>
              </w:rPr>
              <w:t xml:space="preserve"> de </w:t>
            </w:r>
            <w:proofErr w:type="spellStart"/>
            <w:r w:rsidRPr="00BF76D6">
              <w:rPr>
                <w:rFonts w:ascii="Arial" w:eastAsia="Times New Roman" w:hAnsi="Arial" w:cs="Arial"/>
                <w:kern w:val="24"/>
                <w:lang w:val="en-GB" w:eastAsia="es-ES"/>
              </w:rPr>
              <w:t>páncreas</w:t>
            </w:r>
            <w:proofErr w:type="spellEnd"/>
          </w:p>
        </w:tc>
        <w:tc>
          <w:tcPr>
            <w:tcW w:w="3391"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both"/>
              <w:rPr>
                <w:rFonts w:ascii="Arial" w:eastAsia="Times New Roman" w:hAnsi="Arial" w:cs="Arial"/>
                <w:lang w:eastAsia="es-ES"/>
              </w:rPr>
            </w:pPr>
            <w:r w:rsidRPr="00BF76D6">
              <w:rPr>
                <w:rFonts w:ascii="Arial" w:eastAsia="Times New Roman" w:hAnsi="Arial" w:cs="Arial"/>
                <w:kern w:val="24"/>
                <w:lang w:eastAsia="es-ES"/>
              </w:rPr>
              <w:t>Diagnóstico</w:t>
            </w:r>
          </w:p>
          <w:p w:rsidR="006D1047" w:rsidRPr="00BF76D6" w:rsidRDefault="006D1047" w:rsidP="00BF76D6">
            <w:pPr>
              <w:spacing w:after="0" w:line="240" w:lineRule="auto"/>
              <w:jc w:val="both"/>
              <w:rPr>
                <w:rFonts w:ascii="Arial" w:eastAsia="Times New Roman" w:hAnsi="Arial" w:cs="Arial"/>
                <w:lang w:eastAsia="es-ES"/>
              </w:rPr>
            </w:pPr>
            <w:r w:rsidRPr="00BF76D6">
              <w:rPr>
                <w:rFonts w:ascii="Arial" w:eastAsia="Times New Roman" w:hAnsi="Arial" w:cs="Arial"/>
                <w:kern w:val="24"/>
                <w:lang w:eastAsia="es-ES"/>
              </w:rPr>
              <w:t>Selección de pacientes para resección quirúrgica</w:t>
            </w:r>
          </w:p>
          <w:p w:rsidR="006D1047" w:rsidRPr="00BF76D6" w:rsidRDefault="006D1047" w:rsidP="00BF76D6">
            <w:pPr>
              <w:spacing w:after="0" w:line="240" w:lineRule="auto"/>
              <w:jc w:val="both"/>
              <w:rPr>
                <w:rFonts w:ascii="Arial" w:eastAsia="Times New Roman" w:hAnsi="Arial" w:cs="Arial"/>
                <w:lang w:eastAsia="es-ES"/>
              </w:rPr>
            </w:pPr>
            <w:r w:rsidRPr="00BF76D6">
              <w:rPr>
                <w:rFonts w:ascii="Arial" w:eastAsia="Times New Roman" w:hAnsi="Arial" w:cs="Arial"/>
                <w:kern w:val="24"/>
                <w:lang w:eastAsia="es-ES"/>
              </w:rPr>
              <w:t>Pronóstico</w:t>
            </w:r>
          </w:p>
          <w:p w:rsidR="006D1047" w:rsidRPr="00BF76D6" w:rsidRDefault="006D1047" w:rsidP="00BF76D6">
            <w:pPr>
              <w:spacing w:after="0" w:line="240" w:lineRule="auto"/>
              <w:jc w:val="both"/>
              <w:rPr>
                <w:rFonts w:ascii="Arial" w:eastAsia="Times New Roman" w:hAnsi="Arial" w:cs="Arial"/>
                <w:lang w:eastAsia="es-ES"/>
              </w:rPr>
            </w:pPr>
            <w:r w:rsidRPr="00BF76D6">
              <w:rPr>
                <w:rFonts w:ascii="Arial" w:eastAsia="Times New Roman" w:hAnsi="Arial" w:cs="Arial"/>
                <w:kern w:val="24"/>
                <w:lang w:eastAsia="es-ES"/>
              </w:rPr>
              <w:t>Evaluación de la respuesta al tratamiento</w:t>
            </w:r>
          </w:p>
        </w:tc>
      </w:tr>
      <w:tr w:rsidR="00BF76D6" w:rsidRPr="00BF76D6" w:rsidTr="00BF76D6">
        <w:trPr>
          <w:trHeight w:val="1162"/>
        </w:trPr>
        <w:tc>
          <w:tcPr>
            <w:tcW w:w="3127"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both"/>
              <w:rPr>
                <w:rFonts w:ascii="Arial" w:eastAsia="Times New Roman" w:hAnsi="Arial" w:cs="Arial"/>
                <w:lang w:eastAsia="es-ES"/>
              </w:rPr>
            </w:pPr>
            <w:r w:rsidRPr="00BF76D6">
              <w:rPr>
                <w:rFonts w:ascii="Arial" w:eastAsia="Times New Roman" w:hAnsi="Arial" w:cs="Arial"/>
                <w:kern w:val="24"/>
                <w:lang w:eastAsia="es-ES"/>
              </w:rPr>
              <w:t>CA 15-3</w:t>
            </w:r>
          </w:p>
        </w:tc>
        <w:tc>
          <w:tcPr>
            <w:tcW w:w="2551"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center"/>
              <w:rPr>
                <w:rFonts w:ascii="Arial" w:eastAsia="Times New Roman" w:hAnsi="Arial" w:cs="Arial"/>
                <w:lang w:eastAsia="es-ES"/>
              </w:rPr>
            </w:pPr>
            <w:proofErr w:type="spellStart"/>
            <w:r w:rsidRPr="00BF76D6">
              <w:rPr>
                <w:rFonts w:ascii="Arial" w:eastAsia="Times New Roman" w:hAnsi="Arial" w:cs="Arial"/>
                <w:kern w:val="24"/>
                <w:lang w:val="en-GB" w:eastAsia="es-ES"/>
              </w:rPr>
              <w:t>Cáncer</w:t>
            </w:r>
            <w:proofErr w:type="spellEnd"/>
            <w:r w:rsidRPr="00BF76D6">
              <w:rPr>
                <w:rFonts w:ascii="Arial" w:eastAsia="Times New Roman" w:hAnsi="Arial" w:cs="Arial"/>
                <w:kern w:val="24"/>
                <w:lang w:val="en-GB" w:eastAsia="es-ES"/>
              </w:rPr>
              <w:t xml:space="preserve"> de mama</w:t>
            </w:r>
          </w:p>
        </w:tc>
        <w:tc>
          <w:tcPr>
            <w:tcW w:w="3391"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both"/>
              <w:rPr>
                <w:rFonts w:ascii="Arial" w:eastAsia="Times New Roman" w:hAnsi="Arial" w:cs="Arial"/>
                <w:lang w:eastAsia="es-ES"/>
              </w:rPr>
            </w:pPr>
            <w:r w:rsidRPr="00BF76D6">
              <w:rPr>
                <w:rFonts w:ascii="Arial" w:eastAsia="Times New Roman" w:hAnsi="Arial" w:cs="Arial"/>
                <w:kern w:val="24"/>
                <w:lang w:eastAsia="es-ES"/>
              </w:rPr>
              <w:t>Seguimiento</w:t>
            </w:r>
          </w:p>
          <w:p w:rsidR="006D1047" w:rsidRPr="00BF76D6" w:rsidRDefault="006D1047" w:rsidP="00BF76D6">
            <w:pPr>
              <w:spacing w:after="0" w:line="240" w:lineRule="auto"/>
              <w:jc w:val="both"/>
              <w:rPr>
                <w:rFonts w:ascii="Arial" w:eastAsia="Times New Roman" w:hAnsi="Arial" w:cs="Arial"/>
                <w:lang w:eastAsia="es-ES"/>
              </w:rPr>
            </w:pPr>
            <w:r w:rsidRPr="00BF76D6">
              <w:rPr>
                <w:rFonts w:ascii="Arial" w:eastAsia="Times New Roman" w:hAnsi="Arial" w:cs="Arial"/>
                <w:kern w:val="24"/>
                <w:lang w:eastAsia="es-ES"/>
              </w:rPr>
              <w:t>Valoración de la eficacia terapéutica en enfermedad avanzada</w:t>
            </w:r>
          </w:p>
        </w:tc>
      </w:tr>
      <w:tr w:rsidR="00BF76D6" w:rsidRPr="00BF76D6" w:rsidTr="00BF76D6">
        <w:trPr>
          <w:trHeight w:val="581"/>
        </w:trPr>
        <w:tc>
          <w:tcPr>
            <w:tcW w:w="3127"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both"/>
              <w:rPr>
                <w:rFonts w:ascii="Arial" w:eastAsia="Times New Roman" w:hAnsi="Arial" w:cs="Arial"/>
                <w:lang w:eastAsia="es-ES"/>
              </w:rPr>
            </w:pPr>
            <w:r w:rsidRPr="00BF76D6">
              <w:rPr>
                <w:rFonts w:ascii="Arial" w:eastAsia="Times New Roman" w:hAnsi="Arial" w:cs="Arial"/>
                <w:kern w:val="24"/>
                <w:lang w:eastAsia="es-ES"/>
              </w:rPr>
              <w:t>Calcitonina</w:t>
            </w:r>
          </w:p>
        </w:tc>
        <w:tc>
          <w:tcPr>
            <w:tcW w:w="2551"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center"/>
              <w:rPr>
                <w:rFonts w:ascii="Arial" w:eastAsia="Times New Roman" w:hAnsi="Arial" w:cs="Arial"/>
                <w:lang w:eastAsia="es-ES"/>
              </w:rPr>
            </w:pPr>
            <w:r w:rsidRPr="00BF76D6">
              <w:rPr>
                <w:rFonts w:ascii="Arial" w:eastAsia="Times New Roman" w:hAnsi="Arial" w:cs="Arial"/>
                <w:kern w:val="24"/>
                <w:lang w:val="en-GB" w:eastAsia="es-ES"/>
              </w:rPr>
              <w:t xml:space="preserve">Carcinoma </w:t>
            </w:r>
            <w:proofErr w:type="spellStart"/>
            <w:r w:rsidRPr="00BF76D6">
              <w:rPr>
                <w:rFonts w:ascii="Arial" w:eastAsia="Times New Roman" w:hAnsi="Arial" w:cs="Arial"/>
                <w:kern w:val="24"/>
                <w:lang w:val="en-GB" w:eastAsia="es-ES"/>
              </w:rPr>
              <w:t>tiroideo</w:t>
            </w:r>
            <w:proofErr w:type="spellEnd"/>
            <w:r w:rsidRPr="00BF76D6">
              <w:rPr>
                <w:rFonts w:ascii="Arial" w:eastAsia="Times New Roman" w:hAnsi="Arial" w:cs="Arial"/>
                <w:kern w:val="24"/>
                <w:lang w:val="en-GB" w:eastAsia="es-ES"/>
              </w:rPr>
              <w:t xml:space="preserve"> </w:t>
            </w:r>
            <w:proofErr w:type="spellStart"/>
            <w:r w:rsidRPr="00BF76D6">
              <w:rPr>
                <w:rFonts w:ascii="Arial" w:eastAsia="Times New Roman" w:hAnsi="Arial" w:cs="Arial"/>
                <w:kern w:val="24"/>
                <w:lang w:val="en-GB" w:eastAsia="es-ES"/>
              </w:rPr>
              <w:t>medular</w:t>
            </w:r>
            <w:proofErr w:type="spellEnd"/>
          </w:p>
        </w:tc>
        <w:tc>
          <w:tcPr>
            <w:tcW w:w="3391"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both"/>
              <w:rPr>
                <w:rFonts w:ascii="Arial" w:eastAsia="Times New Roman" w:hAnsi="Arial" w:cs="Arial"/>
                <w:lang w:eastAsia="es-ES"/>
              </w:rPr>
            </w:pPr>
            <w:proofErr w:type="spellStart"/>
            <w:r w:rsidRPr="00BF76D6">
              <w:rPr>
                <w:rFonts w:ascii="Arial" w:eastAsia="Times New Roman" w:hAnsi="Arial" w:cs="Arial"/>
                <w:kern w:val="24"/>
                <w:lang w:val="en-GB" w:eastAsia="es-ES"/>
              </w:rPr>
              <w:t>Detección</w:t>
            </w:r>
            <w:proofErr w:type="spellEnd"/>
            <w:r w:rsidRPr="00BF76D6">
              <w:rPr>
                <w:rFonts w:ascii="Arial" w:eastAsia="Times New Roman" w:hAnsi="Arial" w:cs="Arial"/>
                <w:kern w:val="24"/>
                <w:lang w:val="en-GB" w:eastAsia="es-ES"/>
              </w:rPr>
              <w:t xml:space="preserve"> de </w:t>
            </w:r>
            <w:proofErr w:type="spellStart"/>
            <w:r w:rsidRPr="00BF76D6">
              <w:rPr>
                <w:rFonts w:ascii="Arial" w:eastAsia="Times New Roman" w:hAnsi="Arial" w:cs="Arial"/>
                <w:kern w:val="24"/>
                <w:lang w:val="en-GB" w:eastAsia="es-ES"/>
              </w:rPr>
              <w:t>recurrencia</w:t>
            </w:r>
            <w:proofErr w:type="spellEnd"/>
            <w:r w:rsidRPr="00BF76D6">
              <w:rPr>
                <w:rFonts w:ascii="Arial" w:eastAsia="Times New Roman" w:hAnsi="Arial" w:cs="Arial"/>
                <w:kern w:val="24"/>
                <w:lang w:eastAsia="es-ES"/>
              </w:rPr>
              <w:t xml:space="preserve"> </w:t>
            </w:r>
          </w:p>
        </w:tc>
      </w:tr>
      <w:tr w:rsidR="00BF76D6" w:rsidRPr="00BF76D6" w:rsidTr="00BF76D6">
        <w:trPr>
          <w:trHeight w:val="872"/>
        </w:trPr>
        <w:tc>
          <w:tcPr>
            <w:tcW w:w="3127" w:type="dxa"/>
            <w:vMerge w:val="restart"/>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both"/>
              <w:rPr>
                <w:rFonts w:ascii="Arial" w:eastAsia="Times New Roman" w:hAnsi="Arial" w:cs="Arial"/>
                <w:lang w:eastAsia="es-ES"/>
              </w:rPr>
            </w:pPr>
            <w:proofErr w:type="spellStart"/>
            <w:r w:rsidRPr="00BF76D6">
              <w:rPr>
                <w:rFonts w:ascii="Arial" w:eastAsia="Times New Roman" w:hAnsi="Arial" w:cs="Arial"/>
                <w:kern w:val="24"/>
                <w:lang w:eastAsia="es-ES"/>
              </w:rPr>
              <w:t>Enolasa</w:t>
            </w:r>
            <w:proofErr w:type="spellEnd"/>
            <w:r w:rsidRPr="00BF76D6">
              <w:rPr>
                <w:rFonts w:ascii="Arial" w:eastAsia="Times New Roman" w:hAnsi="Arial" w:cs="Arial"/>
                <w:kern w:val="24"/>
                <w:lang w:eastAsia="es-ES"/>
              </w:rPr>
              <w:t xml:space="preserve"> </w:t>
            </w:r>
            <w:proofErr w:type="spellStart"/>
            <w:r w:rsidRPr="00BF76D6">
              <w:rPr>
                <w:rFonts w:ascii="Arial" w:eastAsia="Times New Roman" w:hAnsi="Arial" w:cs="Arial"/>
                <w:kern w:val="24"/>
                <w:lang w:eastAsia="es-ES"/>
              </w:rPr>
              <w:t>Neuro</w:t>
            </w:r>
            <w:proofErr w:type="spellEnd"/>
            <w:r w:rsidRPr="00BF76D6">
              <w:rPr>
                <w:rFonts w:ascii="Arial" w:eastAsia="Times New Roman" w:hAnsi="Arial" w:cs="Arial"/>
                <w:kern w:val="24"/>
                <w:lang w:eastAsia="es-ES"/>
              </w:rPr>
              <w:t>-Específica</w:t>
            </w:r>
          </w:p>
        </w:tc>
        <w:tc>
          <w:tcPr>
            <w:tcW w:w="2551"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center"/>
              <w:rPr>
                <w:rFonts w:ascii="Arial" w:eastAsia="Times New Roman" w:hAnsi="Arial" w:cs="Arial"/>
                <w:lang w:eastAsia="es-ES"/>
              </w:rPr>
            </w:pPr>
            <w:proofErr w:type="spellStart"/>
            <w:r w:rsidRPr="00BF76D6">
              <w:rPr>
                <w:rFonts w:ascii="Arial" w:eastAsia="Times New Roman" w:hAnsi="Arial" w:cs="Arial"/>
                <w:kern w:val="24"/>
                <w:lang w:val="en-GB" w:eastAsia="es-ES"/>
              </w:rPr>
              <w:t>Cáncer</w:t>
            </w:r>
            <w:proofErr w:type="spellEnd"/>
            <w:r w:rsidRPr="00BF76D6">
              <w:rPr>
                <w:rFonts w:ascii="Arial" w:eastAsia="Times New Roman" w:hAnsi="Arial" w:cs="Arial"/>
                <w:kern w:val="24"/>
                <w:lang w:val="en-GB" w:eastAsia="es-ES"/>
              </w:rPr>
              <w:t xml:space="preserve"> </w:t>
            </w:r>
            <w:proofErr w:type="spellStart"/>
            <w:r w:rsidRPr="00BF76D6">
              <w:rPr>
                <w:rFonts w:ascii="Arial" w:eastAsia="Times New Roman" w:hAnsi="Arial" w:cs="Arial"/>
                <w:kern w:val="24"/>
                <w:lang w:val="en-GB" w:eastAsia="es-ES"/>
              </w:rPr>
              <w:t>Microcítico</w:t>
            </w:r>
            <w:proofErr w:type="spellEnd"/>
            <w:r w:rsidRPr="00BF76D6">
              <w:rPr>
                <w:rFonts w:ascii="Arial" w:eastAsia="Times New Roman" w:hAnsi="Arial" w:cs="Arial"/>
                <w:kern w:val="24"/>
                <w:lang w:val="en-GB" w:eastAsia="es-ES"/>
              </w:rPr>
              <w:t xml:space="preserve"> de </w:t>
            </w:r>
            <w:proofErr w:type="spellStart"/>
            <w:r w:rsidRPr="00BF76D6">
              <w:rPr>
                <w:rFonts w:ascii="Arial" w:eastAsia="Times New Roman" w:hAnsi="Arial" w:cs="Arial"/>
                <w:kern w:val="24"/>
                <w:lang w:val="en-GB" w:eastAsia="es-ES"/>
              </w:rPr>
              <w:t>Pulmón</w:t>
            </w:r>
            <w:proofErr w:type="spellEnd"/>
          </w:p>
        </w:tc>
        <w:tc>
          <w:tcPr>
            <w:tcW w:w="3391"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both"/>
              <w:rPr>
                <w:rFonts w:ascii="Arial" w:eastAsia="Times New Roman" w:hAnsi="Arial" w:cs="Arial"/>
                <w:lang w:eastAsia="es-ES"/>
              </w:rPr>
            </w:pPr>
            <w:r w:rsidRPr="00BF76D6">
              <w:rPr>
                <w:rFonts w:ascii="Arial" w:eastAsia="Times New Roman" w:hAnsi="Arial" w:cs="Arial"/>
                <w:kern w:val="24"/>
                <w:lang w:val="en-GB" w:eastAsia="es-ES"/>
              </w:rPr>
              <w:t>Screening</w:t>
            </w:r>
            <w:r w:rsidRPr="00BF76D6">
              <w:rPr>
                <w:rFonts w:ascii="Arial" w:eastAsia="Times New Roman" w:hAnsi="Arial" w:cs="Arial"/>
                <w:kern w:val="24"/>
                <w:lang w:eastAsia="es-ES"/>
              </w:rPr>
              <w:t xml:space="preserve"> </w:t>
            </w:r>
          </w:p>
          <w:p w:rsidR="006D1047" w:rsidRPr="00BF76D6" w:rsidRDefault="006D1047" w:rsidP="00BF76D6">
            <w:pPr>
              <w:spacing w:after="0" w:line="240" w:lineRule="auto"/>
              <w:jc w:val="both"/>
              <w:rPr>
                <w:rFonts w:ascii="Arial" w:eastAsia="Times New Roman" w:hAnsi="Arial" w:cs="Arial"/>
                <w:lang w:eastAsia="es-ES"/>
              </w:rPr>
            </w:pPr>
            <w:proofErr w:type="spellStart"/>
            <w:r w:rsidRPr="00BF76D6">
              <w:rPr>
                <w:rFonts w:ascii="Arial" w:eastAsia="Times New Roman" w:hAnsi="Arial" w:cs="Arial"/>
                <w:kern w:val="24"/>
                <w:lang w:val="en-GB" w:eastAsia="es-ES"/>
              </w:rPr>
              <w:t>Valor</w:t>
            </w:r>
            <w:proofErr w:type="spellEnd"/>
            <w:r w:rsidRPr="00BF76D6">
              <w:rPr>
                <w:rFonts w:ascii="Arial" w:eastAsia="Times New Roman" w:hAnsi="Arial" w:cs="Arial"/>
                <w:kern w:val="24"/>
                <w:lang w:val="en-GB" w:eastAsia="es-ES"/>
              </w:rPr>
              <w:t xml:space="preserve"> </w:t>
            </w:r>
            <w:proofErr w:type="spellStart"/>
            <w:r w:rsidRPr="00BF76D6">
              <w:rPr>
                <w:rFonts w:ascii="Arial" w:eastAsia="Times New Roman" w:hAnsi="Arial" w:cs="Arial"/>
                <w:kern w:val="24"/>
                <w:lang w:val="en-GB" w:eastAsia="es-ES"/>
              </w:rPr>
              <w:t>pronóstico</w:t>
            </w:r>
            <w:proofErr w:type="spellEnd"/>
            <w:r w:rsidRPr="00BF76D6">
              <w:rPr>
                <w:rFonts w:ascii="Arial" w:eastAsia="Times New Roman" w:hAnsi="Arial" w:cs="Arial"/>
                <w:kern w:val="24"/>
                <w:lang w:eastAsia="es-ES"/>
              </w:rPr>
              <w:t xml:space="preserve"> </w:t>
            </w:r>
          </w:p>
          <w:p w:rsidR="006D1047" w:rsidRPr="00BF76D6" w:rsidRDefault="006D1047" w:rsidP="00BF76D6">
            <w:pPr>
              <w:spacing w:after="0" w:line="240" w:lineRule="auto"/>
              <w:jc w:val="both"/>
              <w:rPr>
                <w:rFonts w:ascii="Arial" w:eastAsia="Times New Roman" w:hAnsi="Arial" w:cs="Arial"/>
                <w:lang w:eastAsia="es-ES"/>
              </w:rPr>
            </w:pPr>
            <w:proofErr w:type="spellStart"/>
            <w:r w:rsidRPr="00BF76D6">
              <w:rPr>
                <w:rFonts w:ascii="Arial" w:eastAsia="Times New Roman" w:hAnsi="Arial" w:cs="Arial"/>
                <w:kern w:val="24"/>
                <w:lang w:val="en-GB" w:eastAsia="es-ES"/>
              </w:rPr>
              <w:t>Seguimiento</w:t>
            </w:r>
            <w:proofErr w:type="spellEnd"/>
            <w:r w:rsidRPr="00BF76D6">
              <w:rPr>
                <w:rFonts w:ascii="Arial" w:eastAsia="Times New Roman" w:hAnsi="Arial" w:cs="Arial"/>
                <w:kern w:val="24"/>
                <w:lang w:eastAsia="es-ES"/>
              </w:rPr>
              <w:t xml:space="preserve"> </w:t>
            </w:r>
          </w:p>
        </w:tc>
      </w:tr>
      <w:tr w:rsidR="00BF76D6" w:rsidRPr="00BF76D6" w:rsidTr="00BF76D6">
        <w:trPr>
          <w:trHeight w:val="353"/>
        </w:trPr>
        <w:tc>
          <w:tcPr>
            <w:tcW w:w="3127" w:type="dxa"/>
            <w:vMerge/>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both"/>
              <w:rPr>
                <w:rFonts w:ascii="Arial" w:eastAsia="Times New Roman" w:hAnsi="Arial" w:cs="Arial"/>
                <w:lang w:eastAsia="es-ES"/>
              </w:rPr>
            </w:pPr>
          </w:p>
        </w:tc>
        <w:tc>
          <w:tcPr>
            <w:tcW w:w="2551"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center"/>
              <w:rPr>
                <w:rFonts w:ascii="Arial" w:eastAsia="Times New Roman" w:hAnsi="Arial" w:cs="Arial"/>
                <w:lang w:eastAsia="es-ES"/>
              </w:rPr>
            </w:pPr>
            <w:proofErr w:type="spellStart"/>
            <w:r w:rsidRPr="00BF76D6">
              <w:rPr>
                <w:rFonts w:ascii="Arial" w:eastAsia="Times New Roman" w:hAnsi="Arial" w:cs="Arial"/>
                <w:kern w:val="24"/>
                <w:lang w:val="en-GB" w:eastAsia="es-ES"/>
              </w:rPr>
              <w:t>Cáncer</w:t>
            </w:r>
            <w:proofErr w:type="spellEnd"/>
            <w:r w:rsidRPr="00BF76D6">
              <w:rPr>
                <w:rFonts w:ascii="Arial" w:eastAsia="Times New Roman" w:hAnsi="Arial" w:cs="Arial"/>
                <w:kern w:val="24"/>
                <w:lang w:val="en-GB" w:eastAsia="es-ES"/>
              </w:rPr>
              <w:t xml:space="preserve"> de </w:t>
            </w:r>
            <w:proofErr w:type="spellStart"/>
            <w:r w:rsidRPr="00BF76D6">
              <w:rPr>
                <w:rFonts w:ascii="Arial" w:eastAsia="Times New Roman" w:hAnsi="Arial" w:cs="Arial"/>
                <w:kern w:val="24"/>
                <w:lang w:val="en-GB" w:eastAsia="es-ES"/>
              </w:rPr>
              <w:t>Pulmón</w:t>
            </w:r>
            <w:proofErr w:type="spellEnd"/>
          </w:p>
        </w:tc>
        <w:tc>
          <w:tcPr>
            <w:tcW w:w="3391"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both"/>
              <w:rPr>
                <w:rFonts w:ascii="Arial" w:eastAsia="Times New Roman" w:hAnsi="Arial" w:cs="Arial"/>
                <w:lang w:eastAsia="es-ES"/>
              </w:rPr>
            </w:pPr>
            <w:r w:rsidRPr="00BF76D6">
              <w:rPr>
                <w:rFonts w:ascii="Arial" w:eastAsia="Times New Roman" w:hAnsi="Arial" w:cs="Arial"/>
                <w:kern w:val="24"/>
                <w:lang w:eastAsia="es-ES"/>
              </w:rPr>
              <w:t xml:space="preserve">Predictor de respuesta a quimioterapia </w:t>
            </w:r>
          </w:p>
        </w:tc>
      </w:tr>
      <w:tr w:rsidR="00BF76D6" w:rsidRPr="00BF76D6" w:rsidTr="00BF76D6">
        <w:trPr>
          <w:trHeight w:val="353"/>
        </w:trPr>
        <w:tc>
          <w:tcPr>
            <w:tcW w:w="3127" w:type="dxa"/>
            <w:vMerge/>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both"/>
              <w:rPr>
                <w:rFonts w:ascii="Arial" w:eastAsia="Times New Roman" w:hAnsi="Arial" w:cs="Arial"/>
                <w:lang w:eastAsia="es-ES"/>
              </w:rPr>
            </w:pPr>
          </w:p>
        </w:tc>
        <w:tc>
          <w:tcPr>
            <w:tcW w:w="2551"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center"/>
              <w:rPr>
                <w:rFonts w:ascii="Arial" w:eastAsia="Times New Roman" w:hAnsi="Arial" w:cs="Arial"/>
                <w:lang w:eastAsia="es-ES"/>
              </w:rPr>
            </w:pPr>
            <w:proofErr w:type="spellStart"/>
            <w:r w:rsidRPr="00BF76D6">
              <w:rPr>
                <w:rFonts w:ascii="Arial" w:eastAsia="Times New Roman" w:hAnsi="Arial" w:cs="Arial"/>
                <w:kern w:val="24"/>
                <w:lang w:val="en-GB" w:eastAsia="es-ES"/>
              </w:rPr>
              <w:t>Neuroblastoma</w:t>
            </w:r>
            <w:proofErr w:type="spellEnd"/>
          </w:p>
        </w:tc>
        <w:tc>
          <w:tcPr>
            <w:tcW w:w="3391" w:type="dxa"/>
            <w:tcBorders>
              <w:top w:val="outset" w:sz="6" w:space="0" w:color="auto"/>
              <w:left w:val="outset" w:sz="6" w:space="0" w:color="auto"/>
              <w:bottom w:val="outset" w:sz="6" w:space="0" w:color="auto"/>
              <w:right w:val="outset" w:sz="6" w:space="0" w:color="auto"/>
            </w:tcBorders>
            <w:vAlign w:val="center"/>
            <w:hideMark/>
          </w:tcPr>
          <w:p w:rsidR="006D1047" w:rsidRPr="00BF76D6" w:rsidRDefault="006D1047" w:rsidP="00BF76D6">
            <w:pPr>
              <w:spacing w:after="0" w:line="240" w:lineRule="auto"/>
              <w:jc w:val="both"/>
              <w:rPr>
                <w:rFonts w:ascii="Arial" w:eastAsia="Times New Roman" w:hAnsi="Arial" w:cs="Arial"/>
                <w:lang w:eastAsia="es-ES"/>
              </w:rPr>
            </w:pPr>
            <w:r w:rsidRPr="00BF76D6">
              <w:rPr>
                <w:rFonts w:ascii="Arial" w:eastAsia="Times New Roman" w:hAnsi="Arial" w:cs="Arial"/>
                <w:kern w:val="24"/>
                <w:lang w:eastAsia="es-ES"/>
              </w:rPr>
              <w:t xml:space="preserve">Clasificación en un estadio </w:t>
            </w:r>
          </w:p>
          <w:p w:rsidR="006D1047" w:rsidRPr="00BF76D6" w:rsidRDefault="006D1047" w:rsidP="00BF76D6">
            <w:pPr>
              <w:spacing w:after="0" w:line="240" w:lineRule="auto"/>
              <w:jc w:val="both"/>
              <w:rPr>
                <w:rFonts w:ascii="Arial" w:eastAsia="Times New Roman" w:hAnsi="Arial" w:cs="Arial"/>
                <w:lang w:eastAsia="es-ES"/>
              </w:rPr>
            </w:pPr>
            <w:r w:rsidRPr="00BF76D6">
              <w:rPr>
                <w:rFonts w:ascii="Arial" w:eastAsia="Times New Roman" w:hAnsi="Arial" w:cs="Arial"/>
                <w:kern w:val="24"/>
                <w:lang w:eastAsia="es-ES"/>
              </w:rPr>
              <w:t xml:space="preserve">Seguimiento </w:t>
            </w:r>
          </w:p>
        </w:tc>
      </w:tr>
    </w:tbl>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w:t>
      </w:r>
      <w:r w:rsidRPr="00BF76D6">
        <w:rPr>
          <w:rFonts w:ascii="Arial" w:eastAsia="Times New Roman" w:hAnsi="Arial" w:cs="Arial"/>
          <w:sz w:val="24"/>
          <w:szCs w:val="24"/>
          <w:lang w:eastAsia="es-ES"/>
        </w:rPr>
        <w:br/>
      </w:r>
      <w:r w:rsidRPr="00BF76D6">
        <w:rPr>
          <w:rFonts w:ascii="Arial" w:eastAsia="Times New Roman" w:hAnsi="Arial" w:cs="Arial"/>
          <w:b/>
          <w:bCs/>
          <w:sz w:val="24"/>
          <w:szCs w:val="24"/>
          <w:lang w:eastAsia="es-ES"/>
        </w:rPr>
        <w:t>Por orden alfabético, vamos a describir la utilidad de los principales marcadores tumorales empleados en la clínica:</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b/>
          <w:bCs/>
          <w:sz w:val="24"/>
          <w:szCs w:val="24"/>
          <w:lang w:eastAsia="es-ES"/>
        </w:rPr>
        <w:t>ALFAFETOPROTEÍNA (AFP)</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lastRenderedPageBreak/>
        <w:t xml:space="preserve">La </w:t>
      </w:r>
      <w:proofErr w:type="spellStart"/>
      <w:r w:rsidRPr="00BF76D6">
        <w:rPr>
          <w:rFonts w:ascii="Arial" w:eastAsia="Times New Roman" w:hAnsi="Arial" w:cs="Arial"/>
          <w:sz w:val="24"/>
          <w:szCs w:val="24"/>
          <w:lang w:eastAsia="es-ES"/>
        </w:rPr>
        <w:t>alfafetoproteína</w:t>
      </w:r>
      <w:proofErr w:type="spellEnd"/>
      <w:r w:rsidRPr="00BF76D6">
        <w:rPr>
          <w:rFonts w:ascii="Arial" w:eastAsia="Times New Roman" w:hAnsi="Arial" w:cs="Arial"/>
          <w:sz w:val="24"/>
          <w:szCs w:val="24"/>
          <w:lang w:eastAsia="es-ES"/>
        </w:rPr>
        <w:t xml:space="preserve"> (AFP) ha sido utilizada desde 1963 como marcador tumoral para el carcinoma </w:t>
      </w:r>
      <w:proofErr w:type="spellStart"/>
      <w:r w:rsidRPr="00BF76D6">
        <w:rPr>
          <w:rFonts w:ascii="Arial" w:eastAsia="Times New Roman" w:hAnsi="Arial" w:cs="Arial"/>
          <w:sz w:val="24"/>
          <w:szCs w:val="24"/>
          <w:lang w:eastAsia="es-ES"/>
        </w:rPr>
        <w:t>hepatocelular</w:t>
      </w:r>
      <w:proofErr w:type="spellEnd"/>
      <w:r w:rsidRPr="00BF76D6">
        <w:rPr>
          <w:rFonts w:ascii="Arial" w:eastAsia="Times New Roman" w:hAnsi="Arial" w:cs="Arial"/>
          <w:sz w:val="24"/>
          <w:szCs w:val="24"/>
          <w:lang w:eastAsia="es-ES"/>
        </w:rPr>
        <w:t xml:space="preserve"> o cáncer de hígado (HCC).</w:t>
      </w:r>
      <w:r w:rsidRPr="00BF76D6">
        <w:rPr>
          <w:rFonts w:ascii="Arial" w:eastAsia="Times New Roman" w:hAnsi="Arial" w:cs="Arial"/>
          <w:sz w:val="24"/>
          <w:szCs w:val="24"/>
          <w:lang w:eastAsia="es-ES"/>
        </w:rPr>
        <w:br/>
        <w:t>Actualmente se solicita de manera rutinaria en la práctica clínica.</w:t>
      </w:r>
      <w:r w:rsidRPr="00BF76D6">
        <w:rPr>
          <w:rFonts w:ascii="Arial" w:eastAsia="Times New Roman" w:hAnsi="Arial" w:cs="Arial"/>
          <w:sz w:val="24"/>
          <w:szCs w:val="24"/>
          <w:lang w:eastAsia="es-ES"/>
        </w:rPr>
        <w:br/>
        <w:t xml:space="preserve">Los niveles en sangre de este marcador no deberían ser superiores a 10 </w:t>
      </w:r>
      <w:proofErr w:type="spellStart"/>
      <w:r w:rsidRPr="00BF76D6">
        <w:rPr>
          <w:rFonts w:ascii="Arial" w:eastAsia="Times New Roman" w:hAnsi="Arial" w:cs="Arial"/>
          <w:sz w:val="24"/>
          <w:szCs w:val="24"/>
          <w:lang w:eastAsia="es-ES"/>
        </w:rPr>
        <w:t>ng</w:t>
      </w:r>
      <w:proofErr w:type="spellEnd"/>
      <w:r w:rsidRPr="00BF76D6">
        <w:rPr>
          <w:rFonts w:ascii="Arial" w:eastAsia="Times New Roman" w:hAnsi="Arial" w:cs="Arial"/>
          <w:sz w:val="24"/>
          <w:szCs w:val="24"/>
          <w:lang w:eastAsia="es-ES"/>
        </w:rPr>
        <w:t>/</w:t>
      </w:r>
      <w:proofErr w:type="spellStart"/>
      <w:r w:rsidRPr="00BF76D6">
        <w:rPr>
          <w:rFonts w:ascii="Arial" w:eastAsia="Times New Roman" w:hAnsi="Arial" w:cs="Arial"/>
          <w:sz w:val="24"/>
          <w:szCs w:val="24"/>
          <w:lang w:eastAsia="es-ES"/>
        </w:rPr>
        <w:t>mL</w:t>
      </w:r>
      <w:proofErr w:type="spellEnd"/>
      <w:r w:rsidRPr="00BF76D6">
        <w:rPr>
          <w:rFonts w:ascii="Arial" w:eastAsia="Times New Roman" w:hAnsi="Arial" w:cs="Arial"/>
          <w:sz w:val="24"/>
          <w:szCs w:val="24"/>
          <w:lang w:eastAsia="es-ES"/>
        </w:rPr>
        <w:t>.</w:t>
      </w:r>
      <w:r w:rsidRPr="00BF76D6">
        <w:rPr>
          <w:rFonts w:ascii="Arial" w:eastAsia="Times New Roman" w:hAnsi="Arial" w:cs="Arial"/>
          <w:sz w:val="24"/>
          <w:szCs w:val="24"/>
          <w:lang w:eastAsia="es-ES"/>
        </w:rPr>
        <w:br/>
        <w:t xml:space="preserve">Además de en el HCC, se pueden encontrar niveles elevados de </w:t>
      </w:r>
      <w:proofErr w:type="spellStart"/>
      <w:r w:rsidRPr="00BF76D6">
        <w:rPr>
          <w:rFonts w:ascii="Arial" w:eastAsia="Times New Roman" w:hAnsi="Arial" w:cs="Arial"/>
          <w:sz w:val="24"/>
          <w:szCs w:val="24"/>
          <w:lang w:eastAsia="es-ES"/>
        </w:rPr>
        <w:t>alfafetoproteína</w:t>
      </w:r>
      <w:proofErr w:type="spellEnd"/>
      <w:r w:rsidRPr="00BF76D6">
        <w:rPr>
          <w:rFonts w:ascii="Arial" w:eastAsia="Times New Roman" w:hAnsi="Arial" w:cs="Arial"/>
          <w:sz w:val="24"/>
          <w:szCs w:val="24"/>
          <w:lang w:eastAsia="es-ES"/>
        </w:rPr>
        <w:t xml:space="preserve"> en otros tipos de tumores como el de ovario, testículo o estómago. </w:t>
      </w:r>
      <w:r w:rsidRPr="00BF76D6">
        <w:rPr>
          <w:rFonts w:ascii="Arial" w:eastAsia="Times New Roman" w:hAnsi="Arial" w:cs="Arial"/>
          <w:sz w:val="24"/>
          <w:szCs w:val="24"/>
          <w:lang w:eastAsia="es-ES"/>
        </w:rPr>
        <w:br/>
        <w:t xml:space="preserve">Valores de AFP mayores de 400 </w:t>
      </w:r>
      <w:proofErr w:type="spellStart"/>
      <w:r w:rsidRPr="00BF76D6">
        <w:rPr>
          <w:rFonts w:ascii="Arial" w:eastAsia="Times New Roman" w:hAnsi="Arial" w:cs="Arial"/>
          <w:sz w:val="24"/>
          <w:szCs w:val="24"/>
          <w:lang w:eastAsia="es-ES"/>
        </w:rPr>
        <w:t>ng</w:t>
      </w:r>
      <w:proofErr w:type="spellEnd"/>
      <w:r w:rsidRPr="00BF76D6">
        <w:rPr>
          <w:rFonts w:ascii="Arial" w:eastAsia="Times New Roman" w:hAnsi="Arial" w:cs="Arial"/>
          <w:sz w:val="24"/>
          <w:szCs w:val="24"/>
          <w:lang w:eastAsia="es-ES"/>
        </w:rPr>
        <w:t>/</w:t>
      </w:r>
      <w:proofErr w:type="spellStart"/>
      <w:r w:rsidRPr="00BF76D6">
        <w:rPr>
          <w:rFonts w:ascii="Arial" w:eastAsia="Times New Roman" w:hAnsi="Arial" w:cs="Arial"/>
          <w:sz w:val="24"/>
          <w:szCs w:val="24"/>
          <w:lang w:eastAsia="es-ES"/>
        </w:rPr>
        <w:t>mL</w:t>
      </w:r>
      <w:proofErr w:type="spellEnd"/>
      <w:r w:rsidRPr="00BF76D6">
        <w:rPr>
          <w:rFonts w:ascii="Arial" w:eastAsia="Times New Roman" w:hAnsi="Arial" w:cs="Arial"/>
          <w:sz w:val="24"/>
          <w:szCs w:val="24"/>
          <w:lang w:eastAsia="es-ES"/>
        </w:rPr>
        <w:t xml:space="preserve"> se consideran generalmente diagnósticos de HCC, aunque es difícil encontrar estos valores en el </w:t>
      </w:r>
      <w:proofErr w:type="spellStart"/>
      <w:r w:rsidRPr="00BF76D6">
        <w:rPr>
          <w:rFonts w:ascii="Arial" w:eastAsia="Times New Roman" w:hAnsi="Arial" w:cs="Arial"/>
          <w:sz w:val="24"/>
          <w:szCs w:val="24"/>
          <w:lang w:eastAsia="es-ES"/>
        </w:rPr>
        <w:t>screening</w:t>
      </w:r>
      <w:proofErr w:type="spellEnd"/>
      <w:r w:rsidRPr="00BF76D6">
        <w:rPr>
          <w:rFonts w:ascii="Arial" w:eastAsia="Times New Roman" w:hAnsi="Arial" w:cs="Arial"/>
          <w:sz w:val="24"/>
          <w:szCs w:val="24"/>
          <w:lang w:eastAsia="es-ES"/>
        </w:rPr>
        <w:t xml:space="preserve"> de estos pacientes. Por tanto, un incremento progresivo en los valores, aún por debajo de 400 </w:t>
      </w:r>
      <w:proofErr w:type="spellStart"/>
      <w:r w:rsidRPr="00BF76D6">
        <w:rPr>
          <w:rFonts w:ascii="Arial" w:eastAsia="Times New Roman" w:hAnsi="Arial" w:cs="Arial"/>
          <w:sz w:val="24"/>
          <w:szCs w:val="24"/>
          <w:lang w:eastAsia="es-ES"/>
        </w:rPr>
        <w:t>ng</w:t>
      </w:r>
      <w:proofErr w:type="spellEnd"/>
      <w:r w:rsidRPr="00BF76D6">
        <w:rPr>
          <w:rFonts w:ascii="Arial" w:eastAsia="Times New Roman" w:hAnsi="Arial" w:cs="Arial"/>
          <w:sz w:val="24"/>
          <w:szCs w:val="24"/>
          <w:lang w:eastAsia="es-ES"/>
        </w:rPr>
        <w:t>/</w:t>
      </w:r>
      <w:proofErr w:type="spellStart"/>
      <w:r w:rsidRPr="00BF76D6">
        <w:rPr>
          <w:rFonts w:ascii="Arial" w:eastAsia="Times New Roman" w:hAnsi="Arial" w:cs="Arial"/>
          <w:sz w:val="24"/>
          <w:szCs w:val="24"/>
          <w:lang w:eastAsia="es-ES"/>
        </w:rPr>
        <w:t>mL</w:t>
      </w:r>
      <w:proofErr w:type="spellEnd"/>
      <w:r w:rsidRPr="00BF76D6">
        <w:rPr>
          <w:rFonts w:ascii="Arial" w:eastAsia="Times New Roman" w:hAnsi="Arial" w:cs="Arial"/>
          <w:sz w:val="24"/>
          <w:szCs w:val="24"/>
          <w:lang w:eastAsia="es-ES"/>
        </w:rPr>
        <w:t>, puede hacer sospechar de HCC y requiere confirmación con otras técnicas diagnósticas.</w:t>
      </w:r>
      <w:r w:rsidRPr="00BF76D6">
        <w:rPr>
          <w:rFonts w:ascii="Arial" w:eastAsia="Times New Roman" w:hAnsi="Arial" w:cs="Arial"/>
          <w:sz w:val="24"/>
          <w:szCs w:val="24"/>
          <w:lang w:eastAsia="es-ES"/>
        </w:rPr>
        <w:br/>
        <w:t xml:space="preserve">Actualmente, el HCC se diagnostica en base a los resultados de la determinación en suero de los niveles de </w:t>
      </w:r>
      <w:proofErr w:type="spellStart"/>
      <w:r w:rsidRPr="00BF76D6">
        <w:rPr>
          <w:rFonts w:ascii="Arial" w:eastAsia="Times New Roman" w:hAnsi="Arial" w:cs="Arial"/>
          <w:sz w:val="24"/>
          <w:szCs w:val="24"/>
          <w:lang w:eastAsia="es-ES"/>
        </w:rPr>
        <w:t>alfafetoproteína</w:t>
      </w:r>
      <w:proofErr w:type="spellEnd"/>
      <w:r w:rsidRPr="00BF76D6">
        <w:rPr>
          <w:rFonts w:ascii="Arial" w:eastAsia="Times New Roman" w:hAnsi="Arial" w:cs="Arial"/>
          <w:sz w:val="24"/>
          <w:szCs w:val="24"/>
          <w:lang w:eastAsia="es-ES"/>
        </w:rPr>
        <w:t xml:space="preserve">, ecografía hepática, tomografía </w:t>
      </w:r>
      <w:proofErr w:type="spellStart"/>
      <w:r w:rsidRPr="00BF76D6">
        <w:rPr>
          <w:rFonts w:ascii="Arial" w:eastAsia="Times New Roman" w:hAnsi="Arial" w:cs="Arial"/>
          <w:sz w:val="24"/>
          <w:szCs w:val="24"/>
          <w:lang w:eastAsia="es-ES"/>
        </w:rPr>
        <w:t>computerizada</w:t>
      </w:r>
      <w:proofErr w:type="spellEnd"/>
      <w:r w:rsidRPr="00BF76D6">
        <w:rPr>
          <w:rFonts w:ascii="Arial" w:eastAsia="Times New Roman" w:hAnsi="Arial" w:cs="Arial"/>
          <w:sz w:val="24"/>
          <w:szCs w:val="24"/>
          <w:lang w:eastAsia="es-ES"/>
        </w:rPr>
        <w:t xml:space="preserve"> o por resonancia magnética.</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xml:space="preserve">Desde el punto de vista práctico, la </w:t>
      </w:r>
      <w:proofErr w:type="spellStart"/>
      <w:r w:rsidRPr="00BF76D6">
        <w:rPr>
          <w:rFonts w:ascii="Arial" w:eastAsia="Times New Roman" w:hAnsi="Arial" w:cs="Arial"/>
          <w:sz w:val="24"/>
          <w:szCs w:val="24"/>
          <w:lang w:eastAsia="es-ES"/>
        </w:rPr>
        <w:t>alfafetoproteína</w:t>
      </w:r>
      <w:proofErr w:type="spellEnd"/>
      <w:r w:rsidRPr="00BF76D6">
        <w:rPr>
          <w:rFonts w:ascii="Arial" w:eastAsia="Times New Roman" w:hAnsi="Arial" w:cs="Arial"/>
          <w:sz w:val="24"/>
          <w:szCs w:val="24"/>
          <w:lang w:eastAsia="es-ES"/>
        </w:rPr>
        <w:t xml:space="preserve"> tiene valor tanto en el </w:t>
      </w:r>
      <w:proofErr w:type="spellStart"/>
      <w:r w:rsidRPr="00BF76D6">
        <w:rPr>
          <w:rFonts w:ascii="Arial" w:eastAsia="Times New Roman" w:hAnsi="Arial" w:cs="Arial"/>
          <w:sz w:val="24"/>
          <w:szCs w:val="24"/>
          <w:lang w:eastAsia="es-ES"/>
        </w:rPr>
        <w:t>screening</w:t>
      </w:r>
      <w:proofErr w:type="spellEnd"/>
      <w:r w:rsidRPr="00BF76D6">
        <w:rPr>
          <w:rFonts w:ascii="Arial" w:eastAsia="Times New Roman" w:hAnsi="Arial" w:cs="Arial"/>
          <w:sz w:val="24"/>
          <w:szCs w:val="24"/>
          <w:lang w:eastAsia="es-ES"/>
        </w:rPr>
        <w:t xml:space="preserve"> como en el seguimiento y valoración de la eficacia terapéutica en el HCC y en los pacientes con tumores germinales (testículo y ovario).</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b/>
          <w:bCs/>
          <w:sz w:val="24"/>
          <w:szCs w:val="24"/>
          <w:lang w:eastAsia="es-ES"/>
        </w:rPr>
        <w:t>CALCITONINA</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El carcinoma medular de tiroides (CMT) se produce a partir de las células tiroideas que producen calcitonina.</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La calcitonina es un marcador sensible y específico de esta enfermedad. A menudo se diagnostican recaídas de este tumor en una etapa temprana gracias a los niveles aumentados de calcitonina.</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Como en otros tumores, el pronóstico en esta enfermedad está relacionado con la carga tumoral y la rapidez de la progresión, con lo que el nivel que tengamos en sangre de calcitonina puede servir para estimar el pronóstico del paciente y evaluar la eficacia del tratamiento que se esté administrando.</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Desde un punto de vista práctico, se recomienda realizar determinaciones repetidas de la concentración de calcitonina en el caso de concentraciones persistentemente anormales tras la cirugía del tiroides por un nódulo.</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b/>
          <w:bCs/>
          <w:sz w:val="24"/>
          <w:szCs w:val="24"/>
          <w:lang w:eastAsia="es-ES"/>
        </w:rPr>
        <w:t>CA 12-5</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xml:space="preserve">El CA 12-5 es un determinante antigénico que fue descubierto utilizando una línea celular de cáncer de ovario como agente </w:t>
      </w:r>
      <w:proofErr w:type="spellStart"/>
      <w:r w:rsidRPr="00BF76D6">
        <w:rPr>
          <w:rFonts w:ascii="Arial" w:eastAsia="Times New Roman" w:hAnsi="Arial" w:cs="Arial"/>
          <w:sz w:val="24"/>
          <w:szCs w:val="24"/>
          <w:lang w:eastAsia="es-ES"/>
        </w:rPr>
        <w:t>inmunogénico</w:t>
      </w:r>
      <w:proofErr w:type="spellEnd"/>
      <w:r w:rsidRPr="00BF76D6">
        <w:rPr>
          <w:rFonts w:ascii="Arial" w:eastAsia="Times New Roman" w:hAnsi="Arial" w:cs="Arial"/>
          <w:sz w:val="24"/>
          <w:szCs w:val="24"/>
          <w:lang w:eastAsia="es-ES"/>
        </w:rPr>
        <w:t>.</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lastRenderedPageBreak/>
        <w:t>Los niveles en sangre del CA 12-5 se encuentran incrementados en el 50% de los tumores ováricos en estadio I y en el 90% de los tumores ováricos en estadio II.</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Desafortunadamente, el CA 12-5 no es producido en exclusiva por los procesos tumorales de ovario ya que sus niveles pueden estar aumentados también en numerosas enfermedades benignas como la endometriosis, la enfermedad pélvica inflamatoria, peritonitis, pancreatitis, hepatitis o pleuritis.</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xml:space="preserve">Del mismo modo, los niveles de CA 12-5 también pueden estar elevados en otros tumores como el de útero, páncreas, hígado, colon, mama, pulmón, tracto digestivo, cabeza y cuello </w:t>
      </w:r>
      <w:proofErr w:type="gramStart"/>
      <w:r w:rsidRPr="00BF76D6">
        <w:rPr>
          <w:rFonts w:ascii="Arial" w:eastAsia="Times New Roman" w:hAnsi="Arial" w:cs="Arial"/>
          <w:sz w:val="24"/>
          <w:szCs w:val="24"/>
          <w:lang w:eastAsia="es-ES"/>
        </w:rPr>
        <w:t>e ,incluso</w:t>
      </w:r>
      <w:proofErr w:type="gramEnd"/>
      <w:r w:rsidRPr="00BF76D6">
        <w:rPr>
          <w:rFonts w:ascii="Arial" w:eastAsia="Times New Roman" w:hAnsi="Arial" w:cs="Arial"/>
          <w:sz w:val="24"/>
          <w:szCs w:val="24"/>
          <w:lang w:eastAsia="es-ES"/>
        </w:rPr>
        <w:t>, en condiciones fisiológicas como la menstruación y el embarazo.</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Por tanto, la tasa de falsos positivos de este marcador es elevada.</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La monitorización de este marcador molecular ha sido propuesta como complemento a otros métodos diagnósticos no invasivos. Una característica importante del CA 12-5 es su habilidad para reflejar cambios en el tamaño del tumor durante la quimioterapia o en el periodo de seguimiento tras la finalización del tratamiento. Es por ello que su mayor utilidad es la monitorización de pacientes con cáncer ovárico para la respuesta al tratamiento y para recurrencia de la enfermedad.</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Si los pacientes tienen niveles elevados de CA 12-5 en el diagnóstico, las determinaciones seriadas de los niveles de CA 12-5 sérico durante el tratamiento inicial reflejan con precisión el curso de la enfermedad. El comité de consenso en el cáncer ovárico epitelial afirmó que el marcador tumoral CA 12-5 tiene un papel potencialmente importante en el manejo individual de los pacientes.</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Este marcador puede tener valor como indicador temprano de fracaso del tratamiento durante la quimioterapia, así como en la confirmación de la recaída tras la cirugía.</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xml:space="preserve">Desde el punto de vista práctico, para el diagnóstico de una paciente que tenga síntomas indicativos de cáncer de ovario se debería realizar de inicio un examen físico, ecografía </w:t>
      </w:r>
      <w:proofErr w:type="spellStart"/>
      <w:r w:rsidRPr="00BF76D6">
        <w:rPr>
          <w:rFonts w:ascii="Arial" w:eastAsia="Times New Roman" w:hAnsi="Arial" w:cs="Arial"/>
          <w:sz w:val="24"/>
          <w:szCs w:val="24"/>
          <w:lang w:eastAsia="es-ES"/>
        </w:rPr>
        <w:t>transvaginal</w:t>
      </w:r>
      <w:proofErr w:type="spellEnd"/>
      <w:r w:rsidRPr="00BF76D6">
        <w:rPr>
          <w:rFonts w:ascii="Arial" w:eastAsia="Times New Roman" w:hAnsi="Arial" w:cs="Arial"/>
          <w:sz w:val="24"/>
          <w:szCs w:val="24"/>
          <w:lang w:eastAsia="es-ES"/>
        </w:rPr>
        <w:t xml:space="preserve"> y detección de CA 125. </w:t>
      </w:r>
      <w:r w:rsidRPr="00BF76D6">
        <w:rPr>
          <w:rFonts w:ascii="Arial" w:eastAsia="Times New Roman" w:hAnsi="Arial" w:cs="Arial"/>
          <w:sz w:val="24"/>
          <w:szCs w:val="24"/>
          <w:lang w:eastAsia="es-ES"/>
        </w:rPr>
        <w:br/>
        <w:t> </w:t>
      </w:r>
      <w:r w:rsidRPr="00BF76D6">
        <w:rPr>
          <w:rFonts w:ascii="Arial" w:eastAsia="Times New Roman" w:hAnsi="Arial" w:cs="Arial"/>
          <w:b/>
          <w:bCs/>
          <w:sz w:val="24"/>
          <w:szCs w:val="24"/>
          <w:lang w:eastAsia="es-ES"/>
        </w:rPr>
        <w:t>CA 15-3</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xml:space="preserve">Se han estudiado un gran número de marcadores tumorales para el diagnóstico inicial, valoración del pronóstico, predicción de la recurrencia y monitorización de la respuesta al tratamiento del cáncer de mama. Uno de los más utilizados es el </w:t>
      </w:r>
      <w:r w:rsidRPr="00BF76D6">
        <w:rPr>
          <w:rFonts w:ascii="Arial" w:eastAsia="Times New Roman" w:hAnsi="Arial" w:cs="Arial"/>
          <w:sz w:val="24"/>
          <w:szCs w:val="24"/>
          <w:lang w:eastAsia="es-ES"/>
        </w:rPr>
        <w:lastRenderedPageBreak/>
        <w:t xml:space="preserve">CA 15-3, empleado en la detección y monitorización del cáncer de mama </w:t>
      </w:r>
      <w:proofErr w:type="spellStart"/>
      <w:r w:rsidRPr="00BF76D6">
        <w:rPr>
          <w:rFonts w:ascii="Arial" w:eastAsia="Times New Roman" w:hAnsi="Arial" w:cs="Arial"/>
          <w:sz w:val="24"/>
          <w:szCs w:val="24"/>
          <w:lang w:eastAsia="es-ES"/>
        </w:rPr>
        <w:t>metastásico</w:t>
      </w:r>
      <w:proofErr w:type="spellEnd"/>
      <w:r w:rsidRPr="00BF76D6">
        <w:rPr>
          <w:rFonts w:ascii="Arial" w:eastAsia="Times New Roman" w:hAnsi="Arial" w:cs="Arial"/>
          <w:sz w:val="24"/>
          <w:szCs w:val="24"/>
          <w:lang w:eastAsia="es-ES"/>
        </w:rPr>
        <w:t>.</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xml:space="preserve">En la actualidad, aún no se ha encontrado un marcador tumoral para el diagnóstico inicial del cáncer de mama, y éste sólo es posible mediante la realización de una mamografía. Por tanto, la utilización de CA 15-3 para el diagnóstico </w:t>
      </w:r>
      <w:proofErr w:type="spellStart"/>
      <w:r w:rsidRPr="00BF76D6">
        <w:rPr>
          <w:rFonts w:ascii="Arial" w:eastAsia="Times New Roman" w:hAnsi="Arial" w:cs="Arial"/>
          <w:sz w:val="24"/>
          <w:szCs w:val="24"/>
          <w:lang w:eastAsia="es-ES"/>
        </w:rPr>
        <w:t>incial</w:t>
      </w:r>
      <w:proofErr w:type="spellEnd"/>
      <w:r w:rsidRPr="00BF76D6">
        <w:rPr>
          <w:rFonts w:ascii="Arial" w:eastAsia="Times New Roman" w:hAnsi="Arial" w:cs="Arial"/>
          <w:sz w:val="24"/>
          <w:szCs w:val="24"/>
          <w:lang w:eastAsia="es-ES"/>
        </w:rPr>
        <w:t xml:space="preserve"> del cáncer de mama no está recomendada.</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Pueden existir niveles elevados de este marcador en enfermedades benignas, sobretodo en las patologías hepáticas. Es por esto por lo que el CA 15-3 no es efectivo en el diagnóstico del cáncer de mama.</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En cuanto a la valoración de respuesta al tratamiento con quimioterapia o con hormonas del cáncer de mama, el CA 15-3 ha demostrado ser más eficaz que otros marcadores. En un meta-análisis se demostró que el 66% de los pacientes en tratamiento para cáncer de mama avanzado tenía niveles de CA 15-3 que disminuían con la respuesta al tratamiento; el 73% de los pacientes con enfermedad estable no mostraron ningún cambio en sus niveles séricos de CA 15-3, mientras que el 80% de los pacientes cuyos niveles de CA 15-3 estaban aumentados experimentó progresión de su enfermedad.</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Lamentablemente, este marcador CA 15-3 presenta una utilidad limitada en el seguimiento y en la valoración de la eficacia terapéutica del cáncer de mama avanzado.</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w:t>
      </w:r>
      <w:r w:rsidRPr="00BF76D6">
        <w:rPr>
          <w:rFonts w:ascii="Arial" w:eastAsia="Times New Roman" w:hAnsi="Arial" w:cs="Arial"/>
          <w:b/>
          <w:bCs/>
          <w:sz w:val="24"/>
          <w:szCs w:val="24"/>
          <w:lang w:eastAsia="es-ES"/>
        </w:rPr>
        <w:t>CA 19-9</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El CA 19-9 es un marcador tumoral descubierto en una línea celular de cáncer de colon, sin embargo, actualmente su utilización no se recomienda en este tipo de cáncer, sino para el diagnóstico y seguimiento de pacientes con cánceres de páncreas o de las vías biliares.</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Numerosos estudios han descrito el papel de CA 19-9 en el diagnóstico del cáncer de páncreas. En estos estudios la mediana de sensibilidad para el diagnóstico del cáncer pancreático fue del 79% (70-90%) y la mediana de especificidad fue del 82% (68-91%).</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La mediana del valor predictivo positivo, es decir, la posibilidad de que al tener una elevación del CA 19-9 en un paciente con sospecha de cáncer de páncreas tenga en efecto este tipo de tumor, fue del 72%.</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lastRenderedPageBreak/>
        <w:t>Además de su valor diagnóstico, se ha sugerido un valor pronóstico para CA 19-9, es decir, cuanto más elevado se encuentre el CA 19-9 al diagnóstico, peor es el pronóstico del paciente.</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xml:space="preserve">En la práctica clínica diaria, el CA 19-9 tiene valor para el diagnóstico, evaluación </w:t>
      </w:r>
      <w:proofErr w:type="spellStart"/>
      <w:r w:rsidRPr="00BF76D6">
        <w:rPr>
          <w:rFonts w:ascii="Arial" w:eastAsia="Times New Roman" w:hAnsi="Arial" w:cs="Arial"/>
          <w:sz w:val="24"/>
          <w:szCs w:val="24"/>
          <w:lang w:eastAsia="es-ES"/>
        </w:rPr>
        <w:t>pronóstica</w:t>
      </w:r>
      <w:proofErr w:type="spellEnd"/>
      <w:r w:rsidRPr="00BF76D6">
        <w:rPr>
          <w:rFonts w:ascii="Arial" w:eastAsia="Times New Roman" w:hAnsi="Arial" w:cs="Arial"/>
          <w:sz w:val="24"/>
          <w:szCs w:val="24"/>
          <w:lang w:eastAsia="es-ES"/>
        </w:rPr>
        <w:t xml:space="preserve">, seguimiento tras la cirugía y evaluación de la eficacia del tratamiento </w:t>
      </w:r>
      <w:proofErr w:type="spellStart"/>
      <w:r w:rsidRPr="00BF76D6">
        <w:rPr>
          <w:rFonts w:ascii="Arial" w:eastAsia="Times New Roman" w:hAnsi="Arial" w:cs="Arial"/>
          <w:sz w:val="24"/>
          <w:szCs w:val="24"/>
          <w:lang w:eastAsia="es-ES"/>
        </w:rPr>
        <w:t>quimioterápico</w:t>
      </w:r>
      <w:proofErr w:type="spellEnd"/>
      <w:r w:rsidRPr="00BF76D6">
        <w:rPr>
          <w:rFonts w:ascii="Arial" w:eastAsia="Times New Roman" w:hAnsi="Arial" w:cs="Arial"/>
          <w:sz w:val="24"/>
          <w:szCs w:val="24"/>
          <w:lang w:eastAsia="es-ES"/>
        </w:rPr>
        <w:t xml:space="preserve"> de pacientes con cáncer de páncreas o de las vías biliares.</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No obstante, este marcador no es exclusivo de estos tumores ya que se han observado niveles de CA 19-9 elevados en otros tipos de enfermedades como el cáncer gástrico y el de ovario, así como en otras condiciones benignas como la fibrosis quística, hidronefrosis y la tiroiditis de Hashimoto. Sin embargo, se cree que las patologías benignas causan una elevación moderada de la concentración de este marcador, mientras que los tumores causan elevaciones marcadas.</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b/>
          <w:bCs/>
          <w:sz w:val="24"/>
          <w:szCs w:val="24"/>
          <w:lang w:eastAsia="es-ES"/>
        </w:rPr>
        <w:t xml:space="preserve">CEA (Antígeno </w:t>
      </w:r>
      <w:proofErr w:type="spellStart"/>
      <w:r w:rsidRPr="00BF76D6">
        <w:rPr>
          <w:rFonts w:ascii="Arial" w:eastAsia="Times New Roman" w:hAnsi="Arial" w:cs="Arial"/>
          <w:b/>
          <w:bCs/>
          <w:sz w:val="24"/>
          <w:szCs w:val="24"/>
          <w:lang w:eastAsia="es-ES"/>
        </w:rPr>
        <w:t>Carcinoembrionario</w:t>
      </w:r>
      <w:proofErr w:type="spellEnd"/>
      <w:r w:rsidRPr="00BF76D6">
        <w:rPr>
          <w:rFonts w:ascii="Arial" w:eastAsia="Times New Roman" w:hAnsi="Arial" w:cs="Arial"/>
          <w:b/>
          <w:bCs/>
          <w:sz w:val="24"/>
          <w:szCs w:val="24"/>
          <w:lang w:eastAsia="es-ES"/>
        </w:rPr>
        <w:t>)</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xml:space="preserve">El antígeno </w:t>
      </w:r>
      <w:proofErr w:type="spellStart"/>
      <w:r w:rsidRPr="00BF76D6">
        <w:rPr>
          <w:rFonts w:ascii="Arial" w:eastAsia="Times New Roman" w:hAnsi="Arial" w:cs="Arial"/>
          <w:sz w:val="24"/>
          <w:szCs w:val="24"/>
          <w:lang w:eastAsia="es-ES"/>
        </w:rPr>
        <w:t>carcinoembrionario</w:t>
      </w:r>
      <w:proofErr w:type="spellEnd"/>
      <w:r w:rsidRPr="00BF76D6">
        <w:rPr>
          <w:rFonts w:ascii="Arial" w:eastAsia="Times New Roman" w:hAnsi="Arial" w:cs="Arial"/>
          <w:sz w:val="24"/>
          <w:szCs w:val="24"/>
          <w:lang w:eastAsia="es-ES"/>
        </w:rPr>
        <w:t xml:space="preserve"> (CEA, por sus siglas en inglés) presenta su principal utilidad clínica en los tumores gastrointestinales, especialmente en el cáncer de colon.</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El CEA no se emplea, en esta ocasión, para el diagnóstico de este tipo de tumores debido a la alta tasa de muestras de sangre con elevación del marcador pero que no padecen cáncer (falsos positivos). Para el diagnóstico de estos tumores se emplean otras técnicas como la colonoscopia, el enema opaco o la prueba de la detección de sangre oculta en heces.</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xml:space="preserve">Este marcador tumoral puede estar aumentado en ausencia de tumor en pacientes con enfermedad hepática benigna o en individuos fumadores o bien en otros tumores como el melanoma, linfoma y cáncer de mama (en este tumor la detección de CEA está indicada para monitorizar a los pacientes con enfermedad </w:t>
      </w:r>
      <w:proofErr w:type="spellStart"/>
      <w:r w:rsidRPr="00BF76D6">
        <w:rPr>
          <w:rFonts w:ascii="Arial" w:eastAsia="Times New Roman" w:hAnsi="Arial" w:cs="Arial"/>
          <w:sz w:val="24"/>
          <w:szCs w:val="24"/>
          <w:lang w:eastAsia="es-ES"/>
        </w:rPr>
        <w:t>metastásica</w:t>
      </w:r>
      <w:proofErr w:type="spellEnd"/>
      <w:r w:rsidRPr="00BF76D6">
        <w:rPr>
          <w:rFonts w:ascii="Arial" w:eastAsia="Times New Roman" w:hAnsi="Arial" w:cs="Arial"/>
          <w:sz w:val="24"/>
          <w:szCs w:val="24"/>
          <w:lang w:eastAsia="es-ES"/>
        </w:rPr>
        <w:t xml:space="preserve"> durante el tratamiento junto con pruebas confirmatorias).</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xml:space="preserve">La determinación del CEA está indicada en pacientes con carcinoma </w:t>
      </w:r>
      <w:proofErr w:type="spellStart"/>
      <w:r w:rsidRPr="00BF76D6">
        <w:rPr>
          <w:rFonts w:ascii="Arial" w:eastAsia="Times New Roman" w:hAnsi="Arial" w:cs="Arial"/>
          <w:sz w:val="24"/>
          <w:szCs w:val="24"/>
          <w:lang w:eastAsia="es-ES"/>
        </w:rPr>
        <w:t>colorrectal</w:t>
      </w:r>
      <w:proofErr w:type="spellEnd"/>
      <w:r w:rsidRPr="00BF76D6">
        <w:rPr>
          <w:rFonts w:ascii="Arial" w:eastAsia="Times New Roman" w:hAnsi="Arial" w:cs="Arial"/>
          <w:sz w:val="24"/>
          <w:szCs w:val="24"/>
          <w:lang w:eastAsia="es-ES"/>
        </w:rPr>
        <w:t xml:space="preserve"> para ayudar a confirmar el estadio y planificar la cirugía. En este caso, un CEA </w:t>
      </w:r>
      <w:proofErr w:type="spellStart"/>
      <w:r w:rsidRPr="00BF76D6">
        <w:rPr>
          <w:rFonts w:ascii="Arial" w:eastAsia="Times New Roman" w:hAnsi="Arial" w:cs="Arial"/>
          <w:sz w:val="24"/>
          <w:szCs w:val="24"/>
          <w:lang w:eastAsia="es-ES"/>
        </w:rPr>
        <w:t>prequirúrgico</w:t>
      </w:r>
      <w:proofErr w:type="spellEnd"/>
      <w:r w:rsidRPr="00BF76D6">
        <w:rPr>
          <w:rFonts w:ascii="Arial" w:eastAsia="Times New Roman" w:hAnsi="Arial" w:cs="Arial"/>
          <w:sz w:val="24"/>
          <w:szCs w:val="24"/>
          <w:lang w:eastAsia="es-ES"/>
        </w:rPr>
        <w:t xml:space="preserve"> aumentado (&gt;5 mg/</w:t>
      </w:r>
      <w:proofErr w:type="spellStart"/>
      <w:r w:rsidRPr="00BF76D6">
        <w:rPr>
          <w:rFonts w:ascii="Arial" w:eastAsia="Times New Roman" w:hAnsi="Arial" w:cs="Arial"/>
          <w:sz w:val="24"/>
          <w:szCs w:val="24"/>
          <w:lang w:eastAsia="es-ES"/>
        </w:rPr>
        <w:t>mL</w:t>
      </w:r>
      <w:proofErr w:type="spellEnd"/>
      <w:r w:rsidRPr="00BF76D6">
        <w:rPr>
          <w:rFonts w:ascii="Arial" w:eastAsia="Times New Roman" w:hAnsi="Arial" w:cs="Arial"/>
          <w:sz w:val="24"/>
          <w:szCs w:val="24"/>
          <w:lang w:eastAsia="es-ES"/>
        </w:rPr>
        <w:t>) puede correlacionarse con mal pronóstico.</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xml:space="preserve">Del mismo modo, la determinación de este marcador está indicada tras la cirugía cada 6 meses en pacientes con estadio II ó III durante los 5 años posteriores al diagnóstico, para vigilar la aparición de metástasis. No obstante, por sí sola, una elevación del CEA aislada en sangre, sin ausencia de otros síntomas u otras pruebas, no justifica el tratamiento </w:t>
      </w:r>
      <w:proofErr w:type="spellStart"/>
      <w:r w:rsidRPr="00BF76D6">
        <w:rPr>
          <w:rFonts w:ascii="Arial" w:eastAsia="Times New Roman" w:hAnsi="Arial" w:cs="Arial"/>
          <w:sz w:val="24"/>
          <w:szCs w:val="24"/>
          <w:lang w:eastAsia="es-ES"/>
        </w:rPr>
        <w:t>quimioterápico</w:t>
      </w:r>
      <w:proofErr w:type="spellEnd"/>
      <w:r w:rsidRPr="00BF76D6">
        <w:rPr>
          <w:rFonts w:ascii="Arial" w:eastAsia="Times New Roman" w:hAnsi="Arial" w:cs="Arial"/>
          <w:sz w:val="24"/>
          <w:szCs w:val="24"/>
          <w:lang w:eastAsia="es-ES"/>
        </w:rPr>
        <w:t xml:space="preserve"> para enfermedad </w:t>
      </w:r>
      <w:proofErr w:type="spellStart"/>
      <w:r w:rsidRPr="00BF76D6">
        <w:rPr>
          <w:rFonts w:ascii="Arial" w:eastAsia="Times New Roman" w:hAnsi="Arial" w:cs="Arial"/>
          <w:sz w:val="24"/>
          <w:szCs w:val="24"/>
          <w:lang w:eastAsia="es-ES"/>
        </w:rPr>
        <w:t>metastásica</w:t>
      </w:r>
      <w:proofErr w:type="spellEnd"/>
      <w:r w:rsidRPr="00BF76D6">
        <w:rPr>
          <w:rFonts w:ascii="Arial" w:eastAsia="Times New Roman" w:hAnsi="Arial" w:cs="Arial"/>
          <w:sz w:val="24"/>
          <w:szCs w:val="24"/>
          <w:lang w:eastAsia="es-ES"/>
        </w:rPr>
        <w:t>.</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lastRenderedPageBreak/>
        <w:t>El CEA se utiliza para monitorizar la respuesta al tratamiento durante la terapia quimioterapia. Valores aumentados de CEA de manera persistente sugieren progresión de la enfermedad, incluso en ausencia de radiografías que lo corroboren. Hay que tener siempre en cuenta que en el inicio de un nuevo tratamiento, los niveles de CEA suelen aumentar.</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b/>
          <w:bCs/>
          <w:sz w:val="24"/>
          <w:szCs w:val="24"/>
          <w:lang w:eastAsia="es-ES"/>
        </w:rPr>
        <w:t>ENOLASA NEURONOESPECÍFICA (NSE)</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xml:space="preserve">La </w:t>
      </w:r>
      <w:proofErr w:type="spellStart"/>
      <w:r w:rsidRPr="00BF76D6">
        <w:rPr>
          <w:rFonts w:ascii="Arial" w:eastAsia="Times New Roman" w:hAnsi="Arial" w:cs="Arial"/>
          <w:sz w:val="24"/>
          <w:szCs w:val="24"/>
          <w:lang w:eastAsia="es-ES"/>
        </w:rPr>
        <w:t>enolasa</w:t>
      </w:r>
      <w:proofErr w:type="spellEnd"/>
      <w:r w:rsidRPr="00BF76D6">
        <w:rPr>
          <w:rFonts w:ascii="Arial" w:eastAsia="Times New Roman" w:hAnsi="Arial" w:cs="Arial"/>
          <w:sz w:val="24"/>
          <w:szCs w:val="24"/>
          <w:lang w:eastAsia="es-ES"/>
        </w:rPr>
        <w:t xml:space="preserve"> </w:t>
      </w:r>
      <w:proofErr w:type="spellStart"/>
      <w:r w:rsidRPr="00BF76D6">
        <w:rPr>
          <w:rFonts w:ascii="Arial" w:eastAsia="Times New Roman" w:hAnsi="Arial" w:cs="Arial"/>
          <w:sz w:val="24"/>
          <w:szCs w:val="24"/>
          <w:lang w:eastAsia="es-ES"/>
        </w:rPr>
        <w:t>neurono</w:t>
      </w:r>
      <w:proofErr w:type="spellEnd"/>
      <w:r w:rsidRPr="00BF76D6">
        <w:rPr>
          <w:rFonts w:ascii="Arial" w:eastAsia="Times New Roman" w:hAnsi="Arial" w:cs="Arial"/>
          <w:sz w:val="24"/>
          <w:szCs w:val="24"/>
          <w:lang w:eastAsia="es-ES"/>
        </w:rPr>
        <w:t>-específica (NSE, por sus siglas en inglés) es una enzima presente en las neuronas y en el tejido neuroendocrino periférico.</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xml:space="preserve">La principal utilidad clínica de la NSE radica en el seguimiento y evaluación del tratamiento del cáncer de pulmón  y el </w:t>
      </w:r>
      <w:proofErr w:type="spellStart"/>
      <w:r w:rsidRPr="00BF76D6">
        <w:rPr>
          <w:rFonts w:ascii="Arial" w:eastAsia="Times New Roman" w:hAnsi="Arial" w:cs="Arial"/>
          <w:sz w:val="24"/>
          <w:szCs w:val="24"/>
          <w:lang w:eastAsia="es-ES"/>
        </w:rPr>
        <w:t>neuroblastoma</w:t>
      </w:r>
      <w:proofErr w:type="spellEnd"/>
      <w:r w:rsidRPr="00BF76D6">
        <w:rPr>
          <w:rFonts w:ascii="Arial" w:eastAsia="Times New Roman" w:hAnsi="Arial" w:cs="Arial"/>
          <w:sz w:val="24"/>
          <w:szCs w:val="24"/>
          <w:lang w:eastAsia="es-ES"/>
        </w:rPr>
        <w:t xml:space="preserve">. La NSE también se puede expresar en otros tumores, como el melanoma, </w:t>
      </w:r>
      <w:proofErr w:type="spellStart"/>
      <w:r w:rsidRPr="00BF76D6">
        <w:rPr>
          <w:rFonts w:ascii="Arial" w:eastAsia="Times New Roman" w:hAnsi="Arial" w:cs="Arial"/>
          <w:sz w:val="24"/>
          <w:szCs w:val="24"/>
          <w:lang w:eastAsia="es-ES"/>
        </w:rPr>
        <w:t>seminoma</w:t>
      </w:r>
      <w:proofErr w:type="spellEnd"/>
      <w:r w:rsidRPr="00BF76D6">
        <w:rPr>
          <w:rFonts w:ascii="Arial" w:eastAsia="Times New Roman" w:hAnsi="Arial" w:cs="Arial"/>
          <w:sz w:val="24"/>
          <w:szCs w:val="24"/>
          <w:lang w:eastAsia="es-ES"/>
        </w:rPr>
        <w:t xml:space="preserve">, carcinoides y tumores de células de </w:t>
      </w:r>
      <w:proofErr w:type="spellStart"/>
      <w:r w:rsidRPr="00BF76D6">
        <w:rPr>
          <w:rFonts w:ascii="Arial" w:eastAsia="Times New Roman" w:hAnsi="Arial" w:cs="Arial"/>
          <w:sz w:val="24"/>
          <w:szCs w:val="24"/>
          <w:lang w:eastAsia="es-ES"/>
        </w:rPr>
        <w:t>Merkle</w:t>
      </w:r>
      <w:proofErr w:type="spellEnd"/>
      <w:r w:rsidRPr="00BF76D6">
        <w:rPr>
          <w:rFonts w:ascii="Arial" w:eastAsia="Times New Roman" w:hAnsi="Arial" w:cs="Arial"/>
          <w:sz w:val="24"/>
          <w:szCs w:val="24"/>
          <w:lang w:eastAsia="es-ES"/>
        </w:rPr>
        <w:t>.</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xml:space="preserve">En el </w:t>
      </w:r>
      <w:proofErr w:type="spellStart"/>
      <w:r w:rsidRPr="00BF76D6">
        <w:rPr>
          <w:rFonts w:ascii="Arial" w:eastAsia="Times New Roman" w:hAnsi="Arial" w:cs="Arial"/>
          <w:sz w:val="24"/>
          <w:szCs w:val="24"/>
          <w:lang w:eastAsia="es-ES"/>
        </w:rPr>
        <w:t>neuroblastoma</w:t>
      </w:r>
      <w:proofErr w:type="spellEnd"/>
      <w:r w:rsidRPr="00BF76D6">
        <w:rPr>
          <w:rFonts w:ascii="Arial" w:eastAsia="Times New Roman" w:hAnsi="Arial" w:cs="Arial"/>
          <w:sz w:val="24"/>
          <w:szCs w:val="24"/>
          <w:lang w:eastAsia="es-ES"/>
        </w:rPr>
        <w:t>, la NSE es un buen marcador y se correlaciona con el estadio del tumor.</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xml:space="preserve">La NSE se encuentra aumentada en otros tipos de tumores, como el melanoma, el </w:t>
      </w:r>
      <w:proofErr w:type="spellStart"/>
      <w:r w:rsidRPr="00BF76D6">
        <w:rPr>
          <w:rFonts w:ascii="Arial" w:eastAsia="Times New Roman" w:hAnsi="Arial" w:cs="Arial"/>
          <w:sz w:val="24"/>
          <w:szCs w:val="24"/>
          <w:lang w:eastAsia="es-ES"/>
        </w:rPr>
        <w:t>seminoma</w:t>
      </w:r>
      <w:proofErr w:type="spellEnd"/>
      <w:r w:rsidRPr="00BF76D6">
        <w:rPr>
          <w:rFonts w:ascii="Arial" w:eastAsia="Times New Roman" w:hAnsi="Arial" w:cs="Arial"/>
          <w:sz w:val="24"/>
          <w:szCs w:val="24"/>
          <w:lang w:eastAsia="es-ES"/>
        </w:rPr>
        <w:t xml:space="preserve">, el carcinoma de células renales, tumor de células de </w:t>
      </w:r>
      <w:proofErr w:type="spellStart"/>
      <w:r w:rsidRPr="00BF76D6">
        <w:rPr>
          <w:rFonts w:ascii="Arial" w:eastAsia="Times New Roman" w:hAnsi="Arial" w:cs="Arial"/>
          <w:sz w:val="24"/>
          <w:szCs w:val="24"/>
          <w:lang w:eastAsia="es-ES"/>
        </w:rPr>
        <w:t>Merkel</w:t>
      </w:r>
      <w:proofErr w:type="spellEnd"/>
      <w:r w:rsidRPr="00BF76D6">
        <w:rPr>
          <w:rFonts w:ascii="Arial" w:eastAsia="Times New Roman" w:hAnsi="Arial" w:cs="Arial"/>
          <w:sz w:val="24"/>
          <w:szCs w:val="24"/>
          <w:lang w:eastAsia="es-ES"/>
        </w:rPr>
        <w:t xml:space="preserve">, tumores carcinoides, </w:t>
      </w:r>
      <w:proofErr w:type="spellStart"/>
      <w:r w:rsidRPr="00BF76D6">
        <w:rPr>
          <w:rFonts w:ascii="Arial" w:eastAsia="Times New Roman" w:hAnsi="Arial" w:cs="Arial"/>
          <w:sz w:val="24"/>
          <w:szCs w:val="24"/>
          <w:lang w:eastAsia="es-ES"/>
        </w:rPr>
        <w:t>disgerminomas</w:t>
      </w:r>
      <w:proofErr w:type="spellEnd"/>
      <w:r w:rsidRPr="00BF76D6">
        <w:rPr>
          <w:rFonts w:ascii="Arial" w:eastAsia="Times New Roman" w:hAnsi="Arial" w:cs="Arial"/>
          <w:sz w:val="24"/>
          <w:szCs w:val="24"/>
          <w:lang w:eastAsia="es-ES"/>
        </w:rPr>
        <w:t xml:space="preserve"> y teratomas inmaduros, algunos casos de </w:t>
      </w:r>
      <w:proofErr w:type="spellStart"/>
      <w:r w:rsidRPr="00BF76D6">
        <w:rPr>
          <w:rFonts w:ascii="Arial" w:eastAsia="Times New Roman" w:hAnsi="Arial" w:cs="Arial"/>
          <w:sz w:val="24"/>
          <w:szCs w:val="24"/>
          <w:lang w:eastAsia="es-ES"/>
        </w:rPr>
        <w:t>feocromocitoma</w:t>
      </w:r>
      <w:proofErr w:type="spellEnd"/>
      <w:r w:rsidRPr="00BF76D6">
        <w:rPr>
          <w:rFonts w:ascii="Arial" w:eastAsia="Times New Roman" w:hAnsi="Arial" w:cs="Arial"/>
          <w:sz w:val="24"/>
          <w:szCs w:val="24"/>
          <w:lang w:eastAsia="es-ES"/>
        </w:rPr>
        <w:t xml:space="preserve"> maligno, y tumores pancreáticos indiferenciados de células pequeñas.</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xml:space="preserve">En resumen, NSE ha demostrado ser un buen marcador en varios tipos de tumores, principalmente en el cáncer de pulmón de células pequeñas y en el </w:t>
      </w:r>
      <w:proofErr w:type="spellStart"/>
      <w:r w:rsidRPr="00BF76D6">
        <w:rPr>
          <w:rFonts w:ascii="Arial" w:eastAsia="Times New Roman" w:hAnsi="Arial" w:cs="Arial"/>
          <w:sz w:val="24"/>
          <w:szCs w:val="24"/>
          <w:lang w:eastAsia="es-ES"/>
        </w:rPr>
        <w:t>neuroblastoma</w:t>
      </w:r>
      <w:proofErr w:type="spellEnd"/>
      <w:r w:rsidRPr="00BF76D6">
        <w:rPr>
          <w:rFonts w:ascii="Arial" w:eastAsia="Times New Roman" w:hAnsi="Arial" w:cs="Arial"/>
          <w:sz w:val="24"/>
          <w:szCs w:val="24"/>
          <w:lang w:eastAsia="es-ES"/>
        </w:rPr>
        <w:t>. Su mayor utilidad reside, quizás,  en el seguimiento clínico de los pacientes.</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b/>
          <w:bCs/>
          <w:sz w:val="24"/>
          <w:szCs w:val="24"/>
          <w:lang w:eastAsia="es-ES"/>
        </w:rPr>
        <w:t>GONADOTROPINA CORIÓNICA HUMANA (HCG)</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xml:space="preserve">La gonadotropina </w:t>
      </w:r>
      <w:proofErr w:type="spellStart"/>
      <w:r w:rsidRPr="00BF76D6">
        <w:rPr>
          <w:rFonts w:ascii="Arial" w:eastAsia="Times New Roman" w:hAnsi="Arial" w:cs="Arial"/>
          <w:sz w:val="24"/>
          <w:szCs w:val="24"/>
          <w:lang w:eastAsia="es-ES"/>
        </w:rPr>
        <w:t>coriónica</w:t>
      </w:r>
      <w:proofErr w:type="spellEnd"/>
      <w:r w:rsidRPr="00BF76D6">
        <w:rPr>
          <w:rFonts w:ascii="Arial" w:eastAsia="Times New Roman" w:hAnsi="Arial" w:cs="Arial"/>
          <w:sz w:val="24"/>
          <w:szCs w:val="24"/>
          <w:lang w:eastAsia="es-ES"/>
        </w:rPr>
        <w:t xml:space="preserve"> humana (HCG, por sus siglas en inglés) es una proteína que se produce normalmente en la placenta durante el embarazo. Fuera del ámbito gestacional no debería detectarse una elevación de HCG en sangre. Por tanto, si se descarta el embarazo, una elevación en los niveles de esta hormona es indicativa de cáncer.</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xml:space="preserve">En los tumores de células germinales tanto de ovario como de testículo, concentraciones elevadas de HCG, AFP o Lactato Deshidrogenasa (LDH) en sangre, están asociadas con un mal pronóstico. Una concentración en sangre de HCG mayor de 10.000 UI/l es un factor pronóstico importante, y el riesgo </w:t>
      </w:r>
      <w:r w:rsidRPr="00BF76D6">
        <w:rPr>
          <w:rFonts w:ascii="Arial" w:eastAsia="Times New Roman" w:hAnsi="Arial" w:cs="Arial"/>
          <w:sz w:val="24"/>
          <w:szCs w:val="24"/>
          <w:lang w:eastAsia="es-ES"/>
        </w:rPr>
        <w:lastRenderedPageBreak/>
        <w:t xml:space="preserve">incrementa con el aumento en las concentraciones de este marcador. En la monitorización del tratamiento de estos pacientes, la HCG se utiliza para valorar la respuesta al tratamiento. Para ello se determina HCG y tomografía </w:t>
      </w:r>
      <w:proofErr w:type="spellStart"/>
      <w:r w:rsidRPr="00BF76D6">
        <w:rPr>
          <w:rFonts w:ascii="Arial" w:eastAsia="Times New Roman" w:hAnsi="Arial" w:cs="Arial"/>
          <w:sz w:val="24"/>
          <w:szCs w:val="24"/>
          <w:lang w:eastAsia="es-ES"/>
        </w:rPr>
        <w:t>computerizada</w:t>
      </w:r>
      <w:proofErr w:type="spellEnd"/>
      <w:r w:rsidRPr="00BF76D6">
        <w:rPr>
          <w:rFonts w:ascii="Arial" w:eastAsia="Times New Roman" w:hAnsi="Arial" w:cs="Arial"/>
          <w:sz w:val="24"/>
          <w:szCs w:val="24"/>
          <w:lang w:eastAsia="es-ES"/>
        </w:rPr>
        <w:t xml:space="preserve"> (TAC) en intervalos de 2 a 4 meses durante el primer año e intervalos más espaciados posteriormente hasta 5 años.</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xml:space="preserve">Niveles elevados de HCG también pueden verse pero con menor fiabilidad en otros tumores como los </w:t>
      </w:r>
      <w:proofErr w:type="spellStart"/>
      <w:r w:rsidRPr="00BF76D6">
        <w:rPr>
          <w:rFonts w:ascii="Arial" w:eastAsia="Times New Roman" w:hAnsi="Arial" w:cs="Arial"/>
          <w:sz w:val="24"/>
          <w:szCs w:val="24"/>
          <w:lang w:eastAsia="es-ES"/>
        </w:rPr>
        <w:t>uroteliales</w:t>
      </w:r>
      <w:proofErr w:type="spellEnd"/>
      <w:r w:rsidRPr="00BF76D6">
        <w:rPr>
          <w:rFonts w:ascii="Arial" w:eastAsia="Times New Roman" w:hAnsi="Arial" w:cs="Arial"/>
          <w:sz w:val="24"/>
          <w:szCs w:val="24"/>
          <w:lang w:eastAsia="es-ES"/>
        </w:rPr>
        <w:t>, digestivos, neuroendocrinos, ginecológicos, hematológicos y en los tumores de mama,</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xml:space="preserve">Desde el punto de vista práctico, la HCG se emplea en Oncología principalmente para el diagnóstico, seguimiento y evaluación de la eficacia de la quimioterapia en pacientes </w:t>
      </w:r>
      <w:proofErr w:type="spellStart"/>
      <w:r w:rsidRPr="00BF76D6">
        <w:rPr>
          <w:rFonts w:ascii="Arial" w:eastAsia="Times New Roman" w:hAnsi="Arial" w:cs="Arial"/>
          <w:sz w:val="24"/>
          <w:szCs w:val="24"/>
          <w:lang w:eastAsia="es-ES"/>
        </w:rPr>
        <w:t>metastásicos</w:t>
      </w:r>
      <w:proofErr w:type="spellEnd"/>
      <w:r w:rsidRPr="00BF76D6">
        <w:rPr>
          <w:rFonts w:ascii="Arial" w:eastAsia="Times New Roman" w:hAnsi="Arial" w:cs="Arial"/>
          <w:sz w:val="24"/>
          <w:szCs w:val="24"/>
          <w:lang w:eastAsia="es-ES"/>
        </w:rPr>
        <w:t xml:space="preserve"> de tumores de estirpe germinal tanto de ovario como de testículo.</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b/>
          <w:bCs/>
          <w:sz w:val="24"/>
          <w:szCs w:val="24"/>
          <w:lang w:eastAsia="es-ES"/>
        </w:rPr>
        <w:t>PSA (Antígeno Prostático específico)</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xml:space="preserve">La introducción del Antígeno Prostático Específico (PSA, por sus siglas en inglés) revolucionó el diagnóstico inicial del cáncer de próstata, permitiendo una detección más temprana y como consecuencia un aumento en la incidencia. Sin embargo, su utilización como herramienta de </w:t>
      </w:r>
      <w:proofErr w:type="spellStart"/>
      <w:r w:rsidRPr="00BF76D6">
        <w:rPr>
          <w:rFonts w:ascii="Arial" w:eastAsia="Times New Roman" w:hAnsi="Arial" w:cs="Arial"/>
          <w:sz w:val="24"/>
          <w:szCs w:val="24"/>
          <w:lang w:eastAsia="es-ES"/>
        </w:rPr>
        <w:t>screening</w:t>
      </w:r>
      <w:proofErr w:type="spellEnd"/>
      <w:r w:rsidRPr="00BF76D6">
        <w:rPr>
          <w:rFonts w:ascii="Arial" w:eastAsia="Times New Roman" w:hAnsi="Arial" w:cs="Arial"/>
          <w:sz w:val="24"/>
          <w:szCs w:val="24"/>
          <w:lang w:eastAsia="es-ES"/>
        </w:rPr>
        <w:t xml:space="preserve"> es controvertida debido a cuestiones relacionadas con el beneficio en la supervivencia, el coste-efectividad y factores clínicos como la edad óptima y el nivel en sangre de PSA en el que está recomendada la realización de biopsia.</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El inconveniente más importante en relación al uso del PSA es su baja especificidad. Un incremento en el nivel de PSA puede reflejar la presencia de células cancerosas, pero también puede estar relacionado con otros trastornos no malignos como la hiperplasia benigna prostática (HBP), o la propia infección o inflamación crónica de la próstata.</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xml:space="preserve">A pesar del debate producido en torno al diagnóstico inicial del cáncer de próstata, la realidad es que la prueba de PSA y el examen digital rectal son parte de la revisión médica rutinaria en hombres mayores de 50 años. Tras la implementación de la prueba de PSA para la detección del CP, se observó un aumento en el diagnóstico del cáncer de próstata en estadio temprano, así como una disminución en la incidencia de enfermedad </w:t>
      </w:r>
      <w:proofErr w:type="spellStart"/>
      <w:r w:rsidRPr="00BF76D6">
        <w:rPr>
          <w:rFonts w:ascii="Arial" w:eastAsia="Times New Roman" w:hAnsi="Arial" w:cs="Arial"/>
          <w:sz w:val="24"/>
          <w:szCs w:val="24"/>
          <w:lang w:eastAsia="es-ES"/>
        </w:rPr>
        <w:t>metastásica</w:t>
      </w:r>
      <w:proofErr w:type="spellEnd"/>
      <w:r w:rsidRPr="00BF76D6">
        <w:rPr>
          <w:rFonts w:ascii="Arial" w:eastAsia="Times New Roman" w:hAnsi="Arial" w:cs="Arial"/>
          <w:sz w:val="24"/>
          <w:szCs w:val="24"/>
          <w:lang w:eastAsia="es-ES"/>
        </w:rPr>
        <w:t xml:space="preserve"> y una reducción en la mortalidad relacionada. Sin embargo, las tasas de falsos positivos son elevadas y debemos tener en cuenta que la probabilidad de ser diagnosticado de cáncer de próstata es del 18% mientras que la probabilidad de muerte por cáncer de próstata es de sólo el 3%. </w:t>
      </w:r>
      <w:proofErr w:type="gramStart"/>
      <w:r w:rsidRPr="00BF76D6">
        <w:rPr>
          <w:rFonts w:ascii="Arial" w:eastAsia="Times New Roman" w:hAnsi="Arial" w:cs="Arial"/>
          <w:sz w:val="24"/>
          <w:szCs w:val="24"/>
          <w:lang w:eastAsia="es-ES"/>
        </w:rPr>
        <w:t>La</w:t>
      </w:r>
      <w:proofErr w:type="gramEnd"/>
      <w:r w:rsidRPr="00BF76D6">
        <w:rPr>
          <w:rFonts w:ascii="Arial" w:eastAsia="Times New Roman" w:hAnsi="Arial" w:cs="Arial"/>
          <w:sz w:val="24"/>
          <w:szCs w:val="24"/>
          <w:lang w:eastAsia="es-ES"/>
        </w:rPr>
        <w:t xml:space="preserve"> sobre-detección puede dar lugar al </w:t>
      </w:r>
      <w:proofErr w:type="spellStart"/>
      <w:r w:rsidRPr="00BF76D6">
        <w:rPr>
          <w:rFonts w:ascii="Arial" w:eastAsia="Times New Roman" w:hAnsi="Arial" w:cs="Arial"/>
          <w:sz w:val="24"/>
          <w:szCs w:val="24"/>
          <w:lang w:eastAsia="es-ES"/>
        </w:rPr>
        <w:t>sobretratamiento</w:t>
      </w:r>
      <w:proofErr w:type="spellEnd"/>
      <w:r w:rsidRPr="00BF76D6">
        <w:rPr>
          <w:rFonts w:ascii="Arial" w:eastAsia="Times New Roman" w:hAnsi="Arial" w:cs="Arial"/>
          <w:sz w:val="24"/>
          <w:szCs w:val="24"/>
          <w:lang w:eastAsia="es-ES"/>
        </w:rPr>
        <w:t xml:space="preserve">, con sus </w:t>
      </w:r>
      <w:r w:rsidRPr="00BF76D6">
        <w:rPr>
          <w:rFonts w:ascii="Arial" w:eastAsia="Times New Roman" w:hAnsi="Arial" w:cs="Arial"/>
          <w:sz w:val="24"/>
          <w:szCs w:val="24"/>
          <w:lang w:eastAsia="es-ES"/>
        </w:rPr>
        <w:lastRenderedPageBreak/>
        <w:t>implicaciones en coste, efectos secundarios, complicaciones y ansiedad en los pacientes.</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xml:space="preserve">El límite del rango normal establecido para PSA (4.0 </w:t>
      </w:r>
      <w:proofErr w:type="spellStart"/>
      <w:r w:rsidRPr="00BF76D6">
        <w:rPr>
          <w:rFonts w:ascii="Arial" w:eastAsia="Times New Roman" w:hAnsi="Arial" w:cs="Arial"/>
          <w:sz w:val="24"/>
          <w:szCs w:val="24"/>
          <w:lang w:eastAsia="es-ES"/>
        </w:rPr>
        <w:t>ng</w:t>
      </w:r>
      <w:proofErr w:type="spellEnd"/>
      <w:r w:rsidRPr="00BF76D6">
        <w:rPr>
          <w:rFonts w:ascii="Arial" w:eastAsia="Times New Roman" w:hAnsi="Arial" w:cs="Arial"/>
          <w:sz w:val="24"/>
          <w:szCs w:val="24"/>
          <w:lang w:eastAsia="es-ES"/>
        </w:rPr>
        <w:t>/</w:t>
      </w:r>
      <w:proofErr w:type="spellStart"/>
      <w:r w:rsidRPr="00BF76D6">
        <w:rPr>
          <w:rFonts w:ascii="Arial" w:eastAsia="Times New Roman" w:hAnsi="Arial" w:cs="Arial"/>
          <w:sz w:val="24"/>
          <w:szCs w:val="24"/>
          <w:lang w:eastAsia="es-ES"/>
        </w:rPr>
        <w:t>mL</w:t>
      </w:r>
      <w:proofErr w:type="spellEnd"/>
      <w:r w:rsidRPr="00BF76D6">
        <w:rPr>
          <w:rFonts w:ascii="Arial" w:eastAsia="Times New Roman" w:hAnsi="Arial" w:cs="Arial"/>
          <w:sz w:val="24"/>
          <w:szCs w:val="24"/>
          <w:lang w:eastAsia="es-ES"/>
        </w:rPr>
        <w:t>) fue propuesto en 1986, en un estudio con 472 varones sin historial de CP, siendo confirmado en otro estudio posterior y más amplio con 6630 hombres con edades comprendidas entre los 50 y los 74 años.</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xml:space="preserve">A pesar de este valor de </w:t>
      </w:r>
      <w:proofErr w:type="spellStart"/>
      <w:r w:rsidRPr="00BF76D6">
        <w:rPr>
          <w:rFonts w:ascii="Arial" w:eastAsia="Times New Roman" w:hAnsi="Arial" w:cs="Arial"/>
          <w:sz w:val="24"/>
          <w:szCs w:val="24"/>
          <w:lang w:eastAsia="es-ES"/>
        </w:rPr>
        <w:t>referencia,los</w:t>
      </w:r>
      <w:proofErr w:type="spellEnd"/>
      <w:r w:rsidRPr="00BF76D6">
        <w:rPr>
          <w:rFonts w:ascii="Arial" w:eastAsia="Times New Roman" w:hAnsi="Arial" w:cs="Arial"/>
          <w:sz w:val="24"/>
          <w:szCs w:val="24"/>
          <w:lang w:eastAsia="es-ES"/>
        </w:rPr>
        <w:t xml:space="preserve"> datos del Ensayo de Prevención del Cáncer de Próstata - </w:t>
      </w:r>
      <w:proofErr w:type="spellStart"/>
      <w:r w:rsidRPr="00BF76D6">
        <w:rPr>
          <w:rFonts w:ascii="Arial" w:eastAsia="Times New Roman" w:hAnsi="Arial" w:cs="Arial"/>
          <w:sz w:val="24"/>
          <w:szCs w:val="24"/>
          <w:lang w:eastAsia="es-ES"/>
        </w:rPr>
        <w:t>Prostate</w:t>
      </w:r>
      <w:proofErr w:type="spellEnd"/>
      <w:r w:rsidRPr="00BF76D6">
        <w:rPr>
          <w:rFonts w:ascii="Arial" w:eastAsia="Times New Roman" w:hAnsi="Arial" w:cs="Arial"/>
          <w:sz w:val="24"/>
          <w:szCs w:val="24"/>
          <w:lang w:eastAsia="es-ES"/>
        </w:rPr>
        <w:t xml:space="preserve"> </w:t>
      </w:r>
      <w:proofErr w:type="spellStart"/>
      <w:r w:rsidRPr="00BF76D6">
        <w:rPr>
          <w:rFonts w:ascii="Arial" w:eastAsia="Times New Roman" w:hAnsi="Arial" w:cs="Arial"/>
          <w:sz w:val="24"/>
          <w:szCs w:val="24"/>
          <w:lang w:eastAsia="es-ES"/>
        </w:rPr>
        <w:t>Cancer</w:t>
      </w:r>
      <w:proofErr w:type="spellEnd"/>
      <w:r w:rsidRPr="00BF76D6">
        <w:rPr>
          <w:rFonts w:ascii="Arial" w:eastAsia="Times New Roman" w:hAnsi="Arial" w:cs="Arial"/>
          <w:sz w:val="24"/>
          <w:szCs w:val="24"/>
          <w:lang w:eastAsia="es-ES"/>
        </w:rPr>
        <w:t xml:space="preserve"> </w:t>
      </w:r>
      <w:proofErr w:type="spellStart"/>
      <w:r w:rsidRPr="00BF76D6">
        <w:rPr>
          <w:rFonts w:ascii="Arial" w:eastAsia="Times New Roman" w:hAnsi="Arial" w:cs="Arial"/>
          <w:sz w:val="24"/>
          <w:szCs w:val="24"/>
          <w:lang w:eastAsia="es-ES"/>
        </w:rPr>
        <w:t>Prevention</w:t>
      </w:r>
      <w:proofErr w:type="spellEnd"/>
      <w:r w:rsidRPr="00BF76D6">
        <w:rPr>
          <w:rFonts w:ascii="Arial" w:eastAsia="Times New Roman" w:hAnsi="Arial" w:cs="Arial"/>
          <w:sz w:val="24"/>
          <w:szCs w:val="24"/>
          <w:lang w:eastAsia="es-ES"/>
        </w:rPr>
        <w:t xml:space="preserve"> Trial (PCPT) demostraron que hasta un 15% de los hombres con un valor de PSA sérico menor de 4.0 </w:t>
      </w:r>
      <w:proofErr w:type="spellStart"/>
      <w:r w:rsidRPr="00BF76D6">
        <w:rPr>
          <w:rFonts w:ascii="Arial" w:eastAsia="Times New Roman" w:hAnsi="Arial" w:cs="Arial"/>
          <w:sz w:val="24"/>
          <w:szCs w:val="24"/>
          <w:lang w:eastAsia="es-ES"/>
        </w:rPr>
        <w:t>ng</w:t>
      </w:r>
      <w:proofErr w:type="spellEnd"/>
      <w:r w:rsidRPr="00BF76D6">
        <w:rPr>
          <w:rFonts w:ascii="Arial" w:eastAsia="Times New Roman" w:hAnsi="Arial" w:cs="Arial"/>
          <w:sz w:val="24"/>
          <w:szCs w:val="24"/>
          <w:lang w:eastAsia="es-ES"/>
        </w:rPr>
        <w:t>/</w:t>
      </w:r>
      <w:proofErr w:type="spellStart"/>
      <w:r w:rsidRPr="00BF76D6">
        <w:rPr>
          <w:rFonts w:ascii="Arial" w:eastAsia="Times New Roman" w:hAnsi="Arial" w:cs="Arial"/>
          <w:sz w:val="24"/>
          <w:szCs w:val="24"/>
          <w:lang w:eastAsia="es-ES"/>
        </w:rPr>
        <w:t>mL</w:t>
      </w:r>
      <w:proofErr w:type="spellEnd"/>
      <w:r w:rsidRPr="00BF76D6">
        <w:rPr>
          <w:rFonts w:ascii="Arial" w:eastAsia="Times New Roman" w:hAnsi="Arial" w:cs="Arial"/>
          <w:sz w:val="24"/>
          <w:szCs w:val="24"/>
          <w:lang w:eastAsia="es-ES"/>
        </w:rPr>
        <w:t xml:space="preserve"> tienen cáncer y que aproximadamente el 25% de estos hombres pueden tener un tumor potencialmente </w:t>
      </w:r>
      <w:proofErr w:type="spellStart"/>
      <w:r w:rsidRPr="00BF76D6">
        <w:rPr>
          <w:rFonts w:ascii="Arial" w:eastAsia="Times New Roman" w:hAnsi="Arial" w:cs="Arial"/>
          <w:sz w:val="24"/>
          <w:szCs w:val="24"/>
          <w:lang w:eastAsia="es-ES"/>
        </w:rPr>
        <w:t>agresivo.Por</w:t>
      </w:r>
      <w:proofErr w:type="spellEnd"/>
      <w:r w:rsidRPr="00BF76D6">
        <w:rPr>
          <w:rFonts w:ascii="Arial" w:eastAsia="Times New Roman" w:hAnsi="Arial" w:cs="Arial"/>
          <w:sz w:val="24"/>
          <w:szCs w:val="24"/>
          <w:lang w:eastAsia="es-ES"/>
        </w:rPr>
        <w:t xml:space="preserve"> tanto, no hay un único valor de corte de PSA que separe los hombres con un alto riesgo de cáncer de próstata o enfermedad de alto grado de los hombres con riesgo bajo de sufrir la enfermedad. Basándose en estos  y otros datos, la Nacional </w:t>
      </w:r>
      <w:proofErr w:type="spellStart"/>
      <w:r w:rsidRPr="00BF76D6">
        <w:rPr>
          <w:rFonts w:ascii="Arial" w:eastAsia="Times New Roman" w:hAnsi="Arial" w:cs="Arial"/>
          <w:sz w:val="24"/>
          <w:szCs w:val="24"/>
          <w:lang w:eastAsia="es-ES"/>
        </w:rPr>
        <w:t>Comprehensive</w:t>
      </w:r>
      <w:proofErr w:type="spellEnd"/>
      <w:r w:rsidRPr="00BF76D6">
        <w:rPr>
          <w:rFonts w:ascii="Arial" w:eastAsia="Times New Roman" w:hAnsi="Arial" w:cs="Arial"/>
          <w:sz w:val="24"/>
          <w:szCs w:val="24"/>
          <w:lang w:eastAsia="es-ES"/>
        </w:rPr>
        <w:t xml:space="preserve"> </w:t>
      </w:r>
      <w:proofErr w:type="spellStart"/>
      <w:r w:rsidRPr="00BF76D6">
        <w:rPr>
          <w:rFonts w:ascii="Arial" w:eastAsia="Times New Roman" w:hAnsi="Arial" w:cs="Arial"/>
          <w:sz w:val="24"/>
          <w:szCs w:val="24"/>
          <w:lang w:eastAsia="es-ES"/>
        </w:rPr>
        <w:t>Cancer</w:t>
      </w:r>
      <w:proofErr w:type="spellEnd"/>
      <w:r w:rsidRPr="00BF76D6">
        <w:rPr>
          <w:rFonts w:ascii="Arial" w:eastAsia="Times New Roman" w:hAnsi="Arial" w:cs="Arial"/>
          <w:sz w:val="24"/>
          <w:szCs w:val="24"/>
          <w:lang w:eastAsia="es-ES"/>
        </w:rPr>
        <w:t xml:space="preserve"> Network recomendó un valor de corte de 2.5 </w:t>
      </w:r>
      <w:proofErr w:type="spellStart"/>
      <w:r w:rsidRPr="00BF76D6">
        <w:rPr>
          <w:rFonts w:ascii="Arial" w:eastAsia="Times New Roman" w:hAnsi="Arial" w:cs="Arial"/>
          <w:sz w:val="24"/>
          <w:szCs w:val="24"/>
          <w:lang w:eastAsia="es-ES"/>
        </w:rPr>
        <w:t>ng</w:t>
      </w:r>
      <w:proofErr w:type="spellEnd"/>
      <w:r w:rsidRPr="00BF76D6">
        <w:rPr>
          <w:rFonts w:ascii="Arial" w:eastAsia="Times New Roman" w:hAnsi="Arial" w:cs="Arial"/>
          <w:sz w:val="24"/>
          <w:szCs w:val="24"/>
          <w:lang w:eastAsia="es-ES"/>
        </w:rPr>
        <w:t>/</w:t>
      </w:r>
      <w:proofErr w:type="spellStart"/>
      <w:r w:rsidRPr="00BF76D6">
        <w:rPr>
          <w:rFonts w:ascii="Arial" w:eastAsia="Times New Roman" w:hAnsi="Arial" w:cs="Arial"/>
          <w:sz w:val="24"/>
          <w:szCs w:val="24"/>
          <w:lang w:eastAsia="es-ES"/>
        </w:rPr>
        <w:t>mL</w:t>
      </w:r>
      <w:proofErr w:type="spellEnd"/>
      <w:r w:rsidRPr="00BF76D6">
        <w:rPr>
          <w:rFonts w:ascii="Arial" w:eastAsia="Times New Roman" w:hAnsi="Arial" w:cs="Arial"/>
          <w:sz w:val="24"/>
          <w:szCs w:val="24"/>
          <w:lang w:eastAsia="es-ES"/>
        </w:rPr>
        <w:t xml:space="preserve"> en los Estados Unidos. Sin embargo, disminuir el valor de corte puede dar como resultado una gran tasa de biopsias innecesarias así como mayores tasas de falsos positivos. Por tanto, la solución sería integrar el PSA como una variable continua en un modelo predictivo con otras características como la historia natural de la enfermedad y los síntomas relacionados con la calidad de vida para identificar qué pacientes podrían beneficiarse de pruebas adicionales como la biopsia prostática.</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xml:space="preserve">En la actualidad, se pretende aumentar la especificidad de la prueba para excluir a los pacientes sin cáncer y evitar biopsias innecesarias. Con este propósito se están investigando derivaciones de PSA, como la prueba PSA ajustada por edad (PSA se correlaciona de manera lineal con el tamaño prostático y el crecimiento prostático con la edad), la densidad de PSA (tiene en cuenta el volumen de la glándula prostática), la velocidad de PSA (evaluaciones seriadas de la concentración del PSA sérico a lo largo del tiempo), y por último las </w:t>
      </w:r>
      <w:proofErr w:type="spellStart"/>
      <w:r w:rsidRPr="00BF76D6">
        <w:rPr>
          <w:rFonts w:ascii="Arial" w:eastAsia="Times New Roman" w:hAnsi="Arial" w:cs="Arial"/>
          <w:sz w:val="24"/>
          <w:szCs w:val="24"/>
          <w:lang w:eastAsia="es-ES"/>
        </w:rPr>
        <w:t>isoformas</w:t>
      </w:r>
      <w:proofErr w:type="spellEnd"/>
      <w:r w:rsidRPr="00BF76D6">
        <w:rPr>
          <w:rFonts w:ascii="Arial" w:eastAsia="Times New Roman" w:hAnsi="Arial" w:cs="Arial"/>
          <w:sz w:val="24"/>
          <w:szCs w:val="24"/>
          <w:lang w:eastAsia="es-ES"/>
        </w:rPr>
        <w:t xml:space="preserve"> moleculares de PSA (libres o sin unión a proteínas, y complejas o unidas a inhibidores de proteasas).</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xml:space="preserve">En la enfermedad avanzada, tanto en la enfermedad </w:t>
      </w:r>
      <w:proofErr w:type="spellStart"/>
      <w:r w:rsidRPr="00BF76D6">
        <w:rPr>
          <w:rFonts w:ascii="Arial" w:eastAsia="Times New Roman" w:hAnsi="Arial" w:cs="Arial"/>
          <w:sz w:val="24"/>
          <w:szCs w:val="24"/>
          <w:lang w:eastAsia="es-ES"/>
        </w:rPr>
        <w:t>hormonosensible</w:t>
      </w:r>
      <w:proofErr w:type="spellEnd"/>
      <w:r w:rsidRPr="00BF76D6">
        <w:rPr>
          <w:rFonts w:ascii="Arial" w:eastAsia="Times New Roman" w:hAnsi="Arial" w:cs="Arial"/>
          <w:sz w:val="24"/>
          <w:szCs w:val="24"/>
          <w:lang w:eastAsia="es-ES"/>
        </w:rPr>
        <w:t xml:space="preserve"> como en la </w:t>
      </w:r>
      <w:proofErr w:type="spellStart"/>
      <w:r w:rsidRPr="00BF76D6">
        <w:rPr>
          <w:rFonts w:ascii="Arial" w:eastAsia="Times New Roman" w:hAnsi="Arial" w:cs="Arial"/>
          <w:sz w:val="24"/>
          <w:szCs w:val="24"/>
          <w:lang w:eastAsia="es-ES"/>
        </w:rPr>
        <w:t>hormonorresistente</w:t>
      </w:r>
      <w:proofErr w:type="spellEnd"/>
      <w:r w:rsidRPr="00BF76D6">
        <w:rPr>
          <w:rFonts w:ascii="Arial" w:eastAsia="Times New Roman" w:hAnsi="Arial" w:cs="Arial"/>
          <w:sz w:val="24"/>
          <w:szCs w:val="24"/>
          <w:lang w:eastAsia="es-ES"/>
        </w:rPr>
        <w:t>, el valor sérico del PSA se emplea para la valoración de la efectividad del tratamiento.</w:t>
      </w:r>
      <w:r w:rsidR="00BF76D6">
        <w:rPr>
          <w:rFonts w:ascii="Arial" w:eastAsia="Times New Roman" w:hAnsi="Arial" w:cs="Arial"/>
          <w:sz w:val="24"/>
          <w:szCs w:val="24"/>
          <w:lang w:eastAsia="es-ES"/>
        </w:rPr>
        <w:tab/>
      </w:r>
      <w:r w:rsidRPr="00BF76D6">
        <w:rPr>
          <w:rFonts w:ascii="Arial" w:eastAsia="Times New Roman" w:hAnsi="Arial" w:cs="Arial"/>
          <w:sz w:val="24"/>
          <w:szCs w:val="24"/>
          <w:lang w:eastAsia="es-ES"/>
        </w:rPr>
        <w:br/>
        <w:t> </w:t>
      </w:r>
      <w:r w:rsidRPr="00BF76D6">
        <w:rPr>
          <w:rFonts w:ascii="Arial" w:eastAsia="Times New Roman" w:hAnsi="Arial" w:cs="Arial"/>
          <w:sz w:val="24"/>
          <w:szCs w:val="24"/>
          <w:lang w:eastAsia="es-ES"/>
        </w:rPr>
        <w:br/>
        <w:t xml:space="preserve">No obstante, los nuevos agentes que se han introducido recientemente en el campo de la Oncología, pueden dar lugar a reacciones paradójicas de elevación </w:t>
      </w:r>
      <w:r w:rsidRPr="00BF76D6">
        <w:rPr>
          <w:rFonts w:ascii="Arial" w:eastAsia="Times New Roman" w:hAnsi="Arial" w:cs="Arial"/>
          <w:sz w:val="24"/>
          <w:szCs w:val="24"/>
          <w:lang w:eastAsia="es-ES"/>
        </w:rPr>
        <w:lastRenderedPageBreak/>
        <w:t>de PSA sérico a pesar de una mejora en la sintomatología y una prolongación del tiempo hasta la progresión tumoral.</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xml:space="preserve">Desde el punto de vista práctico, el PSA, a día de hoy, sigue siendo el marcador tumoral más aceptado para el diagnóstico precoz, seguimiento y evaluación del tratamiento en el cáncer de próstata. Debe realizarse de manera rutinaria y con frecuencia anual en varones mayores de 40-50 años así como en los pacientes con sintomatología </w:t>
      </w:r>
      <w:proofErr w:type="spellStart"/>
      <w:r w:rsidRPr="00BF76D6">
        <w:rPr>
          <w:rFonts w:ascii="Arial" w:eastAsia="Times New Roman" w:hAnsi="Arial" w:cs="Arial"/>
          <w:sz w:val="24"/>
          <w:szCs w:val="24"/>
          <w:lang w:eastAsia="es-ES"/>
        </w:rPr>
        <w:t>miccional</w:t>
      </w:r>
      <w:proofErr w:type="spellEnd"/>
      <w:r w:rsidRPr="00BF76D6">
        <w:rPr>
          <w:rFonts w:ascii="Arial" w:eastAsia="Times New Roman" w:hAnsi="Arial" w:cs="Arial"/>
          <w:sz w:val="24"/>
          <w:szCs w:val="24"/>
          <w:lang w:eastAsia="es-ES"/>
        </w:rPr>
        <w:t xml:space="preserve"> y siempre teniendo en cuenta que su valor puede verse alterado por otros procesos biológicos benignos.</w:t>
      </w:r>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w:t>
      </w:r>
      <w:hyperlink r:id="rId6" w:history="1">
        <w:r w:rsidRPr="00BF76D6">
          <w:rPr>
            <w:rStyle w:val="Hipervnculo"/>
            <w:rFonts w:ascii="Arial" w:eastAsia="Times New Roman" w:hAnsi="Arial" w:cs="Arial"/>
            <w:color w:val="auto"/>
            <w:sz w:val="24"/>
            <w:szCs w:val="24"/>
            <w:lang w:eastAsia="es-ES"/>
          </w:rPr>
          <w:t>http://oncologiapractica.com/Pacientes/MarcadoresTumorales/tabid/59/language/es-ES/Default.aspx</w:t>
        </w:r>
      </w:hyperlink>
    </w:p>
    <w:p w:rsidR="006D1047" w:rsidRPr="00BF76D6" w:rsidRDefault="006D1047" w:rsidP="00BF76D6">
      <w:pPr>
        <w:spacing w:before="100" w:beforeAutospacing="1" w:after="100" w:afterAutospacing="1"/>
        <w:jc w:val="both"/>
        <w:rPr>
          <w:rFonts w:ascii="Arial" w:eastAsia="Times New Roman" w:hAnsi="Arial" w:cs="Arial"/>
          <w:sz w:val="24"/>
          <w:szCs w:val="24"/>
          <w:lang w:eastAsia="es-ES"/>
        </w:rPr>
      </w:pPr>
      <w:r w:rsidRPr="00BF76D6">
        <w:rPr>
          <w:rFonts w:ascii="Arial" w:eastAsia="Times New Roman" w:hAnsi="Arial" w:cs="Arial"/>
          <w:sz w:val="24"/>
          <w:szCs w:val="24"/>
          <w:lang w:eastAsia="es-ES"/>
        </w:rPr>
        <w:t> </w:t>
      </w:r>
    </w:p>
    <w:p w:rsidR="00732FAA" w:rsidRPr="00BF76D6" w:rsidRDefault="00732FAA" w:rsidP="00BF76D6">
      <w:pPr>
        <w:jc w:val="both"/>
        <w:rPr>
          <w:rFonts w:ascii="Arial" w:hAnsi="Arial" w:cs="Arial"/>
          <w:sz w:val="24"/>
          <w:szCs w:val="24"/>
        </w:rPr>
      </w:pPr>
    </w:p>
    <w:sectPr w:rsidR="00732FAA" w:rsidRPr="00BF76D6" w:rsidSect="00BF76D6">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137FA3"/>
    <w:multiLevelType w:val="hybridMultilevel"/>
    <w:tmpl w:val="6C98880A"/>
    <w:lvl w:ilvl="0" w:tplc="8E9A3256">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nsid w:val="3F2A5FF9"/>
    <w:multiLevelType w:val="hybridMultilevel"/>
    <w:tmpl w:val="372AA192"/>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35"/>
  <w:proofState w:spelling="clean" w:grammar="clean"/>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1047"/>
    <w:rsid w:val="00130589"/>
    <w:rsid w:val="006D1047"/>
    <w:rsid w:val="00732FAA"/>
    <w:rsid w:val="00BF76D6"/>
    <w:rsid w:val="00F876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PE" w:eastAsia="es-P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azul">
    <w:name w:val="tituloazul"/>
    <w:basedOn w:val="Fuentedeprrafopredeter"/>
    <w:rsid w:val="006D1047"/>
  </w:style>
  <w:style w:type="character" w:customStyle="1" w:styleId="Normal1">
    <w:name w:val="Normal1"/>
    <w:basedOn w:val="Fuentedeprrafopredeter"/>
    <w:rsid w:val="006D1047"/>
  </w:style>
  <w:style w:type="paragraph" w:styleId="NormalWeb">
    <w:name w:val="Normal (Web)"/>
    <w:basedOn w:val="Normal"/>
    <w:uiPriority w:val="99"/>
    <w:unhideWhenUsed/>
    <w:rsid w:val="006D104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6D1047"/>
    <w:rPr>
      <w:b/>
      <w:bCs/>
    </w:rPr>
  </w:style>
  <w:style w:type="character" w:styleId="Hipervnculo">
    <w:name w:val="Hyperlink"/>
    <w:basedOn w:val="Fuentedeprrafopredeter"/>
    <w:uiPriority w:val="99"/>
    <w:unhideWhenUsed/>
    <w:rsid w:val="006D1047"/>
    <w:rPr>
      <w:color w:val="0000FF" w:themeColor="hyperlink"/>
      <w:u w:val="single"/>
    </w:rPr>
  </w:style>
  <w:style w:type="paragraph" w:styleId="Prrafodelista">
    <w:name w:val="List Paragraph"/>
    <w:basedOn w:val="Normal"/>
    <w:uiPriority w:val="34"/>
    <w:qFormat/>
    <w:rsid w:val="00BF76D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PE" w:eastAsia="es-P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azul">
    <w:name w:val="tituloazul"/>
    <w:basedOn w:val="Fuentedeprrafopredeter"/>
    <w:rsid w:val="006D1047"/>
  </w:style>
  <w:style w:type="character" w:customStyle="1" w:styleId="Normal1">
    <w:name w:val="Normal1"/>
    <w:basedOn w:val="Fuentedeprrafopredeter"/>
    <w:rsid w:val="006D1047"/>
  </w:style>
  <w:style w:type="paragraph" w:styleId="NormalWeb">
    <w:name w:val="Normal (Web)"/>
    <w:basedOn w:val="Normal"/>
    <w:uiPriority w:val="99"/>
    <w:unhideWhenUsed/>
    <w:rsid w:val="006D104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6D1047"/>
    <w:rPr>
      <w:b/>
      <w:bCs/>
    </w:rPr>
  </w:style>
  <w:style w:type="character" w:styleId="Hipervnculo">
    <w:name w:val="Hyperlink"/>
    <w:basedOn w:val="Fuentedeprrafopredeter"/>
    <w:uiPriority w:val="99"/>
    <w:unhideWhenUsed/>
    <w:rsid w:val="006D1047"/>
    <w:rPr>
      <w:color w:val="0000FF" w:themeColor="hyperlink"/>
      <w:u w:val="single"/>
    </w:rPr>
  </w:style>
  <w:style w:type="paragraph" w:styleId="Prrafodelista">
    <w:name w:val="List Paragraph"/>
    <w:basedOn w:val="Normal"/>
    <w:uiPriority w:val="34"/>
    <w:qFormat/>
    <w:rsid w:val="00BF76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0126214">
      <w:bodyDiv w:val="1"/>
      <w:marLeft w:val="0"/>
      <w:marRight w:val="0"/>
      <w:marTop w:val="0"/>
      <w:marBottom w:val="0"/>
      <w:divBdr>
        <w:top w:val="none" w:sz="0" w:space="0" w:color="auto"/>
        <w:left w:val="none" w:sz="0" w:space="0" w:color="auto"/>
        <w:bottom w:val="none" w:sz="0" w:space="0" w:color="auto"/>
        <w:right w:val="none" w:sz="0" w:space="0" w:color="auto"/>
      </w:divBdr>
      <w:divsChild>
        <w:div w:id="1252813874">
          <w:marLeft w:val="0"/>
          <w:marRight w:val="0"/>
          <w:marTop w:val="0"/>
          <w:marBottom w:val="0"/>
          <w:divBdr>
            <w:top w:val="none" w:sz="0" w:space="0" w:color="auto"/>
            <w:left w:val="none" w:sz="0" w:space="0" w:color="auto"/>
            <w:bottom w:val="none" w:sz="0" w:space="0" w:color="auto"/>
            <w:right w:val="none" w:sz="0" w:space="0" w:color="auto"/>
          </w:divBdr>
        </w:div>
        <w:div w:id="313145373">
          <w:marLeft w:val="0"/>
          <w:marRight w:val="0"/>
          <w:marTop w:val="0"/>
          <w:marBottom w:val="0"/>
          <w:divBdr>
            <w:top w:val="none" w:sz="0" w:space="0" w:color="auto"/>
            <w:left w:val="none" w:sz="0" w:space="0" w:color="auto"/>
            <w:bottom w:val="none" w:sz="0" w:space="0" w:color="auto"/>
            <w:right w:val="none" w:sz="0" w:space="0" w:color="auto"/>
          </w:divBdr>
          <w:divsChild>
            <w:div w:id="1666200386">
              <w:marLeft w:val="0"/>
              <w:marRight w:val="0"/>
              <w:marTop w:val="0"/>
              <w:marBottom w:val="0"/>
              <w:divBdr>
                <w:top w:val="none" w:sz="0" w:space="0" w:color="auto"/>
                <w:left w:val="none" w:sz="0" w:space="0" w:color="auto"/>
                <w:bottom w:val="none" w:sz="0" w:space="0" w:color="auto"/>
                <w:right w:val="none" w:sz="0" w:space="0" w:color="auto"/>
              </w:divBdr>
              <w:divsChild>
                <w:div w:id="135476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oncologiapractica.com/Pacientes/MarcadoresTumorales/tabid/59/language/es-ES/Default.asp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3032</Words>
  <Characters>16678</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Windows XP Titan Ultimate Edition</Company>
  <LinksUpToDate>false</LinksUpToDate>
  <CharactersWithSpaces>19671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pc04</dc:creator>
  <cp:lastModifiedBy>LILI</cp:lastModifiedBy>
  <cp:revision>2</cp:revision>
  <cp:lastPrinted>2014-08-07T19:10:00Z</cp:lastPrinted>
  <dcterms:created xsi:type="dcterms:W3CDTF">2014-08-08T22:08:00Z</dcterms:created>
  <dcterms:modified xsi:type="dcterms:W3CDTF">2014-08-08T22:08:00Z</dcterms:modified>
</cp:coreProperties>
</file>