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2A3D" w:rsidRDefault="002C2A3D" w:rsidP="002C2A3D">
      <w:pPr>
        <w:pStyle w:val="NormalWeb"/>
        <w:jc w:val="left"/>
        <w:rPr>
          <w:sz w:val="18"/>
          <w:szCs w:val="18"/>
        </w:rPr>
      </w:pPr>
      <w:r>
        <w:rPr>
          <w:rStyle w:val="rojo"/>
          <w:sz w:val="18"/>
          <w:szCs w:val="18"/>
        </w:rPr>
        <w:t>Periodo de inducción</w:t>
      </w:r>
      <w:r>
        <w:rPr>
          <w:sz w:val="18"/>
          <w:szCs w:val="18"/>
        </w:rPr>
        <w:br/>
        <w:t>Comenzaría con las condiciones socioeconómicas que pueden llevar junto con las condiciones climáticas a la aparición de recipientes de agua que pueden ser usados como criaderos por el vector.</w:t>
      </w:r>
      <w:r>
        <w:rPr>
          <w:sz w:val="18"/>
          <w:szCs w:val="18"/>
        </w:rPr>
        <w:br/>
        <w:t xml:space="preserve">La duración de este periodo es indeterminada. Si las condiciones socioeconómicas se </w:t>
      </w:r>
      <w:proofErr w:type="spellStart"/>
      <w:r>
        <w:rPr>
          <w:sz w:val="18"/>
          <w:szCs w:val="18"/>
        </w:rPr>
        <w:t>cronifican</w:t>
      </w:r>
      <w:proofErr w:type="spellEnd"/>
      <w:r>
        <w:rPr>
          <w:sz w:val="18"/>
          <w:szCs w:val="18"/>
        </w:rPr>
        <w:t xml:space="preserve"> y entramos en una situación donde la prevalencia del factor socioeconómico pierde peso aparente y el periodo de inducción dependerá fundamentalmente de la pluviometría. </w:t>
      </w:r>
      <w:r>
        <w:rPr>
          <w:sz w:val="18"/>
          <w:szCs w:val="18"/>
        </w:rPr>
        <w:br/>
        <w:t xml:space="preserve">En otras situaciones como desastres naturales, podría considerarse el inicio de este periodo el fin del paso del </w:t>
      </w:r>
      <w:proofErr w:type="spellStart"/>
      <w:r>
        <w:rPr>
          <w:sz w:val="18"/>
          <w:szCs w:val="18"/>
        </w:rPr>
        <w:t>huracan</w:t>
      </w:r>
      <w:proofErr w:type="spellEnd"/>
      <w:r>
        <w:rPr>
          <w:sz w:val="18"/>
          <w:szCs w:val="18"/>
        </w:rPr>
        <w:t xml:space="preserve"> o el fin del terremoto, momento que empiezan a incubarse las demás circunstancias.</w:t>
      </w:r>
      <w:r>
        <w:rPr>
          <w:sz w:val="18"/>
          <w:szCs w:val="18"/>
        </w:rPr>
        <w:br/>
        <w:t>En este momento la enfermedad es indetectable.</w:t>
      </w:r>
      <w:r>
        <w:rPr>
          <w:sz w:val="18"/>
          <w:szCs w:val="18"/>
        </w:rPr>
        <w:br/>
      </w:r>
      <w:r>
        <w:rPr>
          <w:rStyle w:val="rojo"/>
          <w:sz w:val="18"/>
          <w:szCs w:val="18"/>
        </w:rPr>
        <w:t>La latencia</w:t>
      </w:r>
      <w:r>
        <w:rPr>
          <w:sz w:val="18"/>
          <w:szCs w:val="18"/>
        </w:rPr>
        <w:t xml:space="preserve"> es de 2 a 7 días hasta la expresión de los </w:t>
      </w:r>
      <w:proofErr w:type="spellStart"/>
      <w:r>
        <w:rPr>
          <w:sz w:val="18"/>
          <w:szCs w:val="18"/>
        </w:rPr>
        <w:t>sígnos</w:t>
      </w:r>
      <w:proofErr w:type="spellEnd"/>
      <w:r>
        <w:rPr>
          <w:sz w:val="18"/>
          <w:szCs w:val="18"/>
        </w:rPr>
        <w:t xml:space="preserve"> y síntomas.</w:t>
      </w:r>
      <w:r>
        <w:rPr>
          <w:sz w:val="18"/>
          <w:szCs w:val="18"/>
        </w:rPr>
        <w:br/>
        <w:t xml:space="preserve">La suma de ambos sería el periodo de </w:t>
      </w:r>
      <w:r>
        <w:rPr>
          <w:rStyle w:val="rojo"/>
          <w:sz w:val="18"/>
          <w:szCs w:val="18"/>
        </w:rPr>
        <w:t>periodo de incubación o inducción empírico</w:t>
      </w:r>
      <w:r>
        <w:rPr>
          <w:sz w:val="18"/>
          <w:szCs w:val="18"/>
        </w:rPr>
        <w:t>. Este periodo tendrá una longitud diferente según la causa componente que estemos estudiando.</w:t>
      </w:r>
      <w:r>
        <w:rPr>
          <w:sz w:val="18"/>
          <w:szCs w:val="18"/>
        </w:rPr>
        <w:br/>
      </w:r>
      <w:r>
        <w:rPr>
          <w:rStyle w:val="rojo"/>
          <w:sz w:val="18"/>
          <w:szCs w:val="18"/>
        </w:rPr>
        <w:t>Período de expresión o clínico</w:t>
      </w:r>
      <w:r>
        <w:rPr>
          <w:sz w:val="18"/>
          <w:szCs w:val="18"/>
        </w:rPr>
        <w:t xml:space="preserve"> va desde el inicio de los signos y síntomas hasta el desenlace. Su duración dependerá de la tecnología médica que se utilice y la vigilancia médica que se realice. En este caso de trata de un periodo agudo </w:t>
      </w:r>
      <w:proofErr w:type="gramStart"/>
      <w:r>
        <w:rPr>
          <w:sz w:val="18"/>
          <w:szCs w:val="18"/>
        </w:rPr>
        <w:t>corto</w:t>
      </w:r>
      <w:proofErr w:type="gramEnd"/>
      <w:r>
        <w:rPr>
          <w:sz w:val="18"/>
          <w:szCs w:val="18"/>
        </w:rPr>
        <w:t xml:space="preserve">. </w:t>
      </w:r>
    </w:p>
    <w:p w:rsidR="002C2A3D" w:rsidRDefault="002C2A3D" w:rsidP="002C2A3D">
      <w:pPr>
        <w:pStyle w:val="NormalWeb"/>
        <w:jc w:val="left"/>
        <w:rPr>
          <w:sz w:val="18"/>
          <w:szCs w:val="18"/>
        </w:rPr>
      </w:pPr>
      <w:r>
        <w:rPr>
          <w:rStyle w:val="rojo"/>
          <w:sz w:val="18"/>
          <w:szCs w:val="18"/>
        </w:rPr>
        <w:t>Prevención primaria</w:t>
      </w:r>
      <w:r>
        <w:rPr>
          <w:sz w:val="18"/>
          <w:szCs w:val="18"/>
        </w:rPr>
        <w:br/>
        <w:t>Actúa sobre el periodo de inducción. Aquí entran medidas desde la colaboración internacional para ayudar a mejorar la situación socioeconómica, pasando por proyectos concretos de mejora de las instalaciones de abastecimiento y saneamiento de aguas, hasta actividades de formación de la población expuesta en la adopción de medidas como mosquiteros, repelentes, insecticidas y manejo del agua del hogar.</w:t>
      </w:r>
      <w:r>
        <w:rPr>
          <w:sz w:val="18"/>
          <w:szCs w:val="18"/>
        </w:rPr>
        <w:br/>
      </w:r>
      <w:r>
        <w:rPr>
          <w:rStyle w:val="rojo"/>
          <w:sz w:val="18"/>
          <w:szCs w:val="18"/>
        </w:rPr>
        <w:t>Prevención secundaria</w:t>
      </w:r>
      <w:r>
        <w:rPr>
          <w:sz w:val="18"/>
          <w:szCs w:val="18"/>
        </w:rPr>
        <w:br/>
        <w:t>Va encaminada, en periodo de latencia, al diagnóstico precoz y tratamiento. En nuestro caso se puede llevar a cabo sobre las personas cercanas a casos reportados.</w:t>
      </w:r>
      <w:r>
        <w:rPr>
          <w:sz w:val="18"/>
          <w:szCs w:val="18"/>
        </w:rPr>
        <w:br/>
      </w:r>
      <w:r>
        <w:rPr>
          <w:rStyle w:val="rojo"/>
          <w:sz w:val="18"/>
          <w:szCs w:val="18"/>
        </w:rPr>
        <w:t>Prevención terciaria</w:t>
      </w:r>
      <w:r>
        <w:rPr>
          <w:sz w:val="18"/>
          <w:szCs w:val="18"/>
        </w:rPr>
        <w:br/>
        <w:t xml:space="preserve">Es el tratamiento de la enfermedad, sintomático, intentando evitar el peor desenlace. </w:t>
      </w:r>
    </w:p>
    <w:p w:rsidR="002C2A3D" w:rsidRPr="002C2A3D" w:rsidRDefault="002C2A3D" w:rsidP="002C2A3D">
      <w:pPr>
        <w:pBdr>
          <w:top w:val="threeDEngrave" w:sz="6" w:space="2" w:color="FFF0F5"/>
          <w:left w:val="threeDEngrave" w:sz="6" w:space="4" w:color="FFF0F5"/>
          <w:bottom w:val="threeDEngrave" w:sz="6" w:space="2" w:color="FFF0F5"/>
          <w:right w:val="threeDEngrave" w:sz="6" w:space="4" w:color="FFF0F5"/>
        </w:pBdr>
        <w:shd w:val="clear" w:color="auto" w:fill="E9E9C1"/>
        <w:spacing w:after="0" w:line="240" w:lineRule="auto"/>
        <w:jc w:val="both"/>
        <w:rPr>
          <w:rFonts w:ascii="Comic Sans MS" w:eastAsia="Times New Roman" w:hAnsi="Comic Sans MS" w:cs="Times New Roman"/>
          <w:color w:val="00008B"/>
          <w:sz w:val="18"/>
          <w:szCs w:val="18"/>
          <w:lang w:eastAsia="es-ES"/>
        </w:rPr>
      </w:pPr>
      <w:r w:rsidRPr="002C2A3D">
        <w:rPr>
          <w:rFonts w:ascii="Comic Sans MS" w:eastAsia="Times New Roman" w:hAnsi="Comic Sans MS" w:cs="Times New Roman"/>
          <w:color w:val="00008B"/>
          <w:sz w:val="18"/>
          <w:lang w:eastAsia="es-ES"/>
        </w:rPr>
        <w:t>Hipótesis conceptuales</w:t>
      </w:r>
      <w:r w:rsidRPr="002C2A3D">
        <w:rPr>
          <w:rFonts w:ascii="Comic Sans MS" w:eastAsia="Times New Roman" w:hAnsi="Comic Sans MS" w:cs="Times New Roman"/>
          <w:color w:val="00008B"/>
          <w:sz w:val="18"/>
          <w:szCs w:val="18"/>
          <w:lang w:eastAsia="es-ES"/>
        </w:rPr>
        <w:br/>
        <w:t xml:space="preserve">1 </w:t>
      </w:r>
      <w:r w:rsidRPr="002C2A3D">
        <w:rPr>
          <w:rFonts w:ascii="Comic Sans MS" w:eastAsia="Times New Roman" w:hAnsi="Comic Sans MS" w:cs="Times New Roman"/>
          <w:i/>
          <w:iCs/>
          <w:color w:val="00008B"/>
          <w:sz w:val="18"/>
          <w:lang w:eastAsia="es-ES"/>
        </w:rPr>
        <w:t>"Si la situación socioeconómica de un país es ruinosa, entonces habrá más casos de Dengue"</w:t>
      </w:r>
      <w:r w:rsidRPr="002C2A3D">
        <w:rPr>
          <w:rFonts w:ascii="Comic Sans MS" w:eastAsia="Times New Roman" w:hAnsi="Comic Sans MS" w:cs="Times New Roman"/>
          <w:color w:val="00008B"/>
          <w:sz w:val="18"/>
          <w:szCs w:val="18"/>
          <w:lang w:eastAsia="es-ES"/>
        </w:rPr>
        <w:br/>
        <w:t>Esta hipótesis se ha generado a partir de la observación de la variabilidad espacio en los países donde está presente esta enfermedad. A partir de este conjunto de observaciones hemos hecho esta generalización. En un razonamiento inductivo porque, aunque las premisas sean verdaderas la conclusión puede ser falsa. El que hayamos observado lo antes descrito un número finito de veces (por muy grande que sea el número de observaciones), no quiere decir que en cualquier parte del mundo donde esté presente la enfermedad esta variabilidad se cumpla.</w:t>
      </w:r>
      <w:r w:rsidRPr="002C2A3D">
        <w:rPr>
          <w:rFonts w:ascii="Comic Sans MS" w:eastAsia="Times New Roman" w:hAnsi="Comic Sans MS" w:cs="Times New Roman"/>
          <w:color w:val="00008B"/>
          <w:sz w:val="18"/>
          <w:szCs w:val="18"/>
          <w:lang w:eastAsia="es-ES"/>
        </w:rPr>
        <w:br/>
      </w:r>
      <w:r w:rsidRPr="002C2A3D">
        <w:rPr>
          <w:rFonts w:ascii="Comic Sans MS" w:eastAsia="Times New Roman" w:hAnsi="Comic Sans MS" w:cs="Times New Roman"/>
          <w:color w:val="00008B"/>
          <w:sz w:val="18"/>
          <w:szCs w:val="18"/>
          <w:lang w:eastAsia="es-ES"/>
        </w:rPr>
        <w:br/>
        <w:t xml:space="preserve">2 </w:t>
      </w:r>
      <w:r w:rsidRPr="002C2A3D">
        <w:rPr>
          <w:rFonts w:ascii="Comic Sans MS" w:eastAsia="Times New Roman" w:hAnsi="Comic Sans MS" w:cs="Times New Roman"/>
          <w:i/>
          <w:iCs/>
          <w:color w:val="00008B"/>
          <w:sz w:val="18"/>
          <w:lang w:eastAsia="es-ES"/>
        </w:rPr>
        <w:t>"El empleo de telas mosquiteras en las ventanas reduce la transmisión del dengue".</w:t>
      </w:r>
      <w:r w:rsidRPr="002C2A3D">
        <w:rPr>
          <w:rFonts w:ascii="Comic Sans MS" w:eastAsia="Times New Roman" w:hAnsi="Comic Sans MS" w:cs="Times New Roman"/>
          <w:color w:val="00008B"/>
          <w:sz w:val="18"/>
          <w:szCs w:val="18"/>
          <w:lang w:eastAsia="es-ES"/>
        </w:rPr>
        <w:br/>
        <w:t>Esta hipótesis se ha generado a partir de la observación de que en muchos países donde se ha implementado esta medida de control se ha conseguido reducir la transmisión. De nuevo una generalización. El que se haya observado en varios países no quiere decir que este mismo efecto lo vayamos a encontrar en cualquier país endémico para el dengue o que esta reducción se deba exclusivamente a la introducción de dicha medida de control.</w:t>
      </w:r>
      <w:r w:rsidRPr="002C2A3D">
        <w:rPr>
          <w:rFonts w:ascii="Comic Sans MS" w:eastAsia="Times New Roman" w:hAnsi="Comic Sans MS" w:cs="Times New Roman"/>
          <w:color w:val="00008B"/>
          <w:sz w:val="18"/>
          <w:szCs w:val="18"/>
          <w:lang w:eastAsia="es-ES"/>
        </w:rPr>
        <w:br/>
      </w:r>
      <w:r w:rsidRPr="002C2A3D">
        <w:rPr>
          <w:rFonts w:ascii="Comic Sans MS" w:eastAsia="Times New Roman" w:hAnsi="Comic Sans MS" w:cs="Times New Roman"/>
          <w:color w:val="00008B"/>
          <w:sz w:val="18"/>
          <w:szCs w:val="18"/>
          <w:lang w:eastAsia="es-ES"/>
        </w:rPr>
        <w:br/>
        <w:t xml:space="preserve">Ambas hipótesis son </w:t>
      </w:r>
      <w:proofErr w:type="spellStart"/>
      <w:r w:rsidRPr="002C2A3D">
        <w:rPr>
          <w:rFonts w:ascii="Comic Sans MS" w:eastAsia="Times New Roman" w:hAnsi="Comic Sans MS" w:cs="Times New Roman"/>
          <w:color w:val="00008B"/>
          <w:sz w:val="18"/>
          <w:szCs w:val="18"/>
          <w:lang w:eastAsia="es-ES"/>
        </w:rPr>
        <w:t>falsables</w:t>
      </w:r>
      <w:proofErr w:type="spellEnd"/>
      <w:r w:rsidRPr="002C2A3D">
        <w:rPr>
          <w:rFonts w:ascii="Comic Sans MS" w:eastAsia="Times New Roman" w:hAnsi="Comic Sans MS" w:cs="Times New Roman"/>
          <w:color w:val="00008B"/>
          <w:sz w:val="18"/>
          <w:szCs w:val="18"/>
          <w:lang w:eastAsia="es-ES"/>
        </w:rPr>
        <w:t xml:space="preserve"> desde el punto de vista </w:t>
      </w:r>
      <w:proofErr w:type="spellStart"/>
      <w:r w:rsidRPr="002C2A3D">
        <w:rPr>
          <w:rFonts w:ascii="Comic Sans MS" w:eastAsia="Times New Roman" w:hAnsi="Comic Sans MS" w:cs="Times New Roman"/>
          <w:color w:val="00008B"/>
          <w:sz w:val="18"/>
          <w:szCs w:val="18"/>
          <w:lang w:eastAsia="es-ES"/>
        </w:rPr>
        <w:t>poperiano</w:t>
      </w:r>
      <w:proofErr w:type="spellEnd"/>
      <w:r w:rsidRPr="002C2A3D">
        <w:rPr>
          <w:rFonts w:ascii="Comic Sans MS" w:eastAsia="Times New Roman" w:hAnsi="Comic Sans MS" w:cs="Times New Roman"/>
          <w:color w:val="00008B"/>
          <w:sz w:val="18"/>
          <w:szCs w:val="18"/>
          <w:lang w:eastAsia="es-ES"/>
        </w:rPr>
        <w:t xml:space="preserve">. La primera hipótesis no se confirma en los casos registrados en Texas, no se daba la situación ruinosa. En el segundo caso, hay muchas otras oportunidades de que el mosquito transmita la enfermedad sin ser en el interior del hogar, así que observaríamos casos de la enfermedad a pesar del uso de mosquiteros. </w:t>
      </w:r>
    </w:p>
    <w:p w:rsidR="002C2A3D" w:rsidRPr="002C2A3D" w:rsidRDefault="002C2A3D" w:rsidP="002C2A3D">
      <w:pPr>
        <w:spacing w:after="0" w:line="240" w:lineRule="auto"/>
        <w:jc w:val="center"/>
        <w:rPr>
          <w:rFonts w:ascii="Times New Roman" w:eastAsia="Times New Roman" w:hAnsi="Times New Roman" w:cs="Times New Roman"/>
          <w:color w:val="000000"/>
          <w:sz w:val="24"/>
          <w:szCs w:val="24"/>
          <w:lang w:eastAsia="es-ES"/>
        </w:rPr>
      </w:pPr>
      <w:r w:rsidRPr="002C2A3D">
        <w:rPr>
          <w:rFonts w:ascii="Times New Roman" w:eastAsia="Times New Roman" w:hAnsi="Times New Roman" w:cs="Times New Roman"/>
          <w:color w:val="000000"/>
          <w:sz w:val="24"/>
          <w:szCs w:val="24"/>
          <w:lang w:eastAsia="es-ES"/>
        </w:rPr>
        <w:br/>
      </w:r>
      <w:r w:rsidRPr="002C2A3D">
        <w:rPr>
          <w:rFonts w:ascii="Times New Roman" w:eastAsia="Times New Roman" w:hAnsi="Times New Roman" w:cs="Times New Roman"/>
          <w:color w:val="000000"/>
          <w:sz w:val="24"/>
          <w:szCs w:val="24"/>
          <w:lang w:eastAsia="es-ES"/>
        </w:rPr>
        <w:br/>
      </w:r>
    </w:p>
    <w:p w:rsidR="002C2A3D" w:rsidRPr="002C2A3D" w:rsidRDefault="002C2A3D" w:rsidP="002C2A3D">
      <w:pPr>
        <w:pBdr>
          <w:top w:val="threeDEngrave" w:sz="6" w:space="2" w:color="FFF0F5"/>
          <w:left w:val="threeDEngrave" w:sz="6" w:space="4" w:color="FFF0F5"/>
          <w:bottom w:val="threeDEngrave" w:sz="6" w:space="2" w:color="FFF0F5"/>
          <w:right w:val="threeDEngrave" w:sz="6" w:space="4" w:color="FFF0F5"/>
        </w:pBdr>
        <w:shd w:val="clear" w:color="auto" w:fill="E9E9C1"/>
        <w:spacing w:after="0" w:line="240" w:lineRule="auto"/>
        <w:jc w:val="both"/>
        <w:rPr>
          <w:rFonts w:ascii="Comic Sans MS" w:eastAsia="Times New Roman" w:hAnsi="Comic Sans MS" w:cs="Times New Roman"/>
          <w:color w:val="00008B"/>
          <w:sz w:val="18"/>
          <w:szCs w:val="18"/>
          <w:lang w:eastAsia="es-ES"/>
        </w:rPr>
      </w:pPr>
      <w:r w:rsidRPr="002C2A3D">
        <w:rPr>
          <w:rFonts w:ascii="Comic Sans MS" w:eastAsia="Times New Roman" w:hAnsi="Comic Sans MS" w:cs="Times New Roman"/>
          <w:color w:val="00008B"/>
          <w:sz w:val="18"/>
          <w:lang w:eastAsia="es-ES"/>
        </w:rPr>
        <w:t>Hipótesis operativas</w:t>
      </w:r>
      <w:r w:rsidRPr="002C2A3D">
        <w:rPr>
          <w:rFonts w:ascii="Comic Sans MS" w:eastAsia="Times New Roman" w:hAnsi="Comic Sans MS" w:cs="Times New Roman"/>
          <w:color w:val="00008B"/>
          <w:sz w:val="18"/>
          <w:szCs w:val="18"/>
          <w:lang w:eastAsia="es-ES"/>
        </w:rPr>
        <w:br/>
        <w:t xml:space="preserve">1 </w:t>
      </w:r>
      <w:r w:rsidRPr="002C2A3D">
        <w:rPr>
          <w:rFonts w:ascii="Comic Sans MS" w:eastAsia="Times New Roman" w:hAnsi="Comic Sans MS" w:cs="Times New Roman"/>
          <w:i/>
          <w:iCs/>
          <w:color w:val="00008B"/>
          <w:sz w:val="18"/>
          <w:lang w:eastAsia="es-ES"/>
        </w:rPr>
        <w:t>"Se instala abastecimiento de agua y alcantarillado en un barrio de 10.000 habitantes, previamente carente de ello, esperamos que el año en que empiezan a funcionar las instalaciones la incidencia de Dengue se reduzca a la décima parte del año anterior."</w:t>
      </w:r>
      <w:r w:rsidRPr="002C2A3D">
        <w:rPr>
          <w:rFonts w:ascii="Comic Sans MS" w:eastAsia="Times New Roman" w:hAnsi="Comic Sans MS" w:cs="Times New Roman"/>
          <w:color w:val="00008B"/>
          <w:sz w:val="18"/>
          <w:szCs w:val="18"/>
          <w:lang w:eastAsia="es-ES"/>
        </w:rPr>
        <w:br/>
        <w:t xml:space="preserve">2 </w:t>
      </w:r>
      <w:r w:rsidRPr="002C2A3D">
        <w:rPr>
          <w:rFonts w:ascii="Comic Sans MS" w:eastAsia="Times New Roman" w:hAnsi="Comic Sans MS" w:cs="Times New Roman"/>
          <w:i/>
          <w:iCs/>
          <w:color w:val="00008B"/>
          <w:sz w:val="18"/>
          <w:lang w:eastAsia="es-ES"/>
        </w:rPr>
        <w:t xml:space="preserve">"Se instalan mosquiteros en una población de 100 personas y no en otra de iguales características </w:t>
      </w:r>
      <w:r w:rsidRPr="002C2A3D">
        <w:rPr>
          <w:rFonts w:ascii="Comic Sans MS" w:eastAsia="Times New Roman" w:hAnsi="Comic Sans MS" w:cs="Times New Roman"/>
          <w:i/>
          <w:iCs/>
          <w:color w:val="00008B"/>
          <w:sz w:val="18"/>
          <w:lang w:eastAsia="es-ES"/>
        </w:rPr>
        <w:lastRenderedPageBreak/>
        <w:t>demográficas, ambas en una zona endémica para el dengue, se observa un riesgo 10 veces mayor en el segundo grupo."</w:t>
      </w:r>
      <w:r w:rsidRPr="002C2A3D">
        <w:rPr>
          <w:rFonts w:ascii="Comic Sans MS" w:eastAsia="Times New Roman" w:hAnsi="Comic Sans MS" w:cs="Times New Roman"/>
          <w:color w:val="00008B"/>
          <w:sz w:val="18"/>
          <w:szCs w:val="18"/>
          <w:lang w:eastAsia="es-ES"/>
        </w:rPr>
        <w:br/>
        <w:t xml:space="preserve">Es un proceso deductivo que se basa en la lógica de que, partiendo de </w:t>
      </w:r>
      <w:proofErr w:type="gramStart"/>
      <w:r w:rsidRPr="002C2A3D">
        <w:rPr>
          <w:rFonts w:ascii="Comic Sans MS" w:eastAsia="Times New Roman" w:hAnsi="Comic Sans MS" w:cs="Times New Roman"/>
          <w:color w:val="00008B"/>
          <w:sz w:val="18"/>
          <w:szCs w:val="18"/>
          <w:lang w:eastAsia="es-ES"/>
        </w:rPr>
        <w:t>la premisas</w:t>
      </w:r>
      <w:proofErr w:type="gramEnd"/>
      <w:r w:rsidRPr="002C2A3D">
        <w:rPr>
          <w:rFonts w:ascii="Comic Sans MS" w:eastAsia="Times New Roman" w:hAnsi="Comic Sans MS" w:cs="Times New Roman"/>
          <w:color w:val="00008B"/>
          <w:sz w:val="18"/>
          <w:szCs w:val="18"/>
          <w:lang w:eastAsia="es-ES"/>
        </w:rPr>
        <w:t>:</w:t>
      </w:r>
      <w:r w:rsidRPr="002C2A3D">
        <w:rPr>
          <w:rFonts w:ascii="Comic Sans MS" w:eastAsia="Times New Roman" w:hAnsi="Comic Sans MS" w:cs="Times New Roman"/>
          <w:color w:val="00008B"/>
          <w:sz w:val="18"/>
          <w:szCs w:val="18"/>
          <w:lang w:eastAsia="es-ES"/>
        </w:rPr>
        <w:br/>
        <w:t>- la ausencia de mosquiteros favorece la picadura y transmisión de la enfermedad</w:t>
      </w:r>
      <w:r w:rsidRPr="002C2A3D">
        <w:rPr>
          <w:rFonts w:ascii="Comic Sans MS" w:eastAsia="Times New Roman" w:hAnsi="Comic Sans MS" w:cs="Times New Roman"/>
          <w:color w:val="00008B"/>
          <w:sz w:val="18"/>
          <w:szCs w:val="18"/>
          <w:lang w:eastAsia="es-ES"/>
        </w:rPr>
        <w:br/>
        <w:t>Siendo las premisas verdaderas, el razonamiento que se expresa en la hipótesis operativa es válido.</w:t>
      </w:r>
    </w:p>
    <w:p w:rsidR="002C2A3D" w:rsidRPr="002C2A3D" w:rsidRDefault="002C2A3D" w:rsidP="002C2A3D">
      <w:pPr>
        <w:spacing w:before="100" w:beforeAutospacing="1" w:after="100" w:afterAutospacing="1" w:line="240" w:lineRule="auto"/>
        <w:jc w:val="center"/>
        <w:outlineLvl w:val="2"/>
        <w:rPr>
          <w:rFonts w:ascii="Times New Roman" w:eastAsia="Times New Roman" w:hAnsi="Times New Roman" w:cs="Times New Roman"/>
          <w:b/>
          <w:bCs/>
          <w:color w:val="000000"/>
          <w:sz w:val="27"/>
          <w:szCs w:val="27"/>
          <w:lang w:eastAsia="es-ES"/>
        </w:rPr>
      </w:pPr>
      <w:bookmarkStart w:id="0" w:name="discusion"/>
      <w:r w:rsidRPr="002C2A3D">
        <w:rPr>
          <w:rFonts w:ascii="Times New Roman" w:eastAsia="Times New Roman" w:hAnsi="Times New Roman" w:cs="Times New Roman"/>
          <w:b/>
          <w:bCs/>
          <w:color w:val="000000"/>
          <w:sz w:val="27"/>
          <w:szCs w:val="27"/>
          <w:lang w:eastAsia="es-ES"/>
        </w:rPr>
        <w:t>Discusión</w:t>
      </w:r>
    </w:p>
    <w:bookmarkEnd w:id="0"/>
    <w:p w:rsidR="002C2A3D" w:rsidRPr="002C2A3D" w:rsidRDefault="002C2A3D" w:rsidP="002C2A3D">
      <w:pPr>
        <w:pBdr>
          <w:top w:val="threeDEngrave" w:sz="6" w:space="2" w:color="FFF0F5"/>
          <w:left w:val="threeDEngrave" w:sz="6" w:space="4" w:color="FFF0F5"/>
          <w:bottom w:val="threeDEngrave" w:sz="6" w:space="2" w:color="FFF0F5"/>
          <w:right w:val="threeDEngrave" w:sz="6" w:space="4" w:color="FFF0F5"/>
        </w:pBdr>
        <w:shd w:val="clear" w:color="auto" w:fill="E9E9C1"/>
        <w:spacing w:after="0" w:line="240" w:lineRule="auto"/>
        <w:jc w:val="both"/>
        <w:rPr>
          <w:rFonts w:ascii="Comic Sans MS" w:eastAsia="Times New Roman" w:hAnsi="Comic Sans MS" w:cs="Times New Roman"/>
          <w:color w:val="00008B"/>
          <w:sz w:val="18"/>
          <w:szCs w:val="18"/>
          <w:lang w:eastAsia="es-ES"/>
        </w:rPr>
      </w:pPr>
      <w:r w:rsidRPr="002C2A3D">
        <w:rPr>
          <w:rFonts w:ascii="Comic Sans MS" w:eastAsia="Times New Roman" w:hAnsi="Comic Sans MS" w:cs="Times New Roman"/>
          <w:color w:val="00008B"/>
          <w:sz w:val="18"/>
          <w:szCs w:val="18"/>
          <w:lang w:eastAsia="es-ES"/>
        </w:rPr>
        <w:t xml:space="preserve">Imaginamos un escenario en el que la hipótesis operativa de la instalación de mosquiteros consigue el efecto esperado. Esto no significa que la hipótesis conceptual sea verdadera porque este sería un argumento deductivamente inválido ya que la conclusión puede ser falsa aún siendo verdaderas las premisas. A esto se le denomina la </w:t>
      </w:r>
      <w:r w:rsidRPr="002C2A3D">
        <w:rPr>
          <w:rFonts w:ascii="Comic Sans MS" w:eastAsia="Times New Roman" w:hAnsi="Comic Sans MS" w:cs="Times New Roman"/>
          <w:i/>
          <w:iCs/>
          <w:color w:val="00008B"/>
          <w:sz w:val="18"/>
          <w:lang w:eastAsia="es-ES"/>
        </w:rPr>
        <w:t>falacia de afirmar el consecuente</w:t>
      </w:r>
      <w:r w:rsidRPr="002C2A3D">
        <w:rPr>
          <w:rFonts w:ascii="Comic Sans MS" w:eastAsia="Times New Roman" w:hAnsi="Comic Sans MS" w:cs="Times New Roman"/>
          <w:color w:val="00008B"/>
          <w:sz w:val="18"/>
          <w:szCs w:val="18"/>
          <w:lang w:eastAsia="es-ES"/>
        </w:rPr>
        <w:t xml:space="preserve">. El hallazgo empírico del efecto de introducir los mosquiteros no prueba la hipótesis ya que puede haber multiplicidad de causas o causas diferentes de la sospechada. </w:t>
      </w:r>
      <w:r w:rsidRPr="002C2A3D">
        <w:rPr>
          <w:rFonts w:ascii="Comic Sans MS" w:eastAsia="Times New Roman" w:hAnsi="Comic Sans MS" w:cs="Times New Roman"/>
          <w:color w:val="00008B"/>
          <w:sz w:val="18"/>
          <w:szCs w:val="18"/>
          <w:lang w:eastAsia="es-ES"/>
        </w:rPr>
        <w:br/>
        <w:t xml:space="preserve">También puede deberse a imperfección de la clasificación de la enfermedad: la población con inmunidad al serotipo circulante no mostrará mejoría con esta medida. </w:t>
      </w:r>
    </w:p>
    <w:p w:rsidR="00397F53" w:rsidRDefault="00397F53" w:rsidP="002C2A3D"/>
    <w:p w:rsidR="002C2A3D" w:rsidRDefault="002C2A3D" w:rsidP="002C2A3D"/>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7"/>
          <w:szCs w:val="27"/>
          <w:lang w:eastAsia="es-ES"/>
        </w:rPr>
      </w:pPr>
      <w:bookmarkStart w:id="1" w:name="Top"/>
      <w:r>
        <w:rPr>
          <w:rFonts w:ascii="Times New Roman" w:eastAsia="Times New Roman" w:hAnsi="Times New Roman" w:cs="Times New Roman"/>
          <w:noProof/>
          <w:color w:val="0000FF"/>
          <w:sz w:val="24"/>
          <w:szCs w:val="24"/>
          <w:lang w:eastAsia="es-ES"/>
        </w:rPr>
        <w:drawing>
          <wp:inline distT="0" distB="0" distL="0" distR="0">
            <wp:extent cx="6296025" cy="1847850"/>
            <wp:effectExtent l="19050" t="0" r="9525" b="0"/>
            <wp:docPr id="1" name="Imagen 1" descr="Página Principal">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ágina Principal">
                      <a:hlinkClick r:id="rId4"/>
                    </pic:cNvPr>
                    <pic:cNvPicPr>
                      <a:picLocks noChangeAspect="1" noChangeArrowheads="1"/>
                    </pic:cNvPicPr>
                  </pic:nvPicPr>
                  <pic:blipFill>
                    <a:blip r:embed="rId5"/>
                    <a:srcRect/>
                    <a:stretch>
                      <a:fillRect/>
                    </a:stretch>
                  </pic:blipFill>
                  <pic:spPr bwMode="auto">
                    <a:xfrm>
                      <a:off x="0" y="0"/>
                      <a:ext cx="6296025" cy="1847850"/>
                    </a:xfrm>
                    <a:prstGeom prst="rect">
                      <a:avLst/>
                    </a:prstGeom>
                    <a:noFill/>
                    <a:ln w="9525">
                      <a:noFill/>
                      <a:miter lim="800000"/>
                      <a:headEnd/>
                      <a:tailEnd/>
                    </a:ln>
                  </pic:spPr>
                </pic:pic>
              </a:graphicData>
            </a:graphic>
          </wp:inline>
        </w:drawing>
      </w:r>
      <w:bookmarkEnd w:id="1"/>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Segunda edición, enero de 1997.</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 autoriza la reproducción total o parcial, siempre y cuando se cite la fuente.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ISBN 968-811-587-8</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Dirección General de Epidemiología,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http://www.ssa.gob.mx.</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Francisco de P. Miranda 177,</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Col. Unidad Lomas de Plateros,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 P. 01480,</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México, D.F.</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SECRETARÍA DE SALUD</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DR. JUAN RAMÓN DE LA FUENTE</w:t>
      </w:r>
      <w:r w:rsidRPr="002C2A3D">
        <w:rPr>
          <w:rFonts w:ascii="Times New Roman" w:eastAsia="Times New Roman" w:hAnsi="Times New Roman" w:cs="Times New Roman"/>
          <w:b/>
          <w:bCs/>
          <w:sz w:val="24"/>
          <w:szCs w:val="24"/>
          <w:lang w:eastAsia="es-ES"/>
        </w:rPr>
        <w:br/>
        <w:t>SECRETARIO DE SALUD</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DR. JOSÉ NARRO ROBLES</w:t>
      </w:r>
      <w:r w:rsidRPr="002C2A3D">
        <w:rPr>
          <w:rFonts w:ascii="Times New Roman" w:eastAsia="Times New Roman" w:hAnsi="Times New Roman" w:cs="Times New Roman"/>
          <w:b/>
          <w:bCs/>
          <w:sz w:val="24"/>
          <w:szCs w:val="24"/>
          <w:lang w:eastAsia="es-ES"/>
        </w:rPr>
        <w:br/>
        <w:t>SUBSECRETARIO DE COORDINACIÓN SECTORIAL</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DR. ROBERTO TAPIA CONYER</w:t>
      </w:r>
      <w:r w:rsidRPr="002C2A3D">
        <w:rPr>
          <w:rFonts w:ascii="Times New Roman" w:eastAsia="Times New Roman" w:hAnsi="Times New Roman" w:cs="Times New Roman"/>
          <w:b/>
          <w:bCs/>
          <w:sz w:val="24"/>
          <w:szCs w:val="24"/>
          <w:lang w:eastAsia="es-ES"/>
        </w:rPr>
        <w:br/>
        <w:t>SUBSECRETARIO DE PREVENCIÓN Y CONTROL DE ENFERMEDADES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LIC. JOSÉ CAMPILLO GARCÍA</w:t>
      </w:r>
      <w:r w:rsidRPr="002C2A3D">
        <w:rPr>
          <w:rFonts w:ascii="Times New Roman" w:eastAsia="Times New Roman" w:hAnsi="Times New Roman" w:cs="Times New Roman"/>
          <w:b/>
          <w:bCs/>
          <w:sz w:val="24"/>
          <w:szCs w:val="24"/>
          <w:lang w:eastAsia="es-ES"/>
        </w:rPr>
        <w:br/>
        <w:t>SUBSECRETARIO DE REGULACIÓN Y FOMENTO SANITARIO</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xml:space="preserve">  LIC. JORGE TAMAYO </w:t>
      </w:r>
      <w:r w:rsidRPr="002C2A3D">
        <w:rPr>
          <w:rFonts w:ascii="Times New Roman" w:eastAsia="Times New Roman" w:hAnsi="Times New Roman" w:cs="Times New Roman"/>
          <w:b/>
          <w:bCs/>
          <w:sz w:val="24"/>
          <w:szCs w:val="24"/>
          <w:lang w:eastAsia="es-ES"/>
        </w:rPr>
        <w:br/>
        <w:t>OFICIAL MAYOR</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DR. ÓSCAR VELÁZQUEZ MONROY</w:t>
      </w:r>
      <w:r w:rsidRPr="002C2A3D">
        <w:rPr>
          <w:rFonts w:ascii="Times New Roman" w:eastAsia="Times New Roman" w:hAnsi="Times New Roman" w:cs="Times New Roman"/>
          <w:b/>
          <w:bCs/>
          <w:sz w:val="24"/>
          <w:szCs w:val="24"/>
          <w:lang w:eastAsia="es-ES"/>
        </w:rPr>
        <w:br/>
        <w:t>COORDINADOR DE VIGILANCIA EPIDEMIOLÓGICA</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DR. PABLO KURI MORALES</w:t>
      </w:r>
      <w:r w:rsidRPr="002C2A3D">
        <w:rPr>
          <w:rFonts w:ascii="Times New Roman" w:eastAsia="Times New Roman" w:hAnsi="Times New Roman" w:cs="Times New Roman"/>
          <w:b/>
          <w:bCs/>
          <w:sz w:val="24"/>
          <w:szCs w:val="24"/>
          <w:lang w:eastAsia="es-ES"/>
        </w:rPr>
        <w:br/>
        <w:t>DIRECTOR GENERAL DE EPIDEMIOLOGÍA</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Autores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Doctor Raúl </w:t>
      </w:r>
      <w:proofErr w:type="spellStart"/>
      <w:r w:rsidRPr="002C2A3D">
        <w:rPr>
          <w:rFonts w:ascii="Times New Roman" w:eastAsia="Times New Roman" w:hAnsi="Times New Roman" w:cs="Times New Roman"/>
          <w:sz w:val="24"/>
          <w:szCs w:val="24"/>
          <w:lang w:eastAsia="es-ES"/>
        </w:rPr>
        <w:t>Montesano</w:t>
      </w:r>
      <w:proofErr w:type="spellEnd"/>
      <w:r w:rsidRPr="002C2A3D">
        <w:rPr>
          <w:rFonts w:ascii="Times New Roman" w:eastAsia="Times New Roman" w:hAnsi="Times New Roman" w:cs="Times New Roman"/>
          <w:sz w:val="24"/>
          <w:szCs w:val="24"/>
          <w:lang w:eastAsia="es-ES"/>
        </w:rPr>
        <w:t xml:space="preserve"> Castellanos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Colaboradores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Biólogo </w:t>
      </w:r>
      <w:proofErr w:type="spellStart"/>
      <w:r w:rsidRPr="002C2A3D">
        <w:rPr>
          <w:rFonts w:ascii="Times New Roman" w:eastAsia="Times New Roman" w:hAnsi="Times New Roman" w:cs="Times New Roman"/>
          <w:sz w:val="24"/>
          <w:szCs w:val="24"/>
          <w:lang w:eastAsia="es-ES"/>
        </w:rPr>
        <w:t>Baltazar</w:t>
      </w:r>
      <w:proofErr w:type="spellEnd"/>
      <w:r w:rsidRPr="002C2A3D">
        <w:rPr>
          <w:rFonts w:ascii="Times New Roman" w:eastAsia="Times New Roman" w:hAnsi="Times New Roman" w:cs="Times New Roman"/>
          <w:sz w:val="24"/>
          <w:szCs w:val="24"/>
          <w:lang w:eastAsia="es-ES"/>
        </w:rPr>
        <w:t xml:space="preserve"> Briseño García</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Doctor Esteban Rodríguez Solís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Doctor Fausto </w:t>
      </w:r>
      <w:proofErr w:type="spellStart"/>
      <w:r w:rsidRPr="002C2A3D">
        <w:rPr>
          <w:rFonts w:ascii="Times New Roman" w:eastAsia="Times New Roman" w:hAnsi="Times New Roman" w:cs="Times New Roman"/>
          <w:sz w:val="24"/>
          <w:szCs w:val="24"/>
          <w:lang w:eastAsia="es-ES"/>
        </w:rPr>
        <w:t>Jaimes</w:t>
      </w:r>
      <w:proofErr w:type="spellEnd"/>
      <w:r w:rsidRPr="002C2A3D">
        <w:rPr>
          <w:rFonts w:ascii="Times New Roman" w:eastAsia="Times New Roman" w:hAnsi="Times New Roman" w:cs="Times New Roman"/>
          <w:sz w:val="24"/>
          <w:szCs w:val="24"/>
          <w:lang w:eastAsia="es-ES"/>
        </w:rPr>
        <w:t xml:space="preserve"> Domínguez</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Bióloga Irma Adriana Solís Santamaría</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7"/>
          <w:szCs w:val="27"/>
          <w:lang w:eastAsia="es-ES"/>
        </w:rPr>
      </w:pPr>
      <w:r w:rsidRPr="002C2A3D">
        <w:rPr>
          <w:rFonts w:ascii="Times New Roman" w:eastAsia="Times New Roman" w:hAnsi="Times New Roman" w:cs="Times New Roman"/>
          <w:sz w:val="24"/>
          <w:szCs w:val="24"/>
          <w:lang w:eastAsia="es-ES"/>
        </w:rPr>
        <w:t>Doctor Mario Araujo</w:t>
      </w:r>
      <w:r w:rsidRPr="002C2A3D">
        <w:rPr>
          <w:rFonts w:ascii="Times New Roman" w:eastAsia="Times New Roman" w:hAnsi="Times New Roman" w:cs="Times New Roman"/>
          <w:b/>
          <w:bCs/>
          <w:sz w:val="24"/>
          <w:szCs w:val="24"/>
          <w:lang w:eastAsia="es-ES"/>
        </w:rPr>
        <w:t xml:space="preserve"> </w:t>
      </w:r>
      <w:r w:rsidRPr="002C2A3D">
        <w:rPr>
          <w:rFonts w:ascii="Times New Roman" w:eastAsia="Times New Roman" w:hAnsi="Times New Roman" w:cs="Times New Roman"/>
          <w:sz w:val="24"/>
          <w:szCs w:val="24"/>
          <w:lang w:eastAsia="es-ES"/>
        </w:rPr>
        <w:t>Carranza</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7"/>
          <w:szCs w:val="27"/>
          <w:lang w:eastAsia="es-ES"/>
        </w:rPr>
      </w:pPr>
      <w:r w:rsidRPr="002C2A3D">
        <w:rPr>
          <w:rFonts w:ascii="Times New Roman" w:eastAsia="Times New Roman" w:hAnsi="Times New Roman" w:cs="Times New Roman"/>
          <w:sz w:val="27"/>
          <w:szCs w:val="27"/>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7"/>
          <w:szCs w:val="27"/>
          <w:lang w:eastAsia="es-ES"/>
        </w:rPr>
      </w:pPr>
      <w:bookmarkStart w:id="2" w:name="ÍNDICE"/>
      <w:r w:rsidRPr="002C2A3D">
        <w:rPr>
          <w:rFonts w:ascii="Times New Roman" w:eastAsia="Times New Roman" w:hAnsi="Times New Roman" w:cs="Times New Roman"/>
          <w:sz w:val="27"/>
          <w:szCs w:val="27"/>
          <w:lang w:eastAsia="es-ES"/>
        </w:rPr>
        <w:t>ÍNDICE</w:t>
      </w:r>
      <w:bookmarkEnd w:id="2"/>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hyperlink r:id="rId6" w:anchor="INTRODUCCIÓN" w:history="1">
        <w:r w:rsidRPr="002C2A3D">
          <w:rPr>
            <w:rFonts w:ascii="Times New Roman" w:eastAsia="Times New Roman" w:hAnsi="Times New Roman" w:cs="Times New Roman"/>
            <w:color w:val="0000FF"/>
            <w:sz w:val="24"/>
            <w:szCs w:val="24"/>
            <w:u w:val="single"/>
            <w:lang w:eastAsia="es-ES"/>
          </w:rPr>
          <w:t xml:space="preserve">Introducción </w:t>
        </w:r>
      </w:hyperlink>
      <w:r w:rsidRPr="002C2A3D">
        <w:rPr>
          <w:rFonts w:ascii="Times New Roman" w:eastAsia="Times New Roman" w:hAnsi="Times New Roman" w:cs="Times New Roman"/>
          <w:sz w:val="24"/>
          <w:szCs w:val="24"/>
          <w:lang w:eastAsia="es-ES"/>
        </w:rPr>
        <w:br/>
      </w:r>
      <w:hyperlink r:id="rId7" w:anchor="1. ASPECTOS GENERALES" w:history="1">
        <w:r w:rsidRPr="002C2A3D">
          <w:rPr>
            <w:rFonts w:ascii="Times New Roman" w:eastAsia="Times New Roman" w:hAnsi="Times New Roman" w:cs="Times New Roman"/>
            <w:color w:val="0000FF"/>
            <w:sz w:val="24"/>
            <w:szCs w:val="24"/>
            <w:u w:val="single"/>
            <w:lang w:eastAsia="es-ES"/>
          </w:rPr>
          <w:t xml:space="preserve">1. Aspectos Generales </w:t>
        </w:r>
      </w:hyperlink>
      <w:r w:rsidRPr="002C2A3D">
        <w:rPr>
          <w:rFonts w:ascii="Times New Roman" w:eastAsia="Times New Roman" w:hAnsi="Times New Roman" w:cs="Times New Roman"/>
          <w:sz w:val="24"/>
          <w:szCs w:val="24"/>
          <w:lang w:eastAsia="es-ES"/>
        </w:rPr>
        <w:br/>
      </w:r>
      <w:hyperlink r:id="rId8" w:anchor="2. FACTORES DE RIESGO PARA LA TRANSMISIÓN" w:history="1">
        <w:r w:rsidRPr="002C2A3D">
          <w:rPr>
            <w:rFonts w:ascii="Times New Roman" w:eastAsia="Times New Roman" w:hAnsi="Times New Roman" w:cs="Times New Roman"/>
            <w:color w:val="0000FF"/>
            <w:sz w:val="24"/>
            <w:szCs w:val="24"/>
            <w:u w:val="single"/>
            <w:lang w:eastAsia="es-ES"/>
          </w:rPr>
          <w:t xml:space="preserve">2. Factores de riesgo para la transmisión del dengue y la presentación de formas </w:t>
        </w:r>
        <w:r w:rsidRPr="002C2A3D">
          <w:rPr>
            <w:rFonts w:ascii="Times New Roman" w:eastAsia="Times New Roman" w:hAnsi="Times New Roman" w:cs="Times New Roman"/>
            <w:color w:val="0000FF"/>
            <w:sz w:val="24"/>
            <w:szCs w:val="24"/>
            <w:u w:val="single"/>
            <w:lang w:eastAsia="es-ES"/>
          </w:rPr>
          <w:lastRenderedPageBreak/>
          <w:t xml:space="preserve">hemorrágicas </w:t>
        </w:r>
      </w:hyperlink>
      <w:r w:rsidRPr="002C2A3D">
        <w:rPr>
          <w:rFonts w:ascii="Times New Roman" w:eastAsia="Times New Roman" w:hAnsi="Times New Roman" w:cs="Times New Roman"/>
          <w:sz w:val="24"/>
          <w:szCs w:val="24"/>
          <w:lang w:eastAsia="es-ES"/>
        </w:rPr>
        <w:br/>
      </w:r>
      <w:hyperlink r:id="rId9" w:anchor="3. CUADRO CLÍNICO DEL DENGUE" w:history="1">
        <w:r w:rsidRPr="002C2A3D">
          <w:rPr>
            <w:rFonts w:ascii="Times New Roman" w:eastAsia="Times New Roman" w:hAnsi="Times New Roman" w:cs="Times New Roman"/>
            <w:color w:val="0000FF"/>
            <w:sz w:val="24"/>
            <w:szCs w:val="24"/>
            <w:u w:val="single"/>
            <w:lang w:eastAsia="es-ES"/>
          </w:rPr>
          <w:t>3. Cuadro clínico del Dengue.</w:t>
        </w:r>
      </w:hyperlink>
      <w:r w:rsidRPr="002C2A3D">
        <w:rPr>
          <w:rFonts w:ascii="Times New Roman" w:eastAsia="Times New Roman" w:hAnsi="Times New Roman" w:cs="Times New Roman"/>
          <w:sz w:val="24"/>
          <w:szCs w:val="24"/>
          <w:lang w:eastAsia="es-ES"/>
        </w:rPr>
        <w:br/>
      </w:r>
      <w:hyperlink r:id="rId10" w:anchor="4. DEFINICIONES OPERACIONALES DE CASO" w:history="1">
        <w:r w:rsidRPr="002C2A3D">
          <w:rPr>
            <w:rFonts w:ascii="Times New Roman" w:eastAsia="Times New Roman" w:hAnsi="Times New Roman" w:cs="Times New Roman"/>
            <w:color w:val="0000FF"/>
            <w:sz w:val="24"/>
            <w:szCs w:val="24"/>
            <w:u w:val="single"/>
            <w:lang w:eastAsia="es-ES"/>
          </w:rPr>
          <w:t xml:space="preserve">4. Definiciones operacionales de caso </w:t>
        </w:r>
      </w:hyperlink>
      <w:r w:rsidRPr="002C2A3D">
        <w:rPr>
          <w:rFonts w:ascii="Times New Roman" w:eastAsia="Times New Roman" w:hAnsi="Times New Roman" w:cs="Times New Roman"/>
          <w:sz w:val="24"/>
          <w:szCs w:val="24"/>
          <w:lang w:eastAsia="es-ES"/>
        </w:rPr>
        <w:br/>
      </w:r>
      <w:hyperlink r:id="rId11" w:anchor="5. DIAGNÓSTICO DE DENGUE POR LABORATORIO" w:history="1">
        <w:r w:rsidRPr="002C2A3D">
          <w:rPr>
            <w:rFonts w:ascii="Times New Roman" w:eastAsia="Times New Roman" w:hAnsi="Times New Roman" w:cs="Times New Roman"/>
            <w:color w:val="0000FF"/>
            <w:sz w:val="24"/>
            <w:szCs w:val="24"/>
            <w:u w:val="single"/>
            <w:lang w:eastAsia="es-ES"/>
          </w:rPr>
          <w:t xml:space="preserve">5. Diagnóstico de Dengue por Laboratorio </w:t>
        </w:r>
      </w:hyperlink>
      <w:r w:rsidRPr="002C2A3D">
        <w:rPr>
          <w:rFonts w:ascii="Times New Roman" w:eastAsia="Times New Roman" w:hAnsi="Times New Roman" w:cs="Times New Roman"/>
          <w:sz w:val="24"/>
          <w:szCs w:val="24"/>
          <w:lang w:eastAsia="es-ES"/>
        </w:rPr>
        <w:br/>
      </w:r>
      <w:hyperlink r:id="rId12" w:anchor="6. COMPONENTES DE LA VIGILANCIA" w:history="1">
        <w:r w:rsidRPr="002C2A3D">
          <w:rPr>
            <w:rFonts w:ascii="Times New Roman" w:eastAsia="Times New Roman" w:hAnsi="Times New Roman" w:cs="Times New Roman"/>
            <w:color w:val="0000FF"/>
            <w:sz w:val="24"/>
            <w:szCs w:val="24"/>
            <w:u w:val="single"/>
            <w:lang w:eastAsia="es-ES"/>
          </w:rPr>
          <w:t xml:space="preserve">6. Componentes de la Vigilancia Epidemiológica de Dengue. </w:t>
        </w:r>
      </w:hyperlink>
      <w:r w:rsidRPr="002C2A3D">
        <w:rPr>
          <w:rFonts w:ascii="Times New Roman" w:eastAsia="Times New Roman" w:hAnsi="Times New Roman" w:cs="Times New Roman"/>
          <w:sz w:val="24"/>
          <w:szCs w:val="24"/>
          <w:lang w:eastAsia="es-ES"/>
        </w:rPr>
        <w:br/>
      </w:r>
      <w:hyperlink r:id="rId13" w:anchor="7. CLASIFICACIÓN CLÍNICA" w:history="1">
        <w:r w:rsidRPr="002C2A3D">
          <w:rPr>
            <w:rFonts w:ascii="Times New Roman" w:eastAsia="Times New Roman" w:hAnsi="Times New Roman" w:cs="Times New Roman"/>
            <w:color w:val="0000FF"/>
            <w:sz w:val="24"/>
            <w:szCs w:val="24"/>
            <w:u w:val="single"/>
            <w:lang w:eastAsia="es-ES"/>
          </w:rPr>
          <w:t>7. Clasificación Clínica y Manejo de Casos del Dengue.</w:t>
        </w:r>
      </w:hyperlink>
      <w:r w:rsidRPr="002C2A3D">
        <w:rPr>
          <w:rFonts w:ascii="Times New Roman" w:eastAsia="Times New Roman" w:hAnsi="Times New Roman" w:cs="Times New Roman"/>
          <w:sz w:val="24"/>
          <w:szCs w:val="24"/>
          <w:lang w:eastAsia="es-ES"/>
        </w:rPr>
        <w:br/>
      </w:r>
      <w:bookmarkStart w:id="3" w:name="Anexos:"/>
      <w:r w:rsidRPr="002C2A3D">
        <w:rPr>
          <w:rFonts w:ascii="Times New Roman" w:eastAsia="Times New Roman" w:hAnsi="Times New Roman" w:cs="Times New Roman"/>
          <w:sz w:val="24"/>
          <w:szCs w:val="24"/>
          <w:lang w:eastAsia="es-ES"/>
        </w:rPr>
        <w:t>Anexos:</w:t>
      </w:r>
      <w:bookmarkEnd w:id="3"/>
      <w:r w:rsidRPr="002C2A3D">
        <w:rPr>
          <w:rFonts w:ascii="Times New Roman" w:eastAsia="Times New Roman" w:hAnsi="Times New Roman" w:cs="Times New Roman"/>
          <w:sz w:val="24"/>
          <w:szCs w:val="24"/>
          <w:lang w:eastAsia="es-ES"/>
        </w:rPr>
        <w:br/>
      </w:r>
      <w:hyperlink r:id="rId14" w:history="1">
        <w:r w:rsidRPr="002C2A3D">
          <w:rPr>
            <w:rFonts w:ascii="Times New Roman" w:eastAsia="Times New Roman" w:hAnsi="Times New Roman" w:cs="Times New Roman"/>
            <w:color w:val="0000FF"/>
            <w:sz w:val="24"/>
            <w:szCs w:val="24"/>
            <w:u w:val="single"/>
            <w:lang w:eastAsia="es-ES"/>
          </w:rPr>
          <w:t>Formulario para el Estudio Clínico Epidemiológico de Dengue</w:t>
        </w:r>
      </w:hyperlink>
      <w:r w:rsidRPr="002C2A3D">
        <w:rPr>
          <w:rFonts w:ascii="Times New Roman" w:eastAsia="Times New Roman" w:hAnsi="Times New Roman" w:cs="Times New Roman"/>
          <w:sz w:val="24"/>
          <w:szCs w:val="24"/>
          <w:lang w:eastAsia="es-ES"/>
        </w:rPr>
        <w:br/>
      </w:r>
      <w:hyperlink r:id="rId15" w:history="1">
        <w:r w:rsidRPr="002C2A3D">
          <w:rPr>
            <w:rFonts w:ascii="Times New Roman" w:eastAsia="Times New Roman" w:hAnsi="Times New Roman" w:cs="Times New Roman"/>
            <w:color w:val="0000FF"/>
            <w:sz w:val="24"/>
            <w:szCs w:val="24"/>
            <w:u w:val="single"/>
            <w:lang w:eastAsia="es-ES"/>
          </w:rPr>
          <w:t>Diagnóstico de Dengue por Laboratorio</w:t>
        </w:r>
      </w:hyperlink>
      <w:r w:rsidRPr="002C2A3D">
        <w:rPr>
          <w:rFonts w:ascii="Times New Roman" w:eastAsia="Times New Roman" w:hAnsi="Times New Roman" w:cs="Times New Roman"/>
          <w:sz w:val="24"/>
          <w:szCs w:val="24"/>
          <w:lang w:eastAsia="es-ES"/>
        </w:rPr>
        <w:br/>
      </w:r>
      <w:hyperlink r:id="rId16" w:history="1">
        <w:r w:rsidRPr="002C2A3D">
          <w:rPr>
            <w:rFonts w:ascii="Times New Roman" w:eastAsia="Times New Roman" w:hAnsi="Times New Roman" w:cs="Times New Roman"/>
            <w:color w:val="0000FF"/>
            <w:sz w:val="24"/>
            <w:szCs w:val="24"/>
            <w:u w:val="single"/>
            <w:lang w:eastAsia="es-ES"/>
          </w:rPr>
          <w:t>Propuesta de Información al Público</w:t>
        </w:r>
      </w:hyperlink>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7"/>
          <w:szCs w:val="27"/>
          <w:lang w:eastAsia="es-ES"/>
        </w:rPr>
      </w:pPr>
      <w:r w:rsidRPr="002C2A3D">
        <w:rPr>
          <w:rFonts w:ascii="Times New Roman" w:eastAsia="Times New Roman" w:hAnsi="Times New Roman" w:cs="Times New Roman"/>
          <w:b/>
          <w:bCs/>
          <w:sz w:val="27"/>
          <w:szCs w:val="27"/>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7"/>
          <w:szCs w:val="27"/>
          <w:lang w:eastAsia="es-ES"/>
        </w:rPr>
      </w:pPr>
      <w:r w:rsidRPr="002C2A3D">
        <w:rPr>
          <w:rFonts w:ascii="Times New Roman" w:eastAsia="Times New Roman" w:hAnsi="Times New Roman" w:cs="Times New Roman"/>
          <w:b/>
          <w:bCs/>
          <w:sz w:val="27"/>
          <w:szCs w:val="27"/>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7"/>
          <w:szCs w:val="27"/>
          <w:lang w:eastAsia="es-ES"/>
        </w:rPr>
      </w:pPr>
      <w:bookmarkStart w:id="4" w:name="INTRODUCCIÓN"/>
      <w:r w:rsidRPr="002C2A3D">
        <w:rPr>
          <w:rFonts w:ascii="Times New Roman" w:eastAsia="Times New Roman" w:hAnsi="Times New Roman" w:cs="Times New Roman"/>
          <w:b/>
          <w:bCs/>
          <w:sz w:val="27"/>
          <w:szCs w:val="27"/>
          <w:lang w:eastAsia="es-ES"/>
        </w:rPr>
        <w:t>INTRODUCCIÓN</w:t>
      </w:r>
      <w:bookmarkEnd w:id="4"/>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dengue es un padecimiento febril, viral, causado por 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en cualquiera de sus serotipos (I, II, III y IV), transmitido por un mosquito del género </w:t>
      </w:r>
      <w:proofErr w:type="spellStart"/>
      <w:r w:rsidRPr="002C2A3D">
        <w:rPr>
          <w:rFonts w:ascii="Times New Roman" w:eastAsia="Times New Roman" w:hAnsi="Times New Roman" w:cs="Times New Roman"/>
          <w:i/>
          <w:iCs/>
          <w:sz w:val="24"/>
          <w:szCs w:val="24"/>
          <w:lang w:eastAsia="es-ES"/>
        </w:rPr>
        <w:t>Aedes</w:t>
      </w:r>
      <w:proofErr w:type="spellEnd"/>
      <w:r w:rsidRPr="002C2A3D">
        <w:rPr>
          <w:rFonts w:ascii="Times New Roman" w:eastAsia="Times New Roman" w:hAnsi="Times New Roman" w:cs="Times New Roman"/>
          <w:i/>
          <w:iCs/>
          <w:sz w:val="24"/>
          <w:szCs w:val="24"/>
          <w:lang w:eastAsia="es-ES"/>
        </w:rPr>
        <w:t xml:space="preserve">; </w:t>
      </w:r>
      <w:r w:rsidRPr="002C2A3D">
        <w:rPr>
          <w:rFonts w:ascii="Times New Roman" w:eastAsia="Times New Roman" w:hAnsi="Times New Roman" w:cs="Times New Roman"/>
          <w:sz w:val="24"/>
          <w:szCs w:val="24"/>
          <w:lang w:eastAsia="es-ES"/>
        </w:rPr>
        <w:t xml:space="preserve">por lo general es benigno, de curso </w:t>
      </w:r>
      <w:proofErr w:type="spellStart"/>
      <w:r w:rsidRPr="002C2A3D">
        <w:rPr>
          <w:rFonts w:ascii="Times New Roman" w:eastAsia="Times New Roman" w:hAnsi="Times New Roman" w:cs="Times New Roman"/>
          <w:sz w:val="24"/>
          <w:szCs w:val="24"/>
          <w:lang w:eastAsia="es-ES"/>
        </w:rPr>
        <w:t>autolimitado</w:t>
      </w:r>
      <w:proofErr w:type="spellEnd"/>
      <w:r w:rsidRPr="002C2A3D">
        <w:rPr>
          <w:rFonts w:ascii="Times New Roman" w:eastAsia="Times New Roman" w:hAnsi="Times New Roman" w:cs="Times New Roman"/>
          <w:sz w:val="24"/>
          <w:szCs w:val="24"/>
          <w:lang w:eastAsia="es-ES"/>
        </w:rPr>
        <w:t xml:space="preserve"> y temporalmente </w:t>
      </w:r>
      <w:proofErr w:type="spellStart"/>
      <w:r w:rsidRPr="002C2A3D">
        <w:rPr>
          <w:rFonts w:ascii="Times New Roman" w:eastAsia="Times New Roman" w:hAnsi="Times New Roman" w:cs="Times New Roman"/>
          <w:sz w:val="24"/>
          <w:szCs w:val="24"/>
          <w:lang w:eastAsia="es-ES"/>
        </w:rPr>
        <w:t>incapacitante</w:t>
      </w:r>
      <w:proofErr w:type="spellEnd"/>
      <w:r w:rsidRPr="002C2A3D">
        <w:rPr>
          <w:rFonts w:ascii="Times New Roman" w:eastAsia="Times New Roman" w:hAnsi="Times New Roman" w:cs="Times New Roman"/>
          <w:sz w:val="24"/>
          <w:szCs w:val="24"/>
          <w:lang w:eastAsia="es-ES"/>
        </w:rPr>
        <w:t>. El espectro de la enfermedad es amplio, desde casos asintomáticos, cuadros febriles inespecíficos, dengue clásico, cuadros de dengue hemorrágico, hasta el Síndrome de Choque por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Las formas graves, Dengue Hemorrágico </w:t>
      </w:r>
      <w:r w:rsidRPr="002C2A3D">
        <w:rPr>
          <w:rFonts w:ascii="Times New Roman" w:eastAsia="Times New Roman" w:hAnsi="Times New Roman" w:cs="Times New Roman"/>
          <w:sz w:val="15"/>
          <w:szCs w:val="15"/>
          <w:lang w:eastAsia="es-ES"/>
        </w:rPr>
        <w:t>(</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y Síndrome de Choque por Dengue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pueden aparecer como brotes importantes, de elevada letalidad, como en Asia desde los años 50 y recientemente en América: Cuba, Venezuela, Brasil, Colombia, Costa Rica y Nicaragua. La presentación de casos de </w:t>
      </w:r>
      <w:r w:rsidRPr="002C2A3D">
        <w:rPr>
          <w:rFonts w:ascii="Times New Roman" w:eastAsia="Times New Roman" w:hAnsi="Times New Roman" w:cs="Times New Roman"/>
          <w:sz w:val="20"/>
          <w:szCs w:val="20"/>
          <w:lang w:eastAsia="es-ES"/>
        </w:rPr>
        <w:t xml:space="preserve">DH </w:t>
      </w:r>
      <w:r w:rsidRPr="002C2A3D">
        <w:rPr>
          <w:rFonts w:ascii="Times New Roman" w:eastAsia="Times New Roman" w:hAnsi="Times New Roman" w:cs="Times New Roman"/>
          <w:sz w:val="24"/>
          <w:szCs w:val="24"/>
          <w:lang w:eastAsia="es-ES"/>
        </w:rPr>
        <w:t>en nuestro país, asociados geográfica y temporalmente, aunada a la presencia de diversos factores de riesgo para la presentación de brotes de esta variedad de la enfermedad, disparó un estado de emergencia nacional para la vigilancia y control del padecimiento.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 gravedad de una epidemia de </w:t>
      </w:r>
      <w:r w:rsidRPr="002C2A3D">
        <w:rPr>
          <w:rFonts w:ascii="Times New Roman" w:eastAsia="Times New Roman" w:hAnsi="Times New Roman" w:cs="Times New Roman"/>
          <w:sz w:val="15"/>
          <w:szCs w:val="15"/>
          <w:lang w:eastAsia="es-ES"/>
        </w:rPr>
        <w:t xml:space="preserve">DH </w:t>
      </w:r>
      <w:r w:rsidRPr="002C2A3D">
        <w:rPr>
          <w:rFonts w:ascii="Times New Roman" w:eastAsia="Times New Roman" w:hAnsi="Times New Roman" w:cs="Times New Roman"/>
          <w:sz w:val="24"/>
          <w:szCs w:val="24"/>
          <w:lang w:eastAsia="es-ES"/>
        </w:rPr>
        <w:t xml:space="preserve">puede ser ejemplificada con lo sucedido en Cuba, donde el brote fue precedido por varios años endémicos del serotipo I. Durante 1981 se introdujo el serotipo II, causando una epidemia en la que se notificaron 344 203 casos de dengue clásico, 10 312 correspondieron a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grado II al IV y 158 personas fallecieron; se registraron 116 143 hospitalizaciones en un periodo de tres meses. La epidemia afectó a una de cada cien personas de todos los grupos de edad y ambos sexos; es decir que, de presentarse con la misma intensidad en otros lugares, una ciudad de un millón de habitantes presentaría 1 000 casos de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y 11 000 hospitalizados. El costo de la epidemia en Cuba se estimó en 103 millones de dólares, incluyendo gastos directos de atención médica, salarios, pérdida de producción y aplicación del programa de control.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En México se registraron durante 1994 treinta casos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o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0"/>
          <w:szCs w:val="20"/>
          <w:lang w:eastAsia="es-ES"/>
        </w:rPr>
        <w:t>,</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incluyendo siete defunciones, con una letalidad del 23.3%, la cual</w:t>
      </w:r>
      <w:r w:rsidRPr="002C2A3D">
        <w:rPr>
          <w:rFonts w:ascii="Times New Roman" w:eastAsia="Times New Roman" w:hAnsi="Times New Roman" w:cs="Times New Roman"/>
          <w:b/>
          <w:bCs/>
          <w:sz w:val="24"/>
          <w:szCs w:val="24"/>
          <w:lang w:eastAsia="es-ES"/>
        </w:rPr>
        <w:t xml:space="preserve"> </w:t>
      </w:r>
      <w:r w:rsidRPr="002C2A3D">
        <w:rPr>
          <w:rFonts w:ascii="Times New Roman" w:eastAsia="Times New Roman" w:hAnsi="Times New Roman" w:cs="Times New Roman"/>
          <w:sz w:val="24"/>
          <w:szCs w:val="24"/>
          <w:lang w:eastAsia="es-ES"/>
        </w:rPr>
        <w:t xml:space="preserve">es significativamente mayor a la observada en Cuba (1.5%) o en Venezuela (1.2%); durante este año se demostró la circulación de los serotipos I, II y IV en diversas zonas del país. Para 1995 se </w:t>
      </w:r>
      <w:r w:rsidRPr="002C2A3D">
        <w:rPr>
          <w:rFonts w:ascii="Times New Roman" w:eastAsia="Times New Roman" w:hAnsi="Times New Roman" w:cs="Times New Roman"/>
          <w:sz w:val="24"/>
          <w:szCs w:val="24"/>
          <w:lang w:eastAsia="es-ES"/>
        </w:rPr>
        <w:lastRenderedPageBreak/>
        <w:t>registraron 539 casos con 30 defunciones (letalidad del 5.6 %) y la incidencia aumentó durante 1996.</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2" name="Imagen 2"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bookmarkStart w:id="5" w:name="1._ASPECTOS_GENERALES"/>
      <w:r w:rsidRPr="002C2A3D">
        <w:rPr>
          <w:rFonts w:ascii="Times New Roman" w:eastAsia="Times New Roman" w:hAnsi="Times New Roman" w:cs="Times New Roman"/>
          <w:b/>
          <w:bCs/>
          <w:sz w:val="27"/>
          <w:szCs w:val="27"/>
          <w:lang w:eastAsia="es-ES"/>
        </w:rPr>
        <w:t>1. ASPECTOS GENERALES</w:t>
      </w:r>
      <w:bookmarkEnd w:id="5"/>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dengue es producido por un </w:t>
      </w:r>
      <w:proofErr w:type="spellStart"/>
      <w:r w:rsidRPr="002C2A3D">
        <w:rPr>
          <w:rFonts w:ascii="Times New Roman" w:eastAsia="Times New Roman" w:hAnsi="Times New Roman" w:cs="Times New Roman"/>
          <w:sz w:val="24"/>
          <w:szCs w:val="24"/>
          <w:lang w:eastAsia="es-ES"/>
        </w:rPr>
        <w:t>arbovirus</w:t>
      </w:r>
      <w:proofErr w:type="spellEnd"/>
      <w:r w:rsidRPr="002C2A3D">
        <w:rPr>
          <w:rFonts w:ascii="Times New Roman" w:eastAsia="Times New Roman" w:hAnsi="Times New Roman" w:cs="Times New Roman"/>
          <w:sz w:val="24"/>
          <w:szCs w:val="24"/>
          <w:lang w:eastAsia="es-ES"/>
        </w:rPr>
        <w:t xml:space="preserve"> de la familia </w:t>
      </w:r>
      <w:proofErr w:type="spellStart"/>
      <w:r w:rsidRPr="002C2A3D">
        <w:rPr>
          <w:rFonts w:ascii="Times New Roman" w:eastAsia="Times New Roman" w:hAnsi="Times New Roman" w:cs="Times New Roman"/>
          <w:i/>
          <w:iCs/>
          <w:sz w:val="24"/>
          <w:szCs w:val="24"/>
          <w:lang w:eastAsia="es-ES"/>
        </w:rPr>
        <w:t>Flaviviridae</w:t>
      </w:r>
      <w:proofErr w:type="spellEnd"/>
      <w:r w:rsidRPr="002C2A3D">
        <w:rPr>
          <w:rFonts w:ascii="Times New Roman" w:eastAsia="Times New Roman" w:hAnsi="Times New Roman" w:cs="Times New Roman"/>
          <w:i/>
          <w:iCs/>
          <w:sz w:val="24"/>
          <w:szCs w:val="24"/>
          <w:lang w:eastAsia="es-ES"/>
        </w:rPr>
        <w:t xml:space="preserve">. </w:t>
      </w:r>
      <w:r w:rsidRPr="002C2A3D">
        <w:rPr>
          <w:rFonts w:ascii="Times New Roman" w:eastAsia="Times New Roman" w:hAnsi="Times New Roman" w:cs="Times New Roman"/>
          <w:sz w:val="24"/>
          <w:szCs w:val="24"/>
          <w:lang w:eastAsia="es-ES"/>
        </w:rPr>
        <w:t xml:space="preserve">Los cuatro serotipos del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se transmiten principalmente por el mosquito </w:t>
      </w:r>
      <w:proofErr w:type="spellStart"/>
      <w:r w:rsidRPr="002C2A3D">
        <w:rPr>
          <w:rFonts w:ascii="Times New Roman" w:eastAsia="Times New Roman" w:hAnsi="Times New Roman" w:cs="Times New Roman"/>
          <w:i/>
          <w:iCs/>
          <w:sz w:val="24"/>
          <w:szCs w:val="24"/>
          <w:lang w:eastAsia="es-ES"/>
        </w:rPr>
        <w:t>Aedes</w:t>
      </w:r>
      <w:proofErr w:type="spellEnd"/>
      <w:r w:rsidRPr="002C2A3D">
        <w:rPr>
          <w:rFonts w:ascii="Times New Roman" w:eastAsia="Times New Roman" w:hAnsi="Times New Roman" w:cs="Times New Roman"/>
          <w:i/>
          <w:iCs/>
          <w:sz w:val="24"/>
          <w:szCs w:val="24"/>
          <w:lang w:eastAsia="es-ES"/>
        </w:rPr>
        <w:t xml:space="preserve"> </w:t>
      </w:r>
      <w:proofErr w:type="spellStart"/>
      <w:r w:rsidRPr="002C2A3D">
        <w:rPr>
          <w:rFonts w:ascii="Times New Roman" w:eastAsia="Times New Roman" w:hAnsi="Times New Roman" w:cs="Times New Roman"/>
          <w:i/>
          <w:iCs/>
          <w:sz w:val="24"/>
          <w:szCs w:val="24"/>
          <w:lang w:eastAsia="es-ES"/>
        </w:rPr>
        <w:t>aegypti</w:t>
      </w:r>
      <w:proofErr w:type="spellEnd"/>
      <w:r w:rsidRPr="002C2A3D">
        <w:rPr>
          <w:rFonts w:ascii="Times New Roman" w:eastAsia="Times New Roman" w:hAnsi="Times New Roman" w:cs="Times New Roman"/>
          <w:i/>
          <w:iCs/>
          <w:sz w:val="24"/>
          <w:szCs w:val="24"/>
          <w:lang w:eastAsia="es-ES"/>
        </w:rPr>
        <w:t>. En</w:t>
      </w:r>
      <w:r w:rsidRPr="002C2A3D">
        <w:rPr>
          <w:rFonts w:ascii="Times New Roman" w:eastAsia="Times New Roman" w:hAnsi="Times New Roman" w:cs="Times New Roman"/>
          <w:sz w:val="24"/>
          <w:szCs w:val="24"/>
          <w:lang w:eastAsia="es-ES"/>
        </w:rPr>
        <w:t xml:space="preserve"> México, el </w:t>
      </w:r>
      <w:proofErr w:type="spellStart"/>
      <w:r w:rsidRPr="002C2A3D">
        <w:rPr>
          <w:rFonts w:ascii="Times New Roman" w:eastAsia="Times New Roman" w:hAnsi="Times New Roman" w:cs="Times New Roman"/>
          <w:i/>
          <w:iCs/>
          <w:sz w:val="24"/>
          <w:szCs w:val="24"/>
          <w:lang w:eastAsia="es-ES"/>
        </w:rPr>
        <w:t>Ae</w:t>
      </w:r>
      <w:proofErr w:type="spellEnd"/>
      <w:r w:rsidRPr="002C2A3D">
        <w:rPr>
          <w:rFonts w:ascii="Times New Roman" w:eastAsia="Times New Roman" w:hAnsi="Times New Roman" w:cs="Times New Roman"/>
          <w:i/>
          <w:iCs/>
          <w:sz w:val="24"/>
          <w:szCs w:val="24"/>
          <w:lang w:eastAsia="es-ES"/>
        </w:rPr>
        <w:t xml:space="preserve">. </w:t>
      </w:r>
      <w:proofErr w:type="spellStart"/>
      <w:proofErr w:type="gramStart"/>
      <w:r w:rsidRPr="002C2A3D">
        <w:rPr>
          <w:rFonts w:ascii="Times New Roman" w:eastAsia="Times New Roman" w:hAnsi="Times New Roman" w:cs="Times New Roman"/>
          <w:i/>
          <w:iCs/>
          <w:sz w:val="24"/>
          <w:szCs w:val="24"/>
          <w:lang w:eastAsia="es-ES"/>
        </w:rPr>
        <w:t>aegypti</w:t>
      </w:r>
      <w:proofErr w:type="spellEnd"/>
      <w:proofErr w:type="gramEnd"/>
      <w:r w:rsidRPr="002C2A3D">
        <w:rPr>
          <w:rFonts w:ascii="Times New Roman" w:eastAsia="Times New Roman" w:hAnsi="Times New Roman" w:cs="Times New Roman"/>
          <w:i/>
          <w:iCs/>
          <w:sz w:val="24"/>
          <w:szCs w:val="24"/>
          <w:lang w:eastAsia="es-ES"/>
        </w:rPr>
        <w:t xml:space="preserve"> </w:t>
      </w:r>
      <w:r w:rsidRPr="002C2A3D">
        <w:rPr>
          <w:rFonts w:ascii="Times New Roman" w:eastAsia="Times New Roman" w:hAnsi="Times New Roman" w:cs="Times New Roman"/>
          <w:sz w:val="24"/>
          <w:szCs w:val="24"/>
          <w:lang w:eastAsia="es-ES"/>
        </w:rPr>
        <w:t xml:space="preserve">y el dengue fueron eliminados durante el programa de erradicación de la fiebre amarilla en 1963; en 1965 se reintrodujo el vector por la frontera norte, infestando rápidamente el resto del país. Durante los años 70 se presentaron brotes de dengue en el Caribe y Centroamérica, por lo que era segura su reintroducción a nuestro país; en diciembre de 1978 se detectó un brote en Tapachula, Chiapas. Desde entonces el serotipo I es endémico, el II y IV reiniciaron su circulación en 1984. La introducción del serotipo III se registró en agosto de 1995, nuevamente por la frontera sur, desde donde se diseminó rápidamente a lo largo de la costa del Golfo de México y durante 1996 se ha demostrado su circulación en la costa del Pacífico. Este serotipo está asociado a brotes importantes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en nuestro país. Al momento actual los 31 estados han reportado casos de dengue y 29 entidades federativas están infestadas por </w:t>
      </w:r>
      <w:r w:rsidRPr="002C2A3D">
        <w:rPr>
          <w:rFonts w:ascii="Times New Roman" w:eastAsia="Times New Roman" w:hAnsi="Times New Roman" w:cs="Times New Roman"/>
          <w:i/>
          <w:iCs/>
          <w:sz w:val="24"/>
          <w:szCs w:val="24"/>
          <w:lang w:eastAsia="es-ES"/>
        </w:rPr>
        <w:t xml:space="preserve">el </w:t>
      </w:r>
      <w:proofErr w:type="spellStart"/>
      <w:r w:rsidRPr="002C2A3D">
        <w:rPr>
          <w:rFonts w:ascii="Times New Roman" w:eastAsia="Times New Roman" w:hAnsi="Times New Roman" w:cs="Times New Roman"/>
          <w:i/>
          <w:iCs/>
          <w:sz w:val="24"/>
          <w:szCs w:val="24"/>
          <w:lang w:eastAsia="es-ES"/>
        </w:rPr>
        <w:t>Ae</w:t>
      </w:r>
      <w:proofErr w:type="spellEnd"/>
      <w:r w:rsidRPr="002C2A3D">
        <w:rPr>
          <w:rFonts w:ascii="Times New Roman" w:eastAsia="Times New Roman" w:hAnsi="Times New Roman" w:cs="Times New Roman"/>
          <w:i/>
          <w:iCs/>
          <w:sz w:val="24"/>
          <w:szCs w:val="24"/>
          <w:lang w:eastAsia="es-ES"/>
        </w:rPr>
        <w:t xml:space="preserve">. </w:t>
      </w:r>
      <w:proofErr w:type="spellStart"/>
      <w:proofErr w:type="gramStart"/>
      <w:r w:rsidRPr="002C2A3D">
        <w:rPr>
          <w:rFonts w:ascii="Times New Roman" w:eastAsia="Times New Roman" w:hAnsi="Times New Roman" w:cs="Times New Roman"/>
          <w:i/>
          <w:iCs/>
          <w:sz w:val="24"/>
          <w:szCs w:val="24"/>
          <w:lang w:eastAsia="es-ES"/>
        </w:rPr>
        <w:t>aegypti</w:t>
      </w:r>
      <w:proofErr w:type="spellEnd"/>
      <w:proofErr w:type="gramEnd"/>
      <w:r w:rsidRPr="002C2A3D">
        <w:rPr>
          <w:rFonts w:ascii="Times New Roman" w:eastAsia="Times New Roman" w:hAnsi="Times New Roman" w:cs="Times New Roman"/>
          <w:i/>
          <w:iCs/>
          <w:sz w:val="24"/>
          <w:szCs w:val="24"/>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infección por cada serotipo confiere inmunidad específica permanente al serotipo infectante y en forma cruzada por unas semanas. Su comportamiento clínico y epidemiológico está determinado por los niveles de inmunidad y la población expuesta a los virus presentes o que han circulado, por las variables ecológicas que influyen en el proceso de la transmisión y por la presencia y adaptación de sus vectores. Las diversas formas clínicas y características de transmisión del padecimiento permiten considerarlo como un complejo de enfermedad definido por la situación local o regional.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principal vector en América es el </w:t>
      </w:r>
      <w:proofErr w:type="spellStart"/>
      <w:r w:rsidRPr="002C2A3D">
        <w:rPr>
          <w:rFonts w:ascii="Times New Roman" w:eastAsia="Times New Roman" w:hAnsi="Times New Roman" w:cs="Times New Roman"/>
          <w:i/>
          <w:iCs/>
          <w:sz w:val="24"/>
          <w:szCs w:val="24"/>
          <w:lang w:eastAsia="es-ES"/>
        </w:rPr>
        <w:t>Ae</w:t>
      </w:r>
      <w:proofErr w:type="spellEnd"/>
      <w:r w:rsidRPr="002C2A3D">
        <w:rPr>
          <w:rFonts w:ascii="Times New Roman" w:eastAsia="Times New Roman" w:hAnsi="Times New Roman" w:cs="Times New Roman"/>
          <w:i/>
          <w:iCs/>
          <w:sz w:val="24"/>
          <w:szCs w:val="24"/>
          <w:lang w:eastAsia="es-ES"/>
        </w:rPr>
        <w:t xml:space="preserve">. </w:t>
      </w:r>
      <w:proofErr w:type="spellStart"/>
      <w:proofErr w:type="gramStart"/>
      <w:r w:rsidRPr="002C2A3D">
        <w:rPr>
          <w:rFonts w:ascii="Times New Roman" w:eastAsia="Times New Roman" w:hAnsi="Times New Roman" w:cs="Times New Roman"/>
          <w:i/>
          <w:iCs/>
          <w:sz w:val="24"/>
          <w:szCs w:val="24"/>
          <w:lang w:eastAsia="es-ES"/>
        </w:rPr>
        <w:t>aegypti</w:t>
      </w:r>
      <w:proofErr w:type="spellEnd"/>
      <w:proofErr w:type="gramEnd"/>
      <w:r w:rsidRPr="002C2A3D">
        <w:rPr>
          <w:rFonts w:ascii="Times New Roman" w:eastAsia="Times New Roman" w:hAnsi="Times New Roman" w:cs="Times New Roman"/>
          <w:i/>
          <w:iCs/>
          <w:sz w:val="24"/>
          <w:szCs w:val="24"/>
          <w:lang w:eastAsia="es-ES"/>
        </w:rPr>
        <w:t xml:space="preserve">; </w:t>
      </w:r>
      <w:r w:rsidRPr="002C2A3D">
        <w:rPr>
          <w:rFonts w:ascii="Times New Roman" w:eastAsia="Times New Roman" w:hAnsi="Times New Roman" w:cs="Times New Roman"/>
          <w:sz w:val="24"/>
          <w:szCs w:val="24"/>
          <w:lang w:eastAsia="es-ES"/>
        </w:rPr>
        <w:t xml:space="preserve">el ciclo de la enfermedad es hombre-mosco-hombre; el periodo de incubación extrínseco es de 8 a 12 días, después de los cuales es capaz de transmitir la enfermedad al nuevo huésped. El vector es un zancudo doméstico que se reproduce dentro de las casas o en el </w:t>
      </w:r>
      <w:proofErr w:type="spellStart"/>
      <w:r w:rsidRPr="002C2A3D">
        <w:rPr>
          <w:rFonts w:ascii="Times New Roman" w:eastAsia="Times New Roman" w:hAnsi="Times New Roman" w:cs="Times New Roman"/>
          <w:sz w:val="24"/>
          <w:szCs w:val="24"/>
          <w:lang w:eastAsia="es-ES"/>
        </w:rPr>
        <w:t>peridomicilio</w:t>
      </w:r>
      <w:proofErr w:type="spellEnd"/>
      <w:r w:rsidRPr="002C2A3D">
        <w:rPr>
          <w:rFonts w:ascii="Times New Roman" w:eastAsia="Times New Roman" w:hAnsi="Times New Roman" w:cs="Times New Roman"/>
          <w:sz w:val="24"/>
          <w:szCs w:val="24"/>
          <w:lang w:eastAsia="es-ES"/>
        </w:rPr>
        <w:t>, se alimenta principalmente de sangre humana y pica preferentemente en las primeras horas del día y al atardecer, su rango de vuelo es reducido (menos de cien metros), aunque puede aumentar en forma considerable si es necesario buscar criaderos; el periodo de desarrollo desde la ovoposición hasta la eclosión del mosquito varía (en condiciones apropiadas) entre 8 y 15 días. Se caracteriza por tener una mancha blanca en el dorso con la forma de una lira y anillos blancos en las patas.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Por otro lado, en 1986 se introdujo un nuevo vector del dengue procedente de Asia, </w:t>
      </w:r>
      <w:r w:rsidRPr="002C2A3D">
        <w:rPr>
          <w:rFonts w:ascii="Times New Roman" w:eastAsia="Times New Roman" w:hAnsi="Times New Roman" w:cs="Times New Roman"/>
          <w:i/>
          <w:iCs/>
          <w:sz w:val="24"/>
          <w:szCs w:val="24"/>
          <w:lang w:eastAsia="es-ES"/>
        </w:rPr>
        <w:t xml:space="preserve">el </w:t>
      </w:r>
      <w:proofErr w:type="spellStart"/>
      <w:r w:rsidRPr="002C2A3D">
        <w:rPr>
          <w:rFonts w:ascii="Times New Roman" w:eastAsia="Times New Roman" w:hAnsi="Times New Roman" w:cs="Times New Roman"/>
          <w:i/>
          <w:iCs/>
          <w:sz w:val="24"/>
          <w:szCs w:val="24"/>
          <w:lang w:eastAsia="es-ES"/>
        </w:rPr>
        <w:t>Aedes</w:t>
      </w:r>
      <w:proofErr w:type="spellEnd"/>
      <w:r w:rsidRPr="002C2A3D">
        <w:rPr>
          <w:rFonts w:ascii="Times New Roman" w:eastAsia="Times New Roman" w:hAnsi="Times New Roman" w:cs="Times New Roman"/>
          <w:i/>
          <w:iCs/>
          <w:sz w:val="24"/>
          <w:szCs w:val="24"/>
          <w:lang w:eastAsia="es-ES"/>
        </w:rPr>
        <w:t xml:space="preserve"> </w:t>
      </w:r>
      <w:proofErr w:type="spellStart"/>
      <w:r w:rsidRPr="002C2A3D">
        <w:rPr>
          <w:rFonts w:ascii="Times New Roman" w:eastAsia="Times New Roman" w:hAnsi="Times New Roman" w:cs="Times New Roman"/>
          <w:i/>
          <w:iCs/>
          <w:sz w:val="24"/>
          <w:szCs w:val="24"/>
          <w:lang w:eastAsia="es-ES"/>
        </w:rPr>
        <w:t>albopictus</w:t>
      </w:r>
      <w:proofErr w:type="spellEnd"/>
      <w:r w:rsidRPr="002C2A3D">
        <w:rPr>
          <w:rFonts w:ascii="Times New Roman" w:eastAsia="Times New Roman" w:hAnsi="Times New Roman" w:cs="Times New Roman"/>
          <w:i/>
          <w:iCs/>
          <w:sz w:val="24"/>
          <w:szCs w:val="24"/>
          <w:lang w:eastAsia="es-ES"/>
        </w:rPr>
        <w:t xml:space="preserve">, </w:t>
      </w:r>
      <w:r w:rsidRPr="002C2A3D">
        <w:rPr>
          <w:rFonts w:ascii="Times New Roman" w:eastAsia="Times New Roman" w:hAnsi="Times New Roman" w:cs="Times New Roman"/>
          <w:sz w:val="24"/>
          <w:szCs w:val="24"/>
          <w:lang w:eastAsia="es-ES"/>
        </w:rPr>
        <w:t xml:space="preserve">a los Estados Unidos y Brasil, y se dispersó lentamente; en México se demostró su presencia en el norte del país a partir de 1990; se desconoce a la fecha su papel en la transmisión y su distribución en el país; este vector tiene gran resistencia a las bajas temperaturas, tiende a ser más rural y presenta mayor potencial para la transmisión </w:t>
      </w:r>
      <w:proofErr w:type="spellStart"/>
      <w:r w:rsidRPr="002C2A3D">
        <w:rPr>
          <w:rFonts w:ascii="Times New Roman" w:eastAsia="Times New Roman" w:hAnsi="Times New Roman" w:cs="Times New Roman"/>
          <w:sz w:val="24"/>
          <w:szCs w:val="24"/>
          <w:lang w:eastAsia="es-ES"/>
        </w:rPr>
        <w:t>transovárica</w:t>
      </w:r>
      <w:proofErr w:type="spellEnd"/>
      <w:r w:rsidRPr="002C2A3D">
        <w:rPr>
          <w:rFonts w:ascii="Times New Roman" w:eastAsia="Times New Roman" w:hAnsi="Times New Roman" w:cs="Times New Roman"/>
          <w:sz w:val="24"/>
          <w:szCs w:val="24"/>
          <w:lang w:eastAsia="es-ES"/>
        </w:rPr>
        <w:t xml:space="preserve"> del virus, por lo que los mosquitos al eclosionar están ya infectados por el virus.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 xml:space="preserve">A pesar de que la incidencia conocida del dengue en nuestro país se mostró descendente durante algunos años, se sabe que el </w:t>
      </w:r>
      <w:proofErr w:type="spellStart"/>
      <w:r w:rsidRPr="002C2A3D">
        <w:rPr>
          <w:rFonts w:ascii="Times New Roman" w:eastAsia="Times New Roman" w:hAnsi="Times New Roman" w:cs="Times New Roman"/>
          <w:sz w:val="24"/>
          <w:szCs w:val="24"/>
          <w:lang w:eastAsia="es-ES"/>
        </w:rPr>
        <w:t>subregistro</w:t>
      </w:r>
      <w:proofErr w:type="spellEnd"/>
      <w:r w:rsidRPr="002C2A3D">
        <w:rPr>
          <w:rFonts w:ascii="Times New Roman" w:eastAsia="Times New Roman" w:hAnsi="Times New Roman" w:cs="Times New Roman"/>
          <w:sz w:val="24"/>
          <w:szCs w:val="24"/>
          <w:lang w:eastAsia="es-ES"/>
        </w:rPr>
        <w:t xml:space="preserve"> de la enfermedad es alto: sólo se reporta entre el 1 y 10 % de los casos. Durante los últimos meses de 1994, se presentaron brotes importantes de dengue clásico en varios estados del sureste; en ese año se registraron 8 072 casos, de los cuales el 87% se presentó a partir de la segunda semana de septiembre, periodo en que se intensificó la vigilancia del padecimiento. En el mes de agosto se notificó el primer caso de </w:t>
      </w:r>
      <w:r w:rsidRPr="002C2A3D">
        <w:rPr>
          <w:rFonts w:ascii="Times New Roman" w:eastAsia="Times New Roman" w:hAnsi="Times New Roman" w:cs="Times New Roman"/>
          <w:sz w:val="20"/>
          <w:szCs w:val="20"/>
          <w:lang w:eastAsia="es-ES"/>
        </w:rPr>
        <w:t xml:space="preserve">DH </w:t>
      </w:r>
      <w:r w:rsidRPr="002C2A3D">
        <w:rPr>
          <w:rFonts w:ascii="Times New Roman" w:eastAsia="Times New Roman" w:hAnsi="Times New Roman" w:cs="Times New Roman"/>
          <w:sz w:val="24"/>
          <w:szCs w:val="24"/>
          <w:lang w:eastAsia="es-ES"/>
        </w:rPr>
        <w:t>en 1994, para concluir el año con treinta, en comparación con 26 del periodo de 1984 a 1993.</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Las encuestas </w:t>
      </w:r>
      <w:proofErr w:type="spellStart"/>
      <w:r w:rsidRPr="002C2A3D">
        <w:rPr>
          <w:rFonts w:ascii="Times New Roman" w:eastAsia="Times New Roman" w:hAnsi="Times New Roman" w:cs="Times New Roman"/>
          <w:sz w:val="24"/>
          <w:szCs w:val="24"/>
          <w:lang w:eastAsia="es-ES"/>
        </w:rPr>
        <w:t>seroepidemiológicas</w:t>
      </w:r>
      <w:proofErr w:type="spellEnd"/>
      <w:r w:rsidRPr="002C2A3D">
        <w:rPr>
          <w:rFonts w:ascii="Times New Roman" w:eastAsia="Times New Roman" w:hAnsi="Times New Roman" w:cs="Times New Roman"/>
          <w:sz w:val="24"/>
          <w:szCs w:val="24"/>
          <w:lang w:eastAsia="es-ES"/>
        </w:rPr>
        <w:t xml:space="preserve"> en México indican que varios millones de personas han sido infectadas por uno o más de los serotipos desde 1978 y, para fines prácticos, se estima que los tres han circulado en forma amplia en el país, lo que se traduce en un alto riesgo para el desarrollo de cuadros hemorrágicos en forma epidémica. Ante una epidemia de </w:t>
      </w:r>
      <w:r w:rsidRPr="002C2A3D">
        <w:rPr>
          <w:rFonts w:ascii="Times New Roman" w:eastAsia="Times New Roman" w:hAnsi="Times New Roman" w:cs="Times New Roman"/>
          <w:sz w:val="20"/>
          <w:szCs w:val="20"/>
          <w:lang w:eastAsia="es-ES"/>
        </w:rPr>
        <w:t xml:space="preserve">DH, </w:t>
      </w:r>
      <w:r w:rsidRPr="002C2A3D">
        <w:rPr>
          <w:rFonts w:ascii="Times New Roman" w:eastAsia="Times New Roman" w:hAnsi="Times New Roman" w:cs="Times New Roman"/>
          <w:sz w:val="24"/>
          <w:szCs w:val="24"/>
          <w:lang w:eastAsia="es-ES"/>
        </w:rPr>
        <w:t>la capacidad hospitalaria del país se vería comprometida en una forma difícil de precisar.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bookmarkStart w:id="6" w:name="No_se_dispone"/>
      <w:r w:rsidRPr="002C2A3D">
        <w:rPr>
          <w:rFonts w:ascii="Times New Roman" w:eastAsia="Times New Roman" w:hAnsi="Times New Roman" w:cs="Times New Roman"/>
          <w:sz w:val="24"/>
          <w:szCs w:val="24"/>
          <w:lang w:eastAsia="es-ES"/>
        </w:rPr>
        <w:t>No se dispone</w:t>
      </w:r>
      <w:bookmarkEnd w:id="6"/>
      <w:r w:rsidRPr="002C2A3D">
        <w:rPr>
          <w:rFonts w:ascii="Times New Roman" w:eastAsia="Times New Roman" w:hAnsi="Times New Roman" w:cs="Times New Roman"/>
          <w:sz w:val="24"/>
          <w:szCs w:val="24"/>
          <w:lang w:eastAsia="es-ES"/>
        </w:rPr>
        <w:t xml:space="preserve"> de una vacuna contra el dengue, por lo que la susceptibilidad es universal, tampoco hay un tratamiento específico y el manejo de los casos se dirige hacia el mantenimiento del paciente mientras supera la fase crítica en las formas graves. Por tanto, las medidas de prevención y control se enfocan hacia la modificación de los diversos factores de riesgo, principalmente hacia el control del vector.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hyperlink r:id="rId19" w:history="1">
        <w:r w:rsidRPr="002C2A3D">
          <w:rPr>
            <w:rFonts w:ascii="Times New Roman" w:eastAsia="Times New Roman" w:hAnsi="Times New Roman" w:cs="Times New Roman"/>
            <w:color w:val="0000FF"/>
            <w:sz w:val="24"/>
            <w:szCs w:val="24"/>
            <w:u w:val="single"/>
            <w:lang w:eastAsia="es-ES"/>
          </w:rPr>
          <w:t xml:space="preserve">Esquema 1: Factores de riesgo y dengue </w:t>
        </w:r>
        <w:proofErr w:type="spellStart"/>
        <w:r w:rsidRPr="002C2A3D">
          <w:rPr>
            <w:rFonts w:ascii="Times New Roman" w:eastAsia="Times New Roman" w:hAnsi="Times New Roman" w:cs="Times New Roman"/>
            <w:color w:val="0000FF"/>
            <w:sz w:val="24"/>
            <w:szCs w:val="24"/>
            <w:u w:val="single"/>
            <w:lang w:eastAsia="es-ES"/>
          </w:rPr>
          <w:t>hemorragico</w:t>
        </w:r>
        <w:proofErr w:type="spellEnd"/>
        <w:r w:rsidRPr="002C2A3D">
          <w:rPr>
            <w:rFonts w:ascii="Times New Roman" w:eastAsia="Times New Roman" w:hAnsi="Times New Roman" w:cs="Times New Roman"/>
            <w:color w:val="0000FF"/>
            <w:sz w:val="24"/>
            <w:szCs w:val="24"/>
            <w:u w:val="single"/>
            <w:lang w:eastAsia="es-ES"/>
          </w:rPr>
          <w:t>.</w:t>
        </w:r>
      </w:hyperlink>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b/>
          <w:bCs/>
          <w:sz w:val="27"/>
          <w:szCs w:val="27"/>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3" name="Imagen 3"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7"/>
          <w:szCs w:val="27"/>
          <w:lang w:eastAsia="es-ES"/>
        </w:rPr>
      </w:pPr>
      <w:bookmarkStart w:id="7" w:name="2._FACTORES_DE_RIESGO_PARA_LA_TRANSMISIÓ"/>
      <w:r w:rsidRPr="002C2A3D">
        <w:rPr>
          <w:rFonts w:ascii="Times New Roman" w:eastAsia="Times New Roman" w:hAnsi="Times New Roman" w:cs="Times New Roman"/>
          <w:b/>
          <w:bCs/>
          <w:sz w:val="27"/>
          <w:szCs w:val="27"/>
          <w:lang w:eastAsia="es-ES"/>
        </w:rPr>
        <w:t>2. FACTORES DE RIESGO PARA LA TRANSMISIÓN</w:t>
      </w:r>
      <w:bookmarkEnd w:id="7"/>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7"/>
          <w:szCs w:val="27"/>
          <w:lang w:eastAsia="es-ES"/>
        </w:rPr>
      </w:pPr>
      <w:r w:rsidRPr="002C2A3D">
        <w:rPr>
          <w:rFonts w:ascii="Times New Roman" w:eastAsia="Times New Roman" w:hAnsi="Times New Roman" w:cs="Times New Roman"/>
          <w:b/>
          <w:bCs/>
          <w:sz w:val="27"/>
          <w:szCs w:val="27"/>
          <w:lang w:eastAsia="es-ES"/>
        </w:rPr>
        <w:t>DEL DENGUE Y LA PRESENTACIÓN</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7"/>
          <w:szCs w:val="27"/>
          <w:lang w:eastAsia="es-ES"/>
        </w:rPr>
      </w:pPr>
      <w:r w:rsidRPr="002C2A3D">
        <w:rPr>
          <w:rFonts w:ascii="Times New Roman" w:eastAsia="Times New Roman" w:hAnsi="Times New Roman" w:cs="Times New Roman"/>
          <w:b/>
          <w:bCs/>
          <w:sz w:val="27"/>
          <w:szCs w:val="27"/>
          <w:lang w:eastAsia="es-ES"/>
        </w:rPr>
        <w:t>DE FORMAS HEMORRÁGICAS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7"/>
          <w:szCs w:val="27"/>
          <w:lang w:eastAsia="es-ES"/>
        </w:rPr>
      </w:pPr>
      <w:r w:rsidRPr="002C2A3D">
        <w:rPr>
          <w:rFonts w:ascii="Times New Roman" w:eastAsia="Times New Roman" w:hAnsi="Times New Roman" w:cs="Times New Roman"/>
          <w:sz w:val="27"/>
          <w:szCs w:val="27"/>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Como en otras enfermedades transmisibles, el riesgo de infección por 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y sus diversas presentaciones clínicas se determinan por las características de la población, el individuo, el agente y el ambiente. En este caso, los aspectos ambientales cobran una importancia especial, pues determinan la presencia del vector. En el esquema 1 se presentan los principales factores implicados en la transmisión y persistencia de la enfermedad.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Para la presencia y transmisión del dengue en su forma clásica, los factores determinantes son la existencia de huéspedes susceptibles a cada serotipo, la presencia del vector y la circulación viral de los distintos serotipos en la comunidad; la intensidad de la transmisión estará condicionada por la proporción de susceptibles y enfermos, así como por la densidad vectorial. Para los serotipos que han circulado en el pasado, la inmunidad de grupo limita en forma importante la transmisión.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 xml:space="preserve">Por su parte, la presencia y densidad vectorial dependen de aspectos ambientales y ecológicos, como la altura sobre el nivel del mar, temperatura, media, humedad, precipitación pluvial, fuentes de alimento y, sobre todo, la disponibilidad de criaderos adecuados, que a su vez están condicionados por aspectos socioculturales de la población. La caracterización de los criaderos es fundamental para las acciones de control, ya que la hembra del </w:t>
      </w:r>
      <w:proofErr w:type="spellStart"/>
      <w:r w:rsidRPr="002C2A3D">
        <w:rPr>
          <w:rFonts w:ascii="Times New Roman" w:eastAsia="Times New Roman" w:hAnsi="Times New Roman" w:cs="Times New Roman"/>
          <w:i/>
          <w:iCs/>
          <w:sz w:val="24"/>
          <w:szCs w:val="24"/>
          <w:lang w:eastAsia="es-ES"/>
        </w:rPr>
        <w:t>Ae</w:t>
      </w:r>
      <w:proofErr w:type="spellEnd"/>
      <w:r w:rsidRPr="002C2A3D">
        <w:rPr>
          <w:rFonts w:ascii="Times New Roman" w:eastAsia="Times New Roman" w:hAnsi="Times New Roman" w:cs="Times New Roman"/>
          <w:i/>
          <w:iCs/>
          <w:sz w:val="24"/>
          <w:szCs w:val="24"/>
          <w:lang w:eastAsia="es-ES"/>
        </w:rPr>
        <w:t xml:space="preserve">. </w:t>
      </w:r>
      <w:proofErr w:type="spellStart"/>
      <w:proofErr w:type="gramStart"/>
      <w:r w:rsidRPr="002C2A3D">
        <w:rPr>
          <w:rFonts w:ascii="Times New Roman" w:eastAsia="Times New Roman" w:hAnsi="Times New Roman" w:cs="Times New Roman"/>
          <w:i/>
          <w:iCs/>
          <w:sz w:val="24"/>
          <w:szCs w:val="24"/>
          <w:lang w:eastAsia="es-ES"/>
        </w:rPr>
        <w:t>aegypti</w:t>
      </w:r>
      <w:proofErr w:type="spellEnd"/>
      <w:proofErr w:type="gramEnd"/>
      <w:r w:rsidRPr="002C2A3D">
        <w:rPr>
          <w:rFonts w:ascii="Times New Roman" w:eastAsia="Times New Roman" w:hAnsi="Times New Roman" w:cs="Times New Roman"/>
          <w:i/>
          <w:iCs/>
          <w:sz w:val="24"/>
          <w:szCs w:val="24"/>
          <w:lang w:eastAsia="es-ES"/>
        </w:rPr>
        <w:t xml:space="preserve"> </w:t>
      </w:r>
      <w:r w:rsidRPr="002C2A3D">
        <w:rPr>
          <w:rFonts w:ascii="Times New Roman" w:eastAsia="Times New Roman" w:hAnsi="Times New Roman" w:cs="Times New Roman"/>
          <w:sz w:val="24"/>
          <w:szCs w:val="24"/>
          <w:lang w:eastAsia="es-ES"/>
        </w:rPr>
        <w:t>es capaz de volar hasta 3 200 metros para encontrar dónde depositar sus huevecillos.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En cuanto al DH y SCHD, los factores de riesgo más importantes son la presencia de infección previa por otro serotipo, la existencia de padecimientos concomitantes (diabetes, anemia </w:t>
      </w:r>
      <w:proofErr w:type="spellStart"/>
      <w:r w:rsidRPr="002C2A3D">
        <w:rPr>
          <w:rFonts w:ascii="Times New Roman" w:eastAsia="Times New Roman" w:hAnsi="Times New Roman" w:cs="Times New Roman"/>
          <w:sz w:val="24"/>
          <w:szCs w:val="24"/>
          <w:lang w:eastAsia="es-ES"/>
        </w:rPr>
        <w:t>drepanocítica</w:t>
      </w:r>
      <w:proofErr w:type="spellEnd"/>
      <w:r w:rsidRPr="002C2A3D">
        <w:rPr>
          <w:rFonts w:ascii="Times New Roman" w:eastAsia="Times New Roman" w:hAnsi="Times New Roman" w:cs="Times New Roman"/>
          <w:sz w:val="24"/>
          <w:szCs w:val="24"/>
          <w:lang w:eastAsia="es-ES"/>
        </w:rPr>
        <w:t>, asma y otros estados que causan compromiso inmunológico, como alcoholismo y embarazo), los serotipos circulantes, la secuencia con que infectan al individuo y la virulencia de la cepa viral.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7"/>
          <w:szCs w:val="27"/>
          <w:lang w:eastAsia="es-ES"/>
        </w:rPr>
      </w:pPr>
      <w:r w:rsidRPr="002C2A3D">
        <w:rPr>
          <w:rFonts w:ascii="Times New Roman" w:eastAsia="Times New Roman" w:hAnsi="Times New Roman" w:cs="Times New Roman"/>
          <w:sz w:val="24"/>
          <w:szCs w:val="24"/>
          <w:lang w:eastAsia="es-ES"/>
        </w:rPr>
        <w:t>Todos los factores señalados están íntimamente relacionados, su suma potencializa el riesgo y, a pesar de su complejidad, coinciden en forma alarmante en amplias zonas del país, por lo que deben ser medidos y estratificados para estimar el riesgo de transmisión y la probabilidad de presentación de formas hemorrágicas.</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7"/>
          <w:szCs w:val="27"/>
          <w:lang w:eastAsia="es-ES"/>
        </w:rPr>
      </w:pPr>
      <w:r w:rsidRPr="002C2A3D">
        <w:rPr>
          <w:rFonts w:ascii="Times New Roman" w:eastAsia="Times New Roman" w:hAnsi="Times New Roman" w:cs="Times New Roman"/>
          <w:sz w:val="27"/>
          <w:szCs w:val="27"/>
          <w:lang w:eastAsia="es-ES"/>
        </w:rPr>
        <w:t> </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7"/>
          <w:szCs w:val="27"/>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4" name="Imagen 4"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7"/>
          <w:szCs w:val="27"/>
          <w:lang w:eastAsia="es-ES"/>
        </w:rPr>
      </w:pPr>
      <w:bookmarkStart w:id="8" w:name="3._CUADRO_CLÍNICO_DEL_DENGUE"/>
      <w:r w:rsidRPr="002C2A3D">
        <w:rPr>
          <w:rFonts w:ascii="Times New Roman" w:eastAsia="Times New Roman" w:hAnsi="Times New Roman" w:cs="Times New Roman"/>
          <w:b/>
          <w:bCs/>
          <w:sz w:val="27"/>
          <w:szCs w:val="27"/>
          <w:lang w:eastAsia="es-ES"/>
        </w:rPr>
        <w:t>3. CUADRO CLÍNICO DEL DENGUE</w:t>
      </w:r>
      <w:bookmarkEnd w:id="8"/>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 experiencia en nuestro país se limita casi exclusivamente a cuadros de dengue clásico, por lo que la información proporcionada sobre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y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se basa en referencias internacionales. Cabe señalar que el cuadro clínico y grupos afectados </w:t>
      </w:r>
      <w:proofErr w:type="gramStart"/>
      <w:r w:rsidRPr="002C2A3D">
        <w:rPr>
          <w:rFonts w:ascii="Times New Roman" w:eastAsia="Times New Roman" w:hAnsi="Times New Roman" w:cs="Times New Roman"/>
          <w:sz w:val="24"/>
          <w:szCs w:val="24"/>
          <w:lang w:eastAsia="es-ES"/>
        </w:rPr>
        <w:t>difiere</w:t>
      </w:r>
      <w:proofErr w:type="gramEnd"/>
      <w:r w:rsidRPr="002C2A3D">
        <w:rPr>
          <w:rFonts w:ascii="Times New Roman" w:eastAsia="Times New Roman" w:hAnsi="Times New Roman" w:cs="Times New Roman"/>
          <w:sz w:val="24"/>
          <w:szCs w:val="24"/>
          <w:lang w:eastAsia="es-ES"/>
        </w:rPr>
        <w:t xml:space="preserve"> en distintas latitudes, especialmente entre las poblaciones asiáticas y lo observado en nuestro continente; lo que se presenta a continuación se basa en forma importante en las características de los casos observados en Cuba. El estudio intensivo de las formas graves de la enfermedad permitirá caracterizarías de manera más adecuada. Por tanto, la información y criterios manejados en este documento pueden mortificarse con base en el conocimiento adquirido.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Los signos y síntomas del dengue clásico, conocido también como "trancazo" o "quebrantahuesos", son ampliamente conocidos por el personal de salud y la población de las áreas endémicas: después de un periodo de incubación de cuatro a siete días (mínimo 3, máximo 14) se presenta una enfermedad febril (más de 38.5 ºC) de inicio brusco, caracterizada por cefalea intensa (generalmente frontal), mialgias, artralgias y dolor de ojos (</w:t>
      </w:r>
      <w:proofErr w:type="spellStart"/>
      <w:r w:rsidRPr="002C2A3D">
        <w:rPr>
          <w:rFonts w:ascii="Times New Roman" w:eastAsia="Times New Roman" w:hAnsi="Times New Roman" w:cs="Times New Roman"/>
          <w:sz w:val="24"/>
          <w:szCs w:val="24"/>
          <w:lang w:eastAsia="es-ES"/>
        </w:rPr>
        <w:t>retrocular</w:t>
      </w:r>
      <w:proofErr w:type="spellEnd"/>
      <w:r w:rsidRPr="002C2A3D">
        <w:rPr>
          <w:rFonts w:ascii="Times New Roman" w:eastAsia="Times New Roman" w:hAnsi="Times New Roman" w:cs="Times New Roman"/>
          <w:sz w:val="24"/>
          <w:szCs w:val="24"/>
          <w:lang w:eastAsia="es-ES"/>
        </w:rPr>
        <w:t xml:space="preserve">) que se incremento con los movimientos oculares. En diferentes proporciones se pueden presentar otros datos, como exantema transitorio, petequias y equimosis, fotofobia, insomnio, prurito, diarrea, náusea, vómito, dolor abdominal y anorexia (los </w:t>
      </w:r>
      <w:proofErr w:type="spellStart"/>
      <w:r w:rsidRPr="002C2A3D">
        <w:rPr>
          <w:rFonts w:ascii="Times New Roman" w:eastAsia="Times New Roman" w:hAnsi="Times New Roman" w:cs="Times New Roman"/>
          <w:sz w:val="24"/>
          <w:szCs w:val="24"/>
          <w:lang w:eastAsia="es-ES"/>
        </w:rPr>
        <w:t>sintomas</w:t>
      </w:r>
      <w:proofErr w:type="spellEnd"/>
      <w:r w:rsidRPr="002C2A3D">
        <w:rPr>
          <w:rFonts w:ascii="Times New Roman" w:eastAsia="Times New Roman" w:hAnsi="Times New Roman" w:cs="Times New Roman"/>
          <w:sz w:val="24"/>
          <w:szCs w:val="24"/>
          <w:lang w:eastAsia="es-ES"/>
        </w:rPr>
        <w:t xml:space="preserve"> gástricos pueden presentarse en más del 50% de los casos); hiperestesia, </w:t>
      </w:r>
      <w:proofErr w:type="spellStart"/>
      <w:r w:rsidRPr="002C2A3D">
        <w:rPr>
          <w:rFonts w:ascii="Times New Roman" w:eastAsia="Times New Roman" w:hAnsi="Times New Roman" w:cs="Times New Roman"/>
          <w:sz w:val="24"/>
          <w:szCs w:val="24"/>
          <w:lang w:eastAsia="es-ES"/>
        </w:rPr>
        <w:t>linfadenopatía</w:t>
      </w:r>
      <w:proofErr w:type="spellEnd"/>
      <w:r w:rsidRPr="002C2A3D">
        <w:rPr>
          <w:rFonts w:ascii="Times New Roman" w:eastAsia="Times New Roman" w:hAnsi="Times New Roman" w:cs="Times New Roman"/>
          <w:sz w:val="24"/>
          <w:szCs w:val="24"/>
          <w:lang w:eastAsia="es-ES"/>
        </w:rPr>
        <w:t xml:space="preserve">, dolores generalizados, congestión faríngea, bradicardia relativa y conjuntivitis; pueden observarse leucopenia y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La fiebre y los demás signos y síntomas pueden ser recurrentes (gráfica en silla de montar) y por lo general hay un verdadero ataque al estado general; este cuadro dura de tres a siete días, el paciente permanece con astenia y en ocasiones estados depresivos por semanas. En menores de cinco años puede presentarse sólo como una enfermedad febril </w:t>
      </w:r>
      <w:proofErr w:type="spellStart"/>
      <w:r w:rsidRPr="002C2A3D">
        <w:rPr>
          <w:rFonts w:ascii="Times New Roman" w:eastAsia="Times New Roman" w:hAnsi="Times New Roman" w:cs="Times New Roman"/>
          <w:sz w:val="24"/>
          <w:szCs w:val="24"/>
          <w:lang w:eastAsia="es-ES"/>
        </w:rPr>
        <w:lastRenderedPageBreak/>
        <w:t>exantemáticá</w:t>
      </w:r>
      <w:proofErr w:type="spellEnd"/>
      <w:r w:rsidRPr="002C2A3D">
        <w:rPr>
          <w:rFonts w:ascii="Times New Roman" w:eastAsia="Times New Roman" w:hAnsi="Times New Roman" w:cs="Times New Roman"/>
          <w:sz w:val="24"/>
          <w:szCs w:val="24"/>
          <w:lang w:eastAsia="es-ES"/>
        </w:rPr>
        <w:t>. Por supuesto, como parte del interrogatorio, se debe establecer el antecedente de estancia o residencia en área endémica, con presencia actual de casos y del vector.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En el dengue clásico, entre el 10 y 20% de los casos puede presentar manifestaciones de fragilidad capilar en piel o mucosas (petequias, equimosis o hematomas) e incluso hemorragias menores (epistaxis o gingivorragia), pero que no se acompañan de hemoconcentración y </w:t>
      </w:r>
      <w:proofErr w:type="spellStart"/>
      <w:r w:rsidRPr="002C2A3D">
        <w:rPr>
          <w:rFonts w:ascii="Times New Roman" w:eastAsia="Times New Roman" w:hAnsi="Times New Roman" w:cs="Times New Roman"/>
          <w:sz w:val="24"/>
          <w:szCs w:val="24"/>
          <w:lang w:eastAsia="es-ES"/>
        </w:rPr>
        <w:t>plaquetopenia</w:t>
      </w:r>
      <w:proofErr w:type="spellEnd"/>
      <w:r w:rsidRPr="002C2A3D">
        <w:rPr>
          <w:rFonts w:ascii="Times New Roman" w:eastAsia="Times New Roman" w:hAnsi="Times New Roman" w:cs="Times New Roman"/>
          <w:sz w:val="24"/>
          <w:szCs w:val="24"/>
          <w:lang w:eastAsia="es-ES"/>
        </w:rPr>
        <w:t xml:space="preserve">, lo que lo diferencia del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Esta forma clínica se denomina "Dengue Clásico con Manifestaciones Hemorrágicas" y su presentación debe ser objeto de seguimiento exhaustivo para establecer si evoluciona hacia un </w:t>
      </w:r>
      <w:r w:rsidRPr="002C2A3D">
        <w:rPr>
          <w:rFonts w:ascii="Times New Roman" w:eastAsia="Times New Roman" w:hAnsi="Times New Roman" w:cs="Times New Roman"/>
          <w:sz w:val="20"/>
          <w:szCs w:val="20"/>
          <w:lang w:eastAsia="es-ES"/>
        </w:rPr>
        <w:t xml:space="preserve">DH o </w:t>
      </w:r>
      <w:proofErr w:type="spellStart"/>
      <w:r w:rsidRPr="002C2A3D">
        <w:rPr>
          <w:rFonts w:ascii="Times New Roman" w:eastAsia="Times New Roman" w:hAnsi="Times New Roman" w:cs="Times New Roman"/>
          <w:sz w:val="20"/>
          <w:szCs w:val="20"/>
          <w:lang w:eastAsia="es-ES"/>
        </w:rPr>
        <w:t>SChD</w:t>
      </w:r>
      <w:r w:rsidRPr="002C2A3D">
        <w:rPr>
          <w:rFonts w:ascii="Times New Roman" w:eastAsia="Times New Roman" w:hAnsi="Times New Roman" w:cs="Times New Roman"/>
          <w:sz w:val="24"/>
          <w:szCs w:val="24"/>
          <w:lang w:eastAsia="es-ES"/>
        </w:rPr>
        <w:t>.</w:t>
      </w:r>
      <w:proofErr w:type="spellEnd"/>
      <w:r w:rsidRPr="002C2A3D">
        <w:rPr>
          <w:rFonts w:ascii="Times New Roman" w:eastAsia="Times New Roman" w:hAnsi="Times New Roman" w:cs="Times New Roman"/>
          <w:sz w:val="24"/>
          <w:szCs w:val="24"/>
          <w:lang w:eastAsia="es-ES"/>
        </w:rPr>
        <w:t xml:space="preserve"> Si un paciente con estas características recibió tratamiento con líquidos intravenosos antes de efectuarse los estudios de laboratorio, o no se hace un monitoreo adecuado de los valores </w:t>
      </w:r>
      <w:proofErr w:type="spellStart"/>
      <w:r w:rsidRPr="002C2A3D">
        <w:rPr>
          <w:rFonts w:ascii="Times New Roman" w:eastAsia="Times New Roman" w:hAnsi="Times New Roman" w:cs="Times New Roman"/>
          <w:sz w:val="24"/>
          <w:szCs w:val="24"/>
          <w:lang w:eastAsia="es-ES"/>
        </w:rPr>
        <w:t>hemodinámicos</w:t>
      </w:r>
      <w:proofErr w:type="spellEnd"/>
      <w:r w:rsidRPr="002C2A3D">
        <w:rPr>
          <w:rFonts w:ascii="Times New Roman" w:eastAsia="Times New Roman" w:hAnsi="Times New Roman" w:cs="Times New Roman"/>
          <w:sz w:val="24"/>
          <w:szCs w:val="24"/>
          <w:lang w:eastAsia="es-ES"/>
        </w:rPr>
        <w:t xml:space="preserve">, su interpretación es difícil, por lo que es considerado </w:t>
      </w:r>
      <w:r w:rsidRPr="002C2A3D">
        <w:rPr>
          <w:rFonts w:ascii="Times New Roman" w:eastAsia="Times New Roman" w:hAnsi="Times New Roman" w:cs="Times New Roman"/>
          <w:sz w:val="15"/>
          <w:szCs w:val="15"/>
          <w:lang w:eastAsia="es-ES"/>
        </w:rPr>
        <w:t>COMO</w:t>
      </w:r>
      <w:r w:rsidRPr="002C2A3D">
        <w:rPr>
          <w:rFonts w:ascii="Times New Roman" w:eastAsia="Times New Roman" w:hAnsi="Times New Roman" w:cs="Times New Roman"/>
          <w:b/>
          <w:bCs/>
          <w:sz w:val="15"/>
          <w:szCs w:val="15"/>
          <w:lang w:eastAsia="es-ES"/>
        </w:rPr>
        <w:t xml:space="preserv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principal factor asociado a los cuadros de </w:t>
      </w:r>
      <w:r w:rsidRPr="002C2A3D">
        <w:rPr>
          <w:rFonts w:ascii="Times New Roman" w:eastAsia="Times New Roman" w:hAnsi="Times New Roman" w:cs="Times New Roman"/>
          <w:sz w:val="20"/>
          <w:szCs w:val="20"/>
          <w:lang w:eastAsia="es-ES"/>
        </w:rPr>
        <w:t xml:space="preserve">DH </w:t>
      </w:r>
      <w:proofErr w:type="spellStart"/>
      <w:r w:rsidRPr="002C2A3D">
        <w:rPr>
          <w:rFonts w:ascii="Times New Roman" w:eastAsia="Times New Roman" w:hAnsi="Times New Roman" w:cs="Times New Roman"/>
          <w:sz w:val="24"/>
          <w:szCs w:val="24"/>
          <w:lang w:eastAsia="es-ES"/>
        </w:rPr>
        <w:t>ySChD</w:t>
      </w:r>
      <w:proofErr w:type="spellEnd"/>
      <w:r w:rsidRPr="002C2A3D">
        <w:rPr>
          <w:rFonts w:ascii="Times New Roman" w:eastAsia="Times New Roman" w:hAnsi="Times New Roman" w:cs="Times New Roman"/>
          <w:sz w:val="20"/>
          <w:szCs w:val="20"/>
          <w:lang w:eastAsia="es-ES"/>
        </w:rPr>
        <w:t xml:space="preserve"> </w:t>
      </w:r>
      <w:r w:rsidRPr="002C2A3D">
        <w:rPr>
          <w:rFonts w:ascii="Times New Roman" w:eastAsia="Times New Roman" w:hAnsi="Times New Roman" w:cs="Times New Roman"/>
          <w:sz w:val="24"/>
          <w:szCs w:val="24"/>
          <w:lang w:eastAsia="es-ES"/>
        </w:rPr>
        <w:t xml:space="preserve">es el antecedente de un episodio previo de dengue clásico (aunque no es imprescindible, pues las infecciones previas pueden ser asintomáticas o inespecíficas y se ha demostrado en la presentación formas hemorrágicas en infección primaria). Asimismo, la transmisión </w:t>
      </w:r>
      <w:proofErr w:type="spellStart"/>
      <w:r w:rsidRPr="002C2A3D">
        <w:rPr>
          <w:rFonts w:ascii="Times New Roman" w:eastAsia="Times New Roman" w:hAnsi="Times New Roman" w:cs="Times New Roman"/>
          <w:sz w:val="24"/>
          <w:szCs w:val="24"/>
          <w:lang w:eastAsia="es-ES"/>
        </w:rPr>
        <w:t>transplacentaria</w:t>
      </w:r>
      <w:proofErr w:type="spellEnd"/>
      <w:r w:rsidRPr="002C2A3D">
        <w:rPr>
          <w:rFonts w:ascii="Times New Roman" w:eastAsia="Times New Roman" w:hAnsi="Times New Roman" w:cs="Times New Roman"/>
          <w:sz w:val="24"/>
          <w:szCs w:val="24"/>
          <w:lang w:eastAsia="es-ES"/>
        </w:rPr>
        <w:t xml:space="preserve"> de anticuerpos puede hacer las veces de infección primaria en menores de un año.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 teoría más aceptada dice que los anticuerpos formados durante infecciones previas al paso del tiempo alcanzan niveles </w:t>
      </w:r>
      <w:proofErr w:type="spellStart"/>
      <w:r w:rsidRPr="002C2A3D">
        <w:rPr>
          <w:rFonts w:ascii="Times New Roman" w:eastAsia="Times New Roman" w:hAnsi="Times New Roman" w:cs="Times New Roman"/>
          <w:sz w:val="24"/>
          <w:szCs w:val="24"/>
          <w:lang w:eastAsia="es-ES"/>
        </w:rPr>
        <w:t>subneutralizantes</w:t>
      </w:r>
      <w:proofErr w:type="spellEnd"/>
      <w:r w:rsidRPr="002C2A3D">
        <w:rPr>
          <w:rFonts w:ascii="Times New Roman" w:eastAsia="Times New Roman" w:hAnsi="Times New Roman" w:cs="Times New Roman"/>
          <w:sz w:val="24"/>
          <w:szCs w:val="24"/>
          <w:lang w:eastAsia="es-ES"/>
        </w:rPr>
        <w:t xml:space="preserve"> que, durante una nueva infección por otro serotipo, no destruyen al virus y forman un complejo antígeno-anticuerpo que al ser fagocitado por el monocito favorece la replicación viral (amplificación inmunológica). Los monocitos sensibilizados facilitan la formación de complejos inmunes, presentando una respuesta aberrante del tipo del fenómeno de </w:t>
      </w:r>
      <w:proofErr w:type="spellStart"/>
      <w:r w:rsidRPr="002C2A3D">
        <w:rPr>
          <w:rFonts w:ascii="Times New Roman" w:eastAsia="Times New Roman" w:hAnsi="Times New Roman" w:cs="Times New Roman"/>
          <w:sz w:val="24"/>
          <w:szCs w:val="24"/>
          <w:lang w:eastAsia="es-ES"/>
        </w:rPr>
        <w:t>Arthus</w:t>
      </w:r>
      <w:proofErr w:type="spellEnd"/>
      <w:r w:rsidRPr="002C2A3D">
        <w:rPr>
          <w:rFonts w:ascii="Times New Roman" w:eastAsia="Times New Roman" w:hAnsi="Times New Roman" w:cs="Times New Roman"/>
          <w:sz w:val="24"/>
          <w:szCs w:val="24"/>
          <w:lang w:eastAsia="es-ES"/>
        </w:rPr>
        <w:t xml:space="preserve">, con liberación y estimulación de diversas sustancias y mecanismos </w:t>
      </w:r>
      <w:proofErr w:type="spellStart"/>
      <w:r w:rsidRPr="002C2A3D">
        <w:rPr>
          <w:rFonts w:ascii="Times New Roman" w:eastAsia="Times New Roman" w:hAnsi="Times New Roman" w:cs="Times New Roman"/>
          <w:sz w:val="24"/>
          <w:szCs w:val="24"/>
          <w:lang w:eastAsia="es-ES"/>
        </w:rPr>
        <w:t>vasoactivos</w:t>
      </w:r>
      <w:proofErr w:type="spellEnd"/>
      <w:r w:rsidRPr="002C2A3D">
        <w:rPr>
          <w:rFonts w:ascii="Times New Roman" w:eastAsia="Times New Roman" w:hAnsi="Times New Roman" w:cs="Times New Roman"/>
          <w:sz w:val="24"/>
          <w:szCs w:val="24"/>
          <w:lang w:eastAsia="es-ES"/>
        </w:rPr>
        <w:t xml:space="preserve">, como </w:t>
      </w:r>
      <w:proofErr w:type="spellStart"/>
      <w:r w:rsidRPr="002C2A3D">
        <w:rPr>
          <w:rFonts w:ascii="Times New Roman" w:eastAsia="Times New Roman" w:hAnsi="Times New Roman" w:cs="Times New Roman"/>
          <w:sz w:val="24"/>
          <w:szCs w:val="24"/>
          <w:lang w:eastAsia="es-ES"/>
        </w:rPr>
        <w:t>anafilotoxinas</w:t>
      </w:r>
      <w:proofErr w:type="spellEnd"/>
      <w:r w:rsidRPr="002C2A3D">
        <w:rPr>
          <w:rFonts w:ascii="Times New Roman" w:eastAsia="Times New Roman" w:hAnsi="Times New Roman" w:cs="Times New Roman"/>
          <w:sz w:val="24"/>
          <w:szCs w:val="24"/>
          <w:lang w:eastAsia="es-ES"/>
        </w:rPr>
        <w:t xml:space="preserve">, factor de permeabilidad, activación de la cascada del complemento y otros, que provocan aumento de la permeabilidad vascular, lisis </w:t>
      </w:r>
      <w:proofErr w:type="spellStart"/>
      <w:r w:rsidRPr="002C2A3D">
        <w:rPr>
          <w:rFonts w:ascii="Times New Roman" w:eastAsia="Times New Roman" w:hAnsi="Times New Roman" w:cs="Times New Roman"/>
          <w:sz w:val="24"/>
          <w:szCs w:val="24"/>
          <w:lang w:eastAsia="es-ES"/>
        </w:rPr>
        <w:t>linfoblástica</w:t>
      </w:r>
      <w:proofErr w:type="spellEnd"/>
      <w:r w:rsidRPr="002C2A3D">
        <w:rPr>
          <w:rFonts w:ascii="Times New Roman" w:eastAsia="Times New Roman" w:hAnsi="Times New Roman" w:cs="Times New Roman"/>
          <w:sz w:val="24"/>
          <w:szCs w:val="24"/>
          <w:lang w:eastAsia="es-ES"/>
        </w:rPr>
        <w:t xml:space="preserve"> y de plaquetas, alteraciones en los mecanismos de coagulación, disminución de linfocitos, derrames </w:t>
      </w:r>
      <w:proofErr w:type="spellStart"/>
      <w:r w:rsidRPr="002C2A3D">
        <w:rPr>
          <w:rFonts w:ascii="Times New Roman" w:eastAsia="Times New Roman" w:hAnsi="Times New Roman" w:cs="Times New Roman"/>
          <w:sz w:val="24"/>
          <w:szCs w:val="24"/>
          <w:lang w:eastAsia="es-ES"/>
        </w:rPr>
        <w:t>cavitarios</w:t>
      </w:r>
      <w:proofErr w:type="spellEnd"/>
      <w:r w:rsidRPr="002C2A3D">
        <w:rPr>
          <w:rFonts w:ascii="Times New Roman" w:eastAsia="Times New Roman" w:hAnsi="Times New Roman" w:cs="Times New Roman"/>
          <w:sz w:val="24"/>
          <w:szCs w:val="24"/>
          <w:lang w:eastAsia="es-ES"/>
        </w:rPr>
        <w:t>, edema en diversos órganos, sangrados en distintos niveles y de intensidad variable, que pueden llegar hasta el estado de choque.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aspecto más importante de este cuadro es que se trata de un fenómeno </w:t>
      </w:r>
      <w:proofErr w:type="spellStart"/>
      <w:r w:rsidRPr="002C2A3D">
        <w:rPr>
          <w:rFonts w:ascii="Times New Roman" w:eastAsia="Times New Roman" w:hAnsi="Times New Roman" w:cs="Times New Roman"/>
          <w:sz w:val="24"/>
          <w:szCs w:val="24"/>
          <w:lang w:eastAsia="es-ES"/>
        </w:rPr>
        <w:t>autolimitado</w:t>
      </w:r>
      <w:proofErr w:type="spellEnd"/>
      <w:r w:rsidRPr="002C2A3D">
        <w:rPr>
          <w:rFonts w:ascii="Times New Roman" w:eastAsia="Times New Roman" w:hAnsi="Times New Roman" w:cs="Times New Roman"/>
          <w:sz w:val="24"/>
          <w:szCs w:val="24"/>
          <w:lang w:eastAsia="es-ES"/>
        </w:rPr>
        <w:t xml:space="preserve"> en donde los linfocitos no sensibilizados permiten restablecer la homeostasis en el curso de 48 a 72 horas, por lo que el papel del médico es mantener al paciente durante este tiempo y vigilar el ingreso de líquidos intravenosos, ya que los líquidos extravasados permanecen en el organismo y una vez controlado el cuadro se reabsorberán, lo cual representa un riesgo para complicaciones graves, como el edema pulmonar.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cuadro de Dengue Hemorrágico se caracteriza por fuga de plasma al espacio extravascular, debido al aumento en la permeabilidad de los vasos y con frecuencia se manifiesta como hemorragias y defectos de la coagulación. Se presenta por lo general como la continuación de un episodio de dengue clásico, en el que la fiebre es elevada y persistente, se hacen más intensos los síntomas y aparecen datos de extravasación o fuga de líquidos, como equimosis, hematomas o </w:t>
      </w:r>
      <w:proofErr w:type="spellStart"/>
      <w:r w:rsidRPr="002C2A3D">
        <w:rPr>
          <w:rFonts w:ascii="Times New Roman" w:eastAsia="Times New Roman" w:hAnsi="Times New Roman" w:cs="Times New Roman"/>
          <w:sz w:val="24"/>
          <w:szCs w:val="24"/>
          <w:lang w:eastAsia="es-ES"/>
        </w:rPr>
        <w:t>petequías</w:t>
      </w:r>
      <w:proofErr w:type="spellEnd"/>
      <w:r w:rsidRPr="002C2A3D">
        <w:rPr>
          <w:rFonts w:ascii="Times New Roman" w:eastAsia="Times New Roman" w:hAnsi="Times New Roman" w:cs="Times New Roman"/>
          <w:sz w:val="24"/>
          <w:szCs w:val="24"/>
          <w:lang w:eastAsia="es-ES"/>
        </w:rPr>
        <w:t xml:space="preserve">; suele haber hemorragias espontáneas como epistaxis, gingivorragia, sangrado urogenital, sangrado en sitios de punción, hemoptisis e incluso sangrado masivo del tubo digestivo. Por otro lado, el cuadro el </w:t>
      </w:r>
      <w:r w:rsidRPr="002C2A3D">
        <w:rPr>
          <w:rFonts w:ascii="Times New Roman" w:eastAsia="Times New Roman" w:hAnsi="Times New Roman" w:cs="Times New Roman"/>
          <w:sz w:val="20"/>
          <w:szCs w:val="20"/>
          <w:lang w:eastAsia="es-ES"/>
        </w:rPr>
        <w:t xml:space="preserve">DH </w:t>
      </w:r>
      <w:r w:rsidRPr="002C2A3D">
        <w:rPr>
          <w:rFonts w:ascii="Times New Roman" w:eastAsia="Times New Roman" w:hAnsi="Times New Roman" w:cs="Times New Roman"/>
          <w:sz w:val="24"/>
          <w:szCs w:val="24"/>
          <w:lang w:eastAsia="es-ES"/>
        </w:rPr>
        <w:t xml:space="preserve">e incluso el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puede manifestarse dos o tres días después de que ha </w:t>
      </w:r>
      <w:r w:rsidRPr="002C2A3D">
        <w:rPr>
          <w:rFonts w:ascii="Times New Roman" w:eastAsia="Times New Roman" w:hAnsi="Times New Roman" w:cs="Times New Roman"/>
          <w:sz w:val="24"/>
          <w:szCs w:val="24"/>
          <w:lang w:eastAsia="es-ES"/>
        </w:rPr>
        <w:lastRenderedPageBreak/>
        <w:t>desaparecido la fiebre y el paciente ya no tiene molestias. Algunos de los datos clínicos y de laboratorio del dengue clásico y</w:t>
      </w:r>
      <w:r w:rsidRPr="002C2A3D">
        <w:rPr>
          <w:rFonts w:ascii="Times New Roman" w:eastAsia="Times New Roman" w:hAnsi="Times New Roman" w:cs="Times New Roman"/>
          <w:sz w:val="20"/>
          <w:szCs w:val="20"/>
          <w:lang w:eastAsia="es-ES"/>
        </w:rPr>
        <w:t xml:space="preserve"> DH </w:t>
      </w:r>
      <w:r w:rsidRPr="002C2A3D">
        <w:rPr>
          <w:rFonts w:ascii="Times New Roman" w:eastAsia="Times New Roman" w:hAnsi="Times New Roman" w:cs="Times New Roman"/>
          <w:sz w:val="24"/>
          <w:szCs w:val="24"/>
          <w:lang w:eastAsia="es-ES"/>
        </w:rPr>
        <w:t>se muestran en las gráficas 1 y 2.</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dato cardinal para el diagnóstico clínico de la pérdida de plasma en el dengue hemorrágico es la presencia de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y hemoconcentración. Para la vigilancia epidemiológica de </w:t>
      </w:r>
      <w:r w:rsidRPr="002C2A3D">
        <w:rPr>
          <w:rFonts w:ascii="Times New Roman" w:eastAsia="Times New Roman" w:hAnsi="Times New Roman" w:cs="Times New Roman"/>
          <w:sz w:val="20"/>
          <w:szCs w:val="20"/>
          <w:lang w:eastAsia="es-ES"/>
        </w:rPr>
        <w:t xml:space="preserve">DH </w:t>
      </w:r>
      <w:r w:rsidRPr="002C2A3D">
        <w:rPr>
          <w:rFonts w:ascii="Times New Roman" w:eastAsia="Times New Roman" w:hAnsi="Times New Roman" w:cs="Times New Roman"/>
          <w:sz w:val="24"/>
          <w:szCs w:val="24"/>
          <w:lang w:eastAsia="es-ES"/>
        </w:rPr>
        <w:t xml:space="preserve">y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se considera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a la reducción de plaquetas igual o menor a 100 000.</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hemoconcentración, como indicador de fuga de líquidos, es más difícil de demostrar, ya que los datos del hematocrito requieren para su interpretación de un valor basal (en el paciente o como alternativa el valor medio para la edad y sexo en el área correspondiente, que no necesariamente representa el valor de nuestro paciente) y por otro lado pueden ser alterados por el manejo con líquidos intravenosos o hemorragias severas, lo que complica su interpretación.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bookmarkStart w:id="9" w:name="Para_determina"/>
      <w:r w:rsidRPr="002C2A3D">
        <w:rPr>
          <w:rFonts w:ascii="Times New Roman" w:eastAsia="Times New Roman" w:hAnsi="Times New Roman" w:cs="Times New Roman"/>
          <w:sz w:val="24"/>
          <w:szCs w:val="24"/>
          <w:lang w:eastAsia="es-ES"/>
        </w:rPr>
        <w:t>Para determina</w:t>
      </w:r>
      <w:bookmarkEnd w:id="9"/>
      <w:r w:rsidRPr="002C2A3D">
        <w:rPr>
          <w:rFonts w:ascii="Times New Roman" w:eastAsia="Times New Roman" w:hAnsi="Times New Roman" w:cs="Times New Roman"/>
          <w:sz w:val="24"/>
          <w:szCs w:val="24"/>
          <w:lang w:eastAsia="es-ES"/>
        </w:rPr>
        <w:t>r la hemoconcentración se recomienda observar uno o más de los criterios que se mencionan a continuación, aunque no todos son aceptados en la mayor parte de las publicaciones: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0"/>
          <w:szCs w:val="20"/>
          <w:lang w:eastAsia="es-ES"/>
        </w:rPr>
      </w:pPr>
      <w:hyperlink r:id="rId20" w:history="1">
        <w:r w:rsidRPr="002C2A3D">
          <w:rPr>
            <w:rFonts w:ascii="Times New Roman" w:eastAsia="Times New Roman" w:hAnsi="Times New Roman" w:cs="Times New Roman"/>
            <w:color w:val="0000FF"/>
            <w:sz w:val="24"/>
            <w:szCs w:val="24"/>
            <w:u w:val="single"/>
            <w:lang w:eastAsia="es-ES"/>
          </w:rPr>
          <w:t>Grafica 1: Características clínicas y de laboratorio del dengue.</w:t>
        </w:r>
      </w:hyperlink>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0"/>
          <w:szCs w:val="20"/>
          <w:lang w:eastAsia="es-ES"/>
        </w:rPr>
      </w:pPr>
      <w:hyperlink r:id="rId21" w:history="1">
        <w:r w:rsidRPr="002C2A3D">
          <w:rPr>
            <w:rFonts w:ascii="Times New Roman" w:eastAsia="Times New Roman" w:hAnsi="Times New Roman" w:cs="Times New Roman"/>
            <w:color w:val="0000FF"/>
            <w:sz w:val="24"/>
            <w:szCs w:val="24"/>
            <w:u w:val="single"/>
            <w:lang w:eastAsia="es-ES"/>
          </w:rPr>
          <w:t>Gráfica 2: Características clínicas y de laboratorio del dengue.</w:t>
        </w:r>
      </w:hyperlink>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0"/>
          <w:szCs w:val="20"/>
          <w:lang w:eastAsia="es-ES"/>
        </w:rPr>
      </w:pPr>
      <w:r w:rsidRPr="002C2A3D">
        <w:rPr>
          <w:rFonts w:ascii="Times New Roman" w:eastAsia="Times New Roman" w:hAnsi="Times New Roman" w:cs="Times New Roman"/>
          <w:sz w:val="20"/>
          <w:szCs w:val="20"/>
          <w:lang w:eastAsia="es-ES"/>
        </w:rPr>
        <w:t> </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Incremento del hematocrito en 20% o más (por ejemplo de 40 a 48%) durante la fase crítica de la enfermedad.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Decremento del hematocrito en 20% o menos (por ejemplo de 48 a 40%) entre la fase crítica y la convalecencia.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Tendencia del hematocrito (por ejemplo 40, 43, 45 en muestras subsecuentes).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Valor de la relación hematocrito/hemoglobina: el valor normal es de 3.0 (+0.1); si la relación es de 3.2 a 3.4 se considera sugestiva, si es de 3.5 o mayor es indicativa de hemoconcentración.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Presencia de derrame pleural o ascitis.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w:t>
      </w:r>
      <w:proofErr w:type="spellStart"/>
      <w:r w:rsidRPr="002C2A3D">
        <w:rPr>
          <w:rFonts w:ascii="Times New Roman" w:eastAsia="Times New Roman" w:hAnsi="Times New Roman" w:cs="Times New Roman"/>
          <w:sz w:val="24"/>
          <w:szCs w:val="24"/>
          <w:lang w:eastAsia="es-ES"/>
        </w:rPr>
        <w:t>Hipoalbuminemia</w:t>
      </w:r>
      <w:proofErr w:type="spellEnd"/>
      <w:r w:rsidRPr="002C2A3D">
        <w:rPr>
          <w:rFonts w:ascii="Times New Roman" w:eastAsia="Times New Roman" w:hAnsi="Times New Roman" w:cs="Times New Roman"/>
          <w:sz w:val="24"/>
          <w:szCs w:val="24"/>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En diversos documentos se incluye la prueba de torniquete positiva como un dato necesario para el diagnóstico de esta forma clínica, sin embargo, en nuestro continente no es un dato constante y su utilización e interpretación están condicionadas a cuadros sugestivos de </w:t>
      </w:r>
      <w:r w:rsidRPr="002C2A3D">
        <w:rPr>
          <w:rFonts w:ascii="Times New Roman" w:eastAsia="Times New Roman" w:hAnsi="Times New Roman" w:cs="Times New Roman"/>
          <w:sz w:val="20"/>
          <w:szCs w:val="20"/>
          <w:lang w:eastAsia="es-ES"/>
        </w:rPr>
        <w:t xml:space="preserve">DH </w:t>
      </w:r>
      <w:r w:rsidRPr="002C2A3D">
        <w:rPr>
          <w:rFonts w:ascii="Times New Roman" w:eastAsia="Times New Roman" w:hAnsi="Times New Roman" w:cs="Times New Roman"/>
          <w:sz w:val="24"/>
          <w:szCs w:val="24"/>
          <w:lang w:eastAsia="es-ES"/>
        </w:rPr>
        <w:t xml:space="preserve">en los que no se dispone de otros parámetros de laboratorio; en esta situación, la prueba positiva es indicativa de hemoconcentración y, por tanto, de </w:t>
      </w:r>
      <w:r w:rsidRPr="002C2A3D">
        <w:rPr>
          <w:rFonts w:ascii="Times New Roman" w:eastAsia="Times New Roman" w:hAnsi="Times New Roman" w:cs="Times New Roman"/>
          <w:sz w:val="15"/>
          <w:szCs w:val="15"/>
          <w:lang w:eastAsia="es-ES"/>
        </w:rPr>
        <w:t xml:space="preserve">DH; </w:t>
      </w:r>
      <w:r w:rsidRPr="002C2A3D">
        <w:rPr>
          <w:rFonts w:ascii="Times New Roman" w:eastAsia="Times New Roman" w:hAnsi="Times New Roman" w:cs="Times New Roman"/>
          <w:sz w:val="24"/>
          <w:szCs w:val="24"/>
          <w:lang w:eastAsia="es-ES"/>
        </w:rPr>
        <w:t xml:space="preserve">dado que sirve para demostrar fragilidad capilar, si un paciente presenta ya estos datos o incluso hemorragias, la prueba pierde sentido. Consiste en aplicar presión con el manguito del </w:t>
      </w:r>
      <w:proofErr w:type="spellStart"/>
      <w:r w:rsidRPr="002C2A3D">
        <w:rPr>
          <w:rFonts w:ascii="Times New Roman" w:eastAsia="Times New Roman" w:hAnsi="Times New Roman" w:cs="Times New Roman"/>
          <w:sz w:val="24"/>
          <w:szCs w:val="24"/>
          <w:lang w:eastAsia="es-ES"/>
        </w:rPr>
        <w:t>esfingomanómetro</w:t>
      </w:r>
      <w:proofErr w:type="spellEnd"/>
      <w:r w:rsidRPr="002C2A3D">
        <w:rPr>
          <w:rFonts w:ascii="Times New Roman" w:eastAsia="Times New Roman" w:hAnsi="Times New Roman" w:cs="Times New Roman"/>
          <w:sz w:val="24"/>
          <w:szCs w:val="24"/>
          <w:lang w:eastAsia="es-ES"/>
        </w:rPr>
        <w:t xml:space="preserve"> hasta el nivel medio de la presión sanguínea (por ejemplo 100 mm/Hg en un paciente con presión de 120/80) durante cinco minutos: si </w:t>
      </w:r>
      <w:r w:rsidRPr="002C2A3D">
        <w:rPr>
          <w:rFonts w:ascii="Times New Roman" w:eastAsia="Times New Roman" w:hAnsi="Times New Roman" w:cs="Times New Roman"/>
          <w:sz w:val="24"/>
          <w:szCs w:val="24"/>
          <w:lang w:eastAsia="es-ES"/>
        </w:rPr>
        <w:lastRenderedPageBreak/>
        <w:t>aparecen 20 o más petequias por pulgada cuadrada se considera positiva. La prueba negativa no descarta el diagnóstico, el cual debe fundamentarse con otros parámetros.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Otros datos que suelen acompañar al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son: dolor en área hepática, dolor abdominal, derrame pleural, ascitis, edema en diversos órganos, </w:t>
      </w:r>
      <w:proofErr w:type="spellStart"/>
      <w:r w:rsidRPr="002C2A3D">
        <w:rPr>
          <w:rFonts w:ascii="Times New Roman" w:eastAsia="Times New Roman" w:hAnsi="Times New Roman" w:cs="Times New Roman"/>
          <w:sz w:val="24"/>
          <w:szCs w:val="24"/>
          <w:lang w:eastAsia="es-ES"/>
        </w:rPr>
        <w:t>hepato</w:t>
      </w:r>
      <w:proofErr w:type="spellEnd"/>
      <w:r w:rsidRPr="002C2A3D">
        <w:rPr>
          <w:rFonts w:ascii="Times New Roman" w:eastAsia="Times New Roman" w:hAnsi="Times New Roman" w:cs="Times New Roman"/>
          <w:sz w:val="24"/>
          <w:szCs w:val="24"/>
          <w:lang w:eastAsia="es-ES"/>
        </w:rPr>
        <w:t xml:space="preserve"> y esplenomegalia, tiempos prolongados de coagulación, leucopenia inicial y leucocitosis posterior, </w:t>
      </w:r>
      <w:proofErr w:type="spellStart"/>
      <w:r w:rsidRPr="002C2A3D">
        <w:rPr>
          <w:rFonts w:ascii="Times New Roman" w:eastAsia="Times New Roman" w:hAnsi="Times New Roman" w:cs="Times New Roman"/>
          <w:sz w:val="24"/>
          <w:szCs w:val="24"/>
          <w:lang w:eastAsia="es-ES"/>
        </w:rPr>
        <w:t>hiponatremia</w:t>
      </w:r>
      <w:proofErr w:type="spellEnd"/>
      <w:r w:rsidRPr="002C2A3D">
        <w:rPr>
          <w:rFonts w:ascii="Times New Roman" w:eastAsia="Times New Roman" w:hAnsi="Times New Roman" w:cs="Times New Roman"/>
          <w:sz w:val="24"/>
          <w:szCs w:val="24"/>
          <w:lang w:eastAsia="es-ES"/>
        </w:rPr>
        <w:t xml:space="preserve">, </w:t>
      </w:r>
      <w:proofErr w:type="spellStart"/>
      <w:r w:rsidRPr="002C2A3D">
        <w:rPr>
          <w:rFonts w:ascii="Times New Roman" w:eastAsia="Times New Roman" w:hAnsi="Times New Roman" w:cs="Times New Roman"/>
          <w:sz w:val="24"/>
          <w:szCs w:val="24"/>
          <w:lang w:eastAsia="es-ES"/>
        </w:rPr>
        <w:t>hipoalbunemia</w:t>
      </w:r>
      <w:proofErr w:type="spellEnd"/>
      <w:r w:rsidRPr="002C2A3D">
        <w:rPr>
          <w:rFonts w:ascii="Times New Roman" w:eastAsia="Times New Roman" w:hAnsi="Times New Roman" w:cs="Times New Roman"/>
          <w:sz w:val="24"/>
          <w:szCs w:val="24"/>
          <w:lang w:eastAsia="es-ES"/>
        </w:rPr>
        <w:t xml:space="preserve">, hipotensión con tendencia al acortamiento en el intervalo sistólico/diastólico. Suelen presentarse además los siguientes datos: niveles elevados de </w:t>
      </w:r>
      <w:proofErr w:type="spellStart"/>
      <w:r w:rsidRPr="002C2A3D">
        <w:rPr>
          <w:rFonts w:ascii="Times New Roman" w:eastAsia="Times New Roman" w:hAnsi="Times New Roman" w:cs="Times New Roman"/>
          <w:sz w:val="24"/>
          <w:szCs w:val="24"/>
          <w:lang w:eastAsia="es-ES"/>
        </w:rPr>
        <w:t>asparato</w:t>
      </w:r>
      <w:proofErr w:type="spellEnd"/>
      <w:r w:rsidRPr="002C2A3D">
        <w:rPr>
          <w:rFonts w:ascii="Times New Roman" w:eastAsia="Times New Roman" w:hAnsi="Times New Roman" w:cs="Times New Roman"/>
          <w:sz w:val="24"/>
          <w:szCs w:val="24"/>
          <w:lang w:eastAsia="es-ES"/>
        </w:rPr>
        <w:t xml:space="preserve"> sérico, </w:t>
      </w:r>
      <w:proofErr w:type="spellStart"/>
      <w:r w:rsidRPr="002C2A3D">
        <w:rPr>
          <w:rFonts w:ascii="Times New Roman" w:eastAsia="Times New Roman" w:hAnsi="Times New Roman" w:cs="Times New Roman"/>
          <w:sz w:val="24"/>
          <w:szCs w:val="24"/>
          <w:lang w:eastAsia="es-ES"/>
        </w:rPr>
        <w:t>aminotransferasa</w:t>
      </w:r>
      <w:proofErr w:type="spellEnd"/>
      <w:r w:rsidRPr="002C2A3D">
        <w:rPr>
          <w:rFonts w:ascii="Times New Roman" w:eastAsia="Times New Roman" w:hAnsi="Times New Roman" w:cs="Times New Roman"/>
          <w:sz w:val="24"/>
          <w:szCs w:val="24"/>
          <w:lang w:eastAsia="es-ES"/>
        </w:rPr>
        <w:t xml:space="preserve">, nitrógeno y urea en sangre, </w:t>
      </w:r>
      <w:proofErr w:type="spellStart"/>
      <w:r w:rsidRPr="002C2A3D">
        <w:rPr>
          <w:rFonts w:ascii="Times New Roman" w:eastAsia="Times New Roman" w:hAnsi="Times New Roman" w:cs="Times New Roman"/>
          <w:sz w:val="24"/>
          <w:szCs w:val="24"/>
          <w:lang w:eastAsia="es-ES"/>
        </w:rPr>
        <w:t>hipoproteinemia</w:t>
      </w:r>
      <w:proofErr w:type="spellEnd"/>
      <w:r w:rsidRPr="002C2A3D">
        <w:rPr>
          <w:rFonts w:ascii="Times New Roman" w:eastAsia="Times New Roman" w:hAnsi="Times New Roman" w:cs="Times New Roman"/>
          <w:sz w:val="24"/>
          <w:szCs w:val="24"/>
          <w:lang w:eastAsia="es-ES"/>
        </w:rPr>
        <w:t xml:space="preserve">, albuminuria, y en algunos casos, reducción de los factores de coagulación y factores </w:t>
      </w:r>
      <w:proofErr w:type="spellStart"/>
      <w:r w:rsidRPr="002C2A3D">
        <w:rPr>
          <w:rFonts w:ascii="Times New Roman" w:eastAsia="Times New Roman" w:hAnsi="Times New Roman" w:cs="Times New Roman"/>
          <w:sz w:val="24"/>
          <w:szCs w:val="24"/>
          <w:lang w:eastAsia="es-ES"/>
        </w:rPr>
        <w:t>fibrinolíticos</w:t>
      </w:r>
      <w:proofErr w:type="spellEnd"/>
      <w:r w:rsidRPr="002C2A3D">
        <w:rPr>
          <w:rFonts w:ascii="Times New Roman" w:eastAsia="Times New Roman" w:hAnsi="Times New Roman" w:cs="Times New Roman"/>
          <w:sz w:val="24"/>
          <w:szCs w:val="24"/>
          <w:lang w:eastAsia="es-ES"/>
        </w:rPr>
        <w:t xml:space="preserve"> como fibrinógeno, protrombina, tiempo prolongado de protrombina y parcial de tromboplastina; la radiología puede revelar un derrame pleural o líquido libre en cavidad abdominal. Durante el cuadro pueden presentarse complicaciones graves, como choque, insuficiencia hepática y renal; el daño hepático puede ser severo, por lo que deberá monitorizarse el funcionamiento del hígado en forma sistemática; asimismo se puede encontrar un cuadro de encefalopatía por hipoxia, edema cerebral, daño hepático, hemorragia intracraneal o alteraciones </w:t>
      </w:r>
      <w:proofErr w:type="spellStart"/>
      <w:r w:rsidRPr="002C2A3D">
        <w:rPr>
          <w:rFonts w:ascii="Times New Roman" w:eastAsia="Times New Roman" w:hAnsi="Times New Roman" w:cs="Times New Roman"/>
          <w:sz w:val="24"/>
          <w:szCs w:val="24"/>
          <w:lang w:eastAsia="es-ES"/>
        </w:rPr>
        <w:t>hidroelectrolíticas</w:t>
      </w:r>
      <w:proofErr w:type="spellEnd"/>
      <w:r w:rsidRPr="002C2A3D">
        <w:rPr>
          <w:rFonts w:ascii="Times New Roman" w:eastAsia="Times New Roman" w:hAnsi="Times New Roman" w:cs="Times New Roman"/>
          <w:sz w:val="24"/>
          <w:szCs w:val="24"/>
          <w:lang w:eastAsia="es-ES"/>
        </w:rPr>
        <w:t xml:space="preserve">; también es frecuente un cuadro respiratorio no </w:t>
      </w:r>
      <w:proofErr w:type="spellStart"/>
      <w:r w:rsidRPr="002C2A3D">
        <w:rPr>
          <w:rFonts w:ascii="Times New Roman" w:eastAsia="Times New Roman" w:hAnsi="Times New Roman" w:cs="Times New Roman"/>
          <w:sz w:val="24"/>
          <w:szCs w:val="24"/>
          <w:lang w:eastAsia="es-ES"/>
        </w:rPr>
        <w:t>cardiógeno</w:t>
      </w:r>
      <w:proofErr w:type="spellEnd"/>
      <w:r w:rsidRPr="002C2A3D">
        <w:rPr>
          <w:rFonts w:ascii="Times New Roman" w:eastAsia="Times New Roman" w:hAnsi="Times New Roman" w:cs="Times New Roman"/>
          <w:sz w:val="24"/>
          <w:szCs w:val="24"/>
          <w:lang w:eastAsia="es-ES"/>
        </w:rPr>
        <w:t xml:space="preserve">. Por su lado, la insuficiencia renal suele ser consecuencia de la hipovolemia, especialmente en el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por lo que deberá tenerse especial cuidado en el manejo de líquidos.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Síndrome de Choque por Dengue suele presentarse en el curso de un cuadro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por lo general entre el tercero y quinto días de evolución; sin embargo, puede hacerlo inmediatamente a dos o tres días después de un dengue clásico y excepcionalmente en pacientes asintomáticos o con cuadros febriles inespecíficos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Como en todo cuadro de choque, hay manifestaciones de insuficiencia circulatoria: piel fría y congestionada, cianosis </w:t>
      </w:r>
      <w:proofErr w:type="spellStart"/>
      <w:r w:rsidRPr="002C2A3D">
        <w:rPr>
          <w:rFonts w:ascii="Times New Roman" w:eastAsia="Times New Roman" w:hAnsi="Times New Roman" w:cs="Times New Roman"/>
          <w:sz w:val="24"/>
          <w:szCs w:val="24"/>
          <w:lang w:eastAsia="es-ES"/>
        </w:rPr>
        <w:t>peribucal</w:t>
      </w:r>
      <w:proofErr w:type="spellEnd"/>
      <w:r w:rsidRPr="002C2A3D">
        <w:rPr>
          <w:rFonts w:ascii="Times New Roman" w:eastAsia="Times New Roman" w:hAnsi="Times New Roman" w:cs="Times New Roman"/>
          <w:sz w:val="24"/>
          <w:szCs w:val="24"/>
          <w:lang w:eastAsia="es-ES"/>
        </w:rPr>
        <w:t xml:space="preserve"> o de las extremidades, vómito, llenado capilar lento, taquicardia, tensión arterial disminuida o imperceptible, o bien reducción de la tensión diferencial (sistólica/diastólica) a menos de 20 mm/Hg, pulso rápido y débil o imperceptible, oliguria; puede haber además inquietud, agitación y alteraciones en el estado de conciencia, como letargo o confusión.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Si el cuadro no se corrige en forma oportuna puede conducir a acidosis metabólica sangrados severos, falla orgánica múltiple y coagulación </w:t>
      </w:r>
      <w:proofErr w:type="spellStart"/>
      <w:r w:rsidRPr="002C2A3D">
        <w:rPr>
          <w:rFonts w:ascii="Times New Roman" w:eastAsia="Times New Roman" w:hAnsi="Times New Roman" w:cs="Times New Roman"/>
          <w:sz w:val="24"/>
          <w:szCs w:val="24"/>
          <w:lang w:eastAsia="es-ES"/>
        </w:rPr>
        <w:t>intravascular</w:t>
      </w:r>
      <w:proofErr w:type="spellEnd"/>
      <w:r w:rsidRPr="002C2A3D">
        <w:rPr>
          <w:rFonts w:ascii="Times New Roman" w:eastAsia="Times New Roman" w:hAnsi="Times New Roman" w:cs="Times New Roman"/>
          <w:sz w:val="24"/>
          <w:szCs w:val="24"/>
          <w:lang w:eastAsia="es-ES"/>
        </w:rPr>
        <w:t>. La muerte o recuperación ocurre por lo regular en un lapso de 12 a 48 horas, por lo que el manejo durante esta fase es crítico para el pronóstico del paciente.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Para el diagnóstico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 xml:space="preserve"> y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es básico observar la secuencia de los acontecimientos clínicos y de laboratorio, como se presenta en las gráficas 1 y 2, por tanto es imprescindible realizar un monitoreo de los datos clínicos y de laboratorio, con valoración y toma de muestras periódicas.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Se han identificado signos de alarma que hacen inminente el cuadro de choque en un paciente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 xml:space="preserve"> y permiten el inicio oportuno del manejo (canalización y administración de líquidos intravenosos):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 Dolor abdominal intenso y sostenido, que pasa de ser uno de los componentes sintomáticos del cuadro al dato cardinal.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Vómito persistente.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Caída brusca de la temperatura, de hipertermia a hipotermia, con frecuencia acompañada de sudoración, adinamia y lipotimias.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Inquietud o somnolencia.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bookmarkStart w:id="10" w:name="El_espectro_clínico"/>
      <w:r w:rsidRPr="002C2A3D">
        <w:rPr>
          <w:rFonts w:ascii="Times New Roman" w:eastAsia="Times New Roman" w:hAnsi="Times New Roman" w:cs="Times New Roman"/>
          <w:sz w:val="24"/>
          <w:szCs w:val="24"/>
          <w:lang w:eastAsia="es-ES"/>
        </w:rPr>
        <w:t>El espectro clínico</w:t>
      </w:r>
      <w:bookmarkEnd w:id="10"/>
      <w:r w:rsidRPr="002C2A3D">
        <w:rPr>
          <w:rFonts w:ascii="Times New Roman" w:eastAsia="Times New Roman" w:hAnsi="Times New Roman" w:cs="Times New Roman"/>
          <w:sz w:val="24"/>
          <w:szCs w:val="24"/>
          <w:lang w:eastAsia="es-ES"/>
        </w:rPr>
        <w:t xml:space="preserve"> en el </w:t>
      </w:r>
      <w:r w:rsidRPr="002C2A3D">
        <w:rPr>
          <w:rFonts w:ascii="Times New Roman" w:eastAsia="Times New Roman" w:hAnsi="Times New Roman" w:cs="Times New Roman"/>
          <w:sz w:val="20"/>
          <w:szCs w:val="20"/>
          <w:lang w:eastAsia="es-ES"/>
        </w:rPr>
        <w:t>DH/</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es amplio, causado por una alteración inmunológica sistemática y que depende de los órganos más afectados y los signos y síntomas predominantes, por lo que el diagnóstico diferencial debe incluir desde cuadros infecciosos inespecíficos, graves y que se deterioran rápidamente, incluyendo exantemáticos, hemorragias sin causa aparente a cualquier nivel, cuadros </w:t>
      </w:r>
      <w:proofErr w:type="spellStart"/>
      <w:r w:rsidRPr="002C2A3D">
        <w:rPr>
          <w:rFonts w:ascii="Times New Roman" w:eastAsia="Times New Roman" w:hAnsi="Times New Roman" w:cs="Times New Roman"/>
          <w:sz w:val="24"/>
          <w:szCs w:val="24"/>
          <w:lang w:eastAsia="es-ES"/>
        </w:rPr>
        <w:t>purpúricos</w:t>
      </w:r>
      <w:proofErr w:type="spellEnd"/>
      <w:r w:rsidRPr="002C2A3D">
        <w:rPr>
          <w:rFonts w:ascii="Times New Roman" w:eastAsia="Times New Roman" w:hAnsi="Times New Roman" w:cs="Times New Roman"/>
          <w:sz w:val="24"/>
          <w:szCs w:val="24"/>
          <w:lang w:eastAsia="es-ES"/>
        </w:rPr>
        <w:t xml:space="preserve">, de abdomen agudo, hasta cuadros de tipo psicótico; por tanto el médico debe tener siempre presente la posibilidad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hyperlink r:id="rId22" w:history="1">
        <w:r w:rsidRPr="002C2A3D">
          <w:rPr>
            <w:rFonts w:ascii="Times New Roman" w:eastAsia="Times New Roman" w:hAnsi="Times New Roman" w:cs="Times New Roman"/>
            <w:color w:val="0000FF"/>
            <w:sz w:val="24"/>
            <w:szCs w:val="24"/>
            <w:u w:val="single"/>
            <w:lang w:eastAsia="es-ES"/>
          </w:rPr>
          <w:t>Esquema 2: Definiciones operacionales de caso.</w:t>
        </w:r>
      </w:hyperlink>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5" name="Imagen 5"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bookmarkStart w:id="11" w:name="4._DEFINICIONES_OPERACIONALES_DE_CASO"/>
      <w:r w:rsidRPr="002C2A3D">
        <w:rPr>
          <w:rFonts w:ascii="Times New Roman" w:eastAsia="Times New Roman" w:hAnsi="Times New Roman" w:cs="Times New Roman"/>
          <w:b/>
          <w:bCs/>
          <w:sz w:val="27"/>
          <w:szCs w:val="27"/>
          <w:lang w:eastAsia="es-ES"/>
        </w:rPr>
        <w:t>4. DEFINICIONES OPERACIONALES DE CASO</w:t>
      </w:r>
      <w:bookmarkEnd w:id="11"/>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Para propósitos de vigilancia epidemiológica se han elaborado definiciones operativas de caso (esquema 2), con el objeto de unificar los criterios para la detección, notificación y clasificación de casos de dengue en sus diferentes presentaciones. Estas definiciones se caracterizan por tener elevada sensibilidad, es decir, permiten detectar a la gran mayoría de los casos a través de los signos y síntomas más frecuentes, para su notificación, estudio complementario y manejo adecuado y oportuno. Éste es el componente fundamental de la vigilancia del padecimiento, en particular ante el elevado riesgo de presentación de brotes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y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en el país. La definición básica de los casos y sus aplicaciones sobre su pronóstico son de gran importancia tanto epidemiológica como terapéutica.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 especificidad del diagnóstico está dada por </w:t>
      </w:r>
      <w:proofErr w:type="gramStart"/>
      <w:r w:rsidRPr="002C2A3D">
        <w:rPr>
          <w:rFonts w:ascii="Times New Roman" w:eastAsia="Times New Roman" w:hAnsi="Times New Roman" w:cs="Times New Roman"/>
          <w:sz w:val="24"/>
          <w:szCs w:val="24"/>
          <w:lang w:eastAsia="es-ES"/>
        </w:rPr>
        <w:t>los estudios clínico</w:t>
      </w:r>
      <w:proofErr w:type="gramEnd"/>
      <w:r w:rsidRPr="002C2A3D">
        <w:rPr>
          <w:rFonts w:ascii="Times New Roman" w:eastAsia="Times New Roman" w:hAnsi="Times New Roman" w:cs="Times New Roman"/>
          <w:sz w:val="24"/>
          <w:szCs w:val="24"/>
          <w:lang w:eastAsia="es-ES"/>
        </w:rPr>
        <w:t xml:space="preserve"> y de laboratorio, incluyendo los virológicos y serológicos, por lo que las definiciones operacionales deben utilizarse sólo para fines de detección, notificación y clasificación de los casos.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El caso sospechoso de dengue es totalmente inespecífico, por lo que su utilización se restringe a estudio de brotes y situaciones especiales. Para el sistema de vigilancia el detonador de las acciones es la presencia de un caso probable de cualquiera de las presentaciones clínicas.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cuadro de "Dengue Clásico con Manifestaciones Hemorrágicas" se considera como dengue clásico, siempre y cuando no cumpla con los criterios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o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y hemoconcentración, debidamente demostrados) lo cual requiere el </w:t>
      </w:r>
      <w:r w:rsidRPr="002C2A3D">
        <w:rPr>
          <w:rFonts w:ascii="Times New Roman" w:eastAsia="Times New Roman" w:hAnsi="Times New Roman" w:cs="Times New Roman"/>
          <w:sz w:val="24"/>
          <w:szCs w:val="24"/>
          <w:lang w:eastAsia="es-ES"/>
        </w:rPr>
        <w:lastRenderedPageBreak/>
        <w:t xml:space="preserve">monitoreo </w:t>
      </w:r>
      <w:proofErr w:type="spellStart"/>
      <w:r w:rsidRPr="002C2A3D">
        <w:rPr>
          <w:rFonts w:ascii="Times New Roman" w:eastAsia="Times New Roman" w:hAnsi="Times New Roman" w:cs="Times New Roman"/>
          <w:sz w:val="24"/>
          <w:szCs w:val="24"/>
          <w:lang w:eastAsia="es-ES"/>
        </w:rPr>
        <w:t>hemodinámico</w:t>
      </w:r>
      <w:proofErr w:type="spellEnd"/>
      <w:r w:rsidRPr="002C2A3D">
        <w:rPr>
          <w:rFonts w:ascii="Times New Roman" w:eastAsia="Times New Roman" w:hAnsi="Times New Roman" w:cs="Times New Roman"/>
          <w:sz w:val="24"/>
          <w:szCs w:val="24"/>
          <w:lang w:eastAsia="es-ES"/>
        </w:rPr>
        <w:t xml:space="preserve"> del paciente, desde el inicio de las manifestaciones hemorrágicas hasta una semana después de la desaparición de la fiebre.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Es evidente que en la mayor parte de los casos probables de dengue clásico, no se realizarán estudios virológicos o serológicos para confirmación del diagnóstico, por lo que serán clasificados con base en criterios clínicos y por las definiciones de caso. Esto permite conocer con más exactitud la frecuencia y distribución de la enfermedad, desarrollar estudios específicos y, sobre todo, orientar de manera oportuna las acciones de vigilancia, prevención y control.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El espectro clínico del dengue no es necesariamente secuencial; puede haber cuadros de </w:t>
      </w:r>
      <w:r w:rsidRPr="002C2A3D">
        <w:rPr>
          <w:rFonts w:ascii="Times New Roman" w:eastAsia="Times New Roman" w:hAnsi="Times New Roman" w:cs="Times New Roman"/>
          <w:sz w:val="15"/>
          <w:szCs w:val="15"/>
          <w:lang w:eastAsia="es-ES"/>
        </w:rPr>
        <w:t xml:space="preserve">DH </w:t>
      </w:r>
      <w:r w:rsidRPr="002C2A3D">
        <w:rPr>
          <w:rFonts w:ascii="Times New Roman" w:eastAsia="Times New Roman" w:hAnsi="Times New Roman" w:cs="Times New Roman"/>
          <w:sz w:val="24"/>
          <w:szCs w:val="24"/>
          <w:lang w:eastAsia="es-ES"/>
        </w:rPr>
        <w:t xml:space="preserve">sin previos cuadros aparentes de dengue clásico,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sin manifestaciones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 xml:space="preserve">o bien,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15"/>
          <w:szCs w:val="15"/>
          <w:lang w:eastAsia="es-ES"/>
        </w:rPr>
        <w:t xml:space="preserve"> </w:t>
      </w:r>
      <w:r w:rsidRPr="002C2A3D">
        <w:rPr>
          <w:rFonts w:ascii="Times New Roman" w:eastAsia="Times New Roman" w:hAnsi="Times New Roman" w:cs="Times New Roman"/>
          <w:sz w:val="24"/>
          <w:szCs w:val="24"/>
          <w:lang w:eastAsia="es-ES"/>
        </w:rPr>
        <w:t>sin manifestaciones hemorrágicas aparentes; por tanto, la vigilancia y la búsqueda de casos debe considerar todas las posibilidades.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6238875" cy="3343275"/>
            <wp:effectExtent l="19050" t="0" r="9525" b="0"/>
            <wp:docPr id="6" name="Imagen 6" descr="cuadro1f.jpg (168043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adro1f.jpg (168043 bytes)"/>
                    <pic:cNvPicPr>
                      <a:picLocks noChangeAspect="1" noChangeArrowheads="1"/>
                    </pic:cNvPicPr>
                  </pic:nvPicPr>
                  <pic:blipFill>
                    <a:blip r:embed="rId23"/>
                    <a:srcRect/>
                    <a:stretch>
                      <a:fillRect/>
                    </a:stretch>
                  </pic:blipFill>
                  <pic:spPr bwMode="auto">
                    <a:xfrm>
                      <a:off x="0" y="0"/>
                      <a:ext cx="6238875" cy="33432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7" name="Imagen 7"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Autospacing="1" w:after="100" w:afterAutospacing="1" w:line="240" w:lineRule="auto"/>
        <w:rPr>
          <w:rFonts w:ascii="Times New Roman" w:eastAsia="Times New Roman" w:hAnsi="Times New Roman" w:cs="Times New Roman"/>
          <w:b/>
          <w:bCs/>
          <w:sz w:val="27"/>
          <w:szCs w:val="27"/>
          <w:lang w:eastAsia="es-ES"/>
        </w:rPr>
      </w:pPr>
      <w:bookmarkStart w:id="12" w:name="5._DIAGNÓSTICO_DE_DENGUE_POR_LABORATORIO"/>
      <w:r w:rsidRPr="002C2A3D">
        <w:rPr>
          <w:rFonts w:ascii="Times New Roman" w:eastAsia="Times New Roman" w:hAnsi="Times New Roman" w:cs="Times New Roman"/>
          <w:b/>
          <w:bCs/>
          <w:sz w:val="27"/>
          <w:szCs w:val="27"/>
          <w:lang w:eastAsia="es-ES"/>
        </w:rPr>
        <w:t>5.</w:t>
      </w:r>
      <w:r w:rsidRPr="002C2A3D">
        <w:rPr>
          <w:rFonts w:ascii="Times New Roman" w:eastAsia="Times New Roman" w:hAnsi="Times New Roman" w:cs="Times New Roman"/>
          <w:sz w:val="27"/>
          <w:szCs w:val="27"/>
          <w:lang w:eastAsia="es-ES"/>
        </w:rPr>
        <w:t xml:space="preserve"> </w:t>
      </w:r>
      <w:r w:rsidRPr="002C2A3D">
        <w:rPr>
          <w:rFonts w:ascii="Times New Roman" w:eastAsia="Times New Roman" w:hAnsi="Times New Roman" w:cs="Times New Roman"/>
          <w:b/>
          <w:bCs/>
          <w:sz w:val="27"/>
          <w:szCs w:val="27"/>
          <w:lang w:eastAsia="es-ES"/>
        </w:rPr>
        <w:t>DIAGNÓSTICO DE DENGUE POR LABORATORIO</w:t>
      </w:r>
      <w:bookmarkEnd w:id="12"/>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El diagnóstico, clasificación y manejo de un caso probable de dengue en cualquiera de sus formas se basa en criterios clínicos, epidemiológicos y de laboratorio, a partir de cuadros probables según las definiciones operacionales descritas. Por otro lado, los cambios en los signos, síntomas y resultados de laboratorio clínico pueden ser bruscos y de recuperación rápida, lo que complica su observación y hace necesaria la cualificación periódica de los diversos parámetros.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7"/>
          <w:szCs w:val="27"/>
          <w:lang w:eastAsia="es-ES"/>
        </w:rPr>
      </w:pPr>
      <w:r w:rsidRPr="002C2A3D">
        <w:rPr>
          <w:rFonts w:ascii="Times New Roman" w:eastAsia="Times New Roman" w:hAnsi="Times New Roman" w:cs="Times New Roman"/>
          <w:sz w:val="24"/>
          <w:szCs w:val="24"/>
          <w:lang w:eastAsia="es-ES"/>
        </w:rPr>
        <w:t xml:space="preserve">Para la confirmación de diagnóstico etiológico, es decir, la participación del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en el cuadro, se cuenta actualmente con varias técnicas cuya utilización </w:t>
      </w:r>
      <w:r w:rsidRPr="002C2A3D">
        <w:rPr>
          <w:rFonts w:ascii="Times New Roman" w:eastAsia="Times New Roman" w:hAnsi="Times New Roman" w:cs="Times New Roman"/>
          <w:sz w:val="24"/>
          <w:szCs w:val="24"/>
          <w:lang w:eastAsia="es-ES"/>
        </w:rPr>
        <w:lastRenderedPageBreak/>
        <w:t xml:space="preserve">depende del momento y el objetivo del estudio. Las muestras de casos probables de DH y </w:t>
      </w:r>
      <w:proofErr w:type="spellStart"/>
      <w:r w:rsidRPr="002C2A3D">
        <w:rPr>
          <w:rFonts w:ascii="Times New Roman" w:eastAsia="Times New Roman" w:hAnsi="Times New Roman" w:cs="Times New Roman"/>
          <w:sz w:val="24"/>
          <w:szCs w:val="24"/>
          <w:lang w:eastAsia="es-ES"/>
        </w:rPr>
        <w:t>SChD</w:t>
      </w:r>
      <w:proofErr w:type="spellEnd"/>
      <w:r w:rsidRPr="002C2A3D">
        <w:rPr>
          <w:rFonts w:ascii="Times New Roman" w:eastAsia="Times New Roman" w:hAnsi="Times New Roman" w:cs="Times New Roman"/>
          <w:sz w:val="24"/>
          <w:szCs w:val="24"/>
          <w:lang w:eastAsia="es-ES"/>
        </w:rPr>
        <w:t xml:space="preserve"> son de gran valor, por lo que deberán manejarse con especial cuidado; debe realizarse una toma diaria exclusiva para el diagnóstico etiológico. A continuación se describe cada una de las técnicas disponibles en el país, su interpretación y los procedimientos para la toma y manejo de muestras. En el cuadro 1 y las gráficas 3 y 4 se muestran los objetivos y la cronología de los estudios; el </w:t>
      </w:r>
      <w:hyperlink r:id="rId24" w:history="1">
        <w:r w:rsidRPr="002C2A3D">
          <w:rPr>
            <w:rFonts w:ascii="Times New Roman" w:eastAsia="Times New Roman" w:hAnsi="Times New Roman" w:cs="Times New Roman"/>
            <w:color w:val="0000FF"/>
            <w:sz w:val="24"/>
            <w:szCs w:val="24"/>
            <w:u w:val="single"/>
            <w:lang w:eastAsia="es-ES"/>
          </w:rPr>
          <w:t>cuadro 2</w:t>
        </w:r>
      </w:hyperlink>
      <w:r w:rsidRPr="002C2A3D">
        <w:rPr>
          <w:rFonts w:ascii="Times New Roman" w:eastAsia="Times New Roman" w:hAnsi="Times New Roman" w:cs="Times New Roman"/>
          <w:sz w:val="24"/>
          <w:szCs w:val="24"/>
          <w:lang w:eastAsia="es-ES"/>
        </w:rPr>
        <w:t xml:space="preserve"> señala los procedimientos generales para la toma y manejo de las muestras.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TÉCNICA DE ELISA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7"/>
          <w:szCs w:val="27"/>
          <w:lang w:eastAsia="es-ES"/>
        </w:rPr>
      </w:pPr>
      <w:r w:rsidRPr="002C2A3D">
        <w:rPr>
          <w:rFonts w:ascii="Times New Roman" w:eastAsia="Times New Roman" w:hAnsi="Times New Roman" w:cs="Times New Roman"/>
          <w:sz w:val="27"/>
          <w:szCs w:val="27"/>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Determina la presencia de Inmunoglobulina M (</w:t>
      </w:r>
      <w:proofErr w:type="spellStart"/>
      <w:r w:rsidRPr="002C2A3D">
        <w:rPr>
          <w:rFonts w:ascii="Times New Roman" w:eastAsia="Times New Roman" w:hAnsi="Times New Roman" w:cs="Times New Roman"/>
          <w:sz w:val="24"/>
          <w:szCs w:val="24"/>
          <w:lang w:eastAsia="es-ES"/>
        </w:rPr>
        <w:t>IgM</w:t>
      </w:r>
      <w:proofErr w:type="spellEnd"/>
      <w:r w:rsidRPr="002C2A3D">
        <w:rPr>
          <w:rFonts w:ascii="Times New Roman" w:eastAsia="Times New Roman" w:hAnsi="Times New Roman" w:cs="Times New Roman"/>
          <w:sz w:val="24"/>
          <w:szCs w:val="24"/>
          <w:lang w:eastAsia="es-ES"/>
        </w:rPr>
        <w:t xml:space="preserve">) específica para dengue, es rápida, sencilla y se puede interpretar con una sola muestra de suero, si es tomada en el momento oportuno y manejada en forma adecuada. Es la técnica de primera elección para el diagnóstico, pero no identifica el serotipo del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causal.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bookmarkStart w:id="13" w:name="Las_IgM_en_i"/>
      <w:r w:rsidRPr="002C2A3D">
        <w:rPr>
          <w:rFonts w:ascii="Times New Roman" w:eastAsia="Times New Roman" w:hAnsi="Times New Roman" w:cs="Times New Roman"/>
          <w:sz w:val="24"/>
          <w:szCs w:val="24"/>
          <w:lang w:eastAsia="es-ES"/>
        </w:rPr>
        <w:t xml:space="preserve">Las </w:t>
      </w:r>
      <w:proofErr w:type="spellStart"/>
      <w:r w:rsidRPr="002C2A3D">
        <w:rPr>
          <w:rFonts w:ascii="Times New Roman" w:eastAsia="Times New Roman" w:hAnsi="Times New Roman" w:cs="Times New Roman"/>
          <w:sz w:val="24"/>
          <w:szCs w:val="24"/>
          <w:lang w:eastAsia="es-ES"/>
        </w:rPr>
        <w:t>IgM</w:t>
      </w:r>
      <w:proofErr w:type="spellEnd"/>
      <w:r w:rsidRPr="002C2A3D">
        <w:rPr>
          <w:rFonts w:ascii="Times New Roman" w:eastAsia="Times New Roman" w:hAnsi="Times New Roman" w:cs="Times New Roman"/>
          <w:sz w:val="24"/>
          <w:szCs w:val="24"/>
          <w:lang w:eastAsia="es-ES"/>
        </w:rPr>
        <w:t xml:space="preserve"> en i</w:t>
      </w:r>
      <w:bookmarkEnd w:id="13"/>
      <w:r w:rsidRPr="002C2A3D">
        <w:rPr>
          <w:rFonts w:ascii="Times New Roman" w:eastAsia="Times New Roman" w:hAnsi="Times New Roman" w:cs="Times New Roman"/>
          <w:sz w:val="24"/>
          <w:szCs w:val="24"/>
          <w:lang w:eastAsia="es-ES"/>
        </w:rPr>
        <w:t xml:space="preserve">nfecciones por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son detectables por esta técnica en la mayoría de los casos, a partir del sexto u octavo día de iniciado el cuadro, y permanecen en niveles detectables hasta por 90 días (gráficas </w:t>
      </w:r>
      <w:hyperlink r:id="rId25" w:history="1">
        <w:r w:rsidRPr="002C2A3D">
          <w:rPr>
            <w:rFonts w:ascii="Times New Roman" w:eastAsia="Times New Roman" w:hAnsi="Times New Roman" w:cs="Times New Roman"/>
            <w:color w:val="0000FF"/>
            <w:sz w:val="24"/>
            <w:szCs w:val="24"/>
            <w:u w:val="single"/>
            <w:lang w:eastAsia="es-ES"/>
          </w:rPr>
          <w:t>3</w:t>
        </w:r>
      </w:hyperlink>
      <w:r w:rsidRPr="002C2A3D">
        <w:rPr>
          <w:rFonts w:ascii="Times New Roman" w:eastAsia="Times New Roman" w:hAnsi="Times New Roman" w:cs="Times New Roman"/>
          <w:sz w:val="24"/>
          <w:szCs w:val="24"/>
          <w:lang w:eastAsia="es-ES"/>
        </w:rPr>
        <w:t xml:space="preserve"> y </w:t>
      </w:r>
      <w:hyperlink r:id="rId26" w:history="1">
        <w:r w:rsidRPr="002C2A3D">
          <w:rPr>
            <w:rFonts w:ascii="Times New Roman" w:eastAsia="Times New Roman" w:hAnsi="Times New Roman" w:cs="Times New Roman"/>
            <w:color w:val="0000FF"/>
            <w:sz w:val="24"/>
            <w:szCs w:val="24"/>
            <w:u w:val="single"/>
            <w:lang w:eastAsia="es-ES"/>
          </w:rPr>
          <w:t>4</w:t>
        </w:r>
      </w:hyperlink>
      <w:r w:rsidRPr="002C2A3D">
        <w:rPr>
          <w:rFonts w:ascii="Times New Roman" w:eastAsia="Times New Roman" w:hAnsi="Times New Roman" w:cs="Times New Roman"/>
          <w:sz w:val="24"/>
          <w:szCs w:val="24"/>
          <w:lang w:eastAsia="es-ES"/>
        </w:rPr>
        <w:t>); sin embargo, antes del octavo día pudiera resultar negativa a pesar de ser un caso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Los resultados se interpretan de acuerdo con el valor de corte de cada "kit" de pruebas, reportando los resultados según la lectura de densidad óptica simplemente como "positivo" o "negativo". El resultado positivo indica con alta sensibilidad y especificidad que se trata de un cuadro agudo y reciente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Las muestras a procesar por esta técnica deberán ser obtenidas </w:t>
      </w:r>
      <w:r w:rsidRPr="002C2A3D">
        <w:rPr>
          <w:rFonts w:ascii="Times New Roman" w:eastAsia="Times New Roman" w:hAnsi="Times New Roman" w:cs="Times New Roman"/>
          <w:i/>
          <w:iCs/>
          <w:sz w:val="24"/>
          <w:szCs w:val="24"/>
          <w:lang w:eastAsia="es-ES"/>
        </w:rPr>
        <w:t xml:space="preserve">entre el 6º.-8º. </w:t>
      </w:r>
      <w:proofErr w:type="gramStart"/>
      <w:r w:rsidRPr="002C2A3D">
        <w:rPr>
          <w:rFonts w:ascii="Times New Roman" w:eastAsia="Times New Roman" w:hAnsi="Times New Roman" w:cs="Times New Roman"/>
          <w:i/>
          <w:iCs/>
          <w:sz w:val="24"/>
          <w:szCs w:val="24"/>
          <w:lang w:eastAsia="es-ES"/>
        </w:rPr>
        <w:t>y</w:t>
      </w:r>
      <w:proofErr w:type="gramEnd"/>
      <w:r w:rsidRPr="002C2A3D">
        <w:rPr>
          <w:rFonts w:ascii="Times New Roman" w:eastAsia="Times New Roman" w:hAnsi="Times New Roman" w:cs="Times New Roman"/>
          <w:i/>
          <w:iCs/>
          <w:sz w:val="24"/>
          <w:szCs w:val="24"/>
          <w:lang w:eastAsia="es-ES"/>
        </w:rPr>
        <w:t xml:space="preserve"> 30º.</w:t>
      </w:r>
      <w:r w:rsidRPr="002C2A3D">
        <w:rPr>
          <w:rFonts w:ascii="Times New Roman" w:eastAsia="Times New Roman" w:hAnsi="Times New Roman" w:cs="Times New Roman"/>
          <w:sz w:val="24"/>
          <w:szCs w:val="24"/>
          <w:lang w:eastAsia="es-ES"/>
        </w:rPr>
        <w:t xml:space="preserve"> </w:t>
      </w:r>
      <w:proofErr w:type="gramStart"/>
      <w:r w:rsidRPr="002C2A3D">
        <w:rPr>
          <w:rFonts w:ascii="Times New Roman" w:eastAsia="Times New Roman" w:hAnsi="Times New Roman" w:cs="Times New Roman"/>
          <w:i/>
          <w:iCs/>
          <w:sz w:val="24"/>
          <w:szCs w:val="24"/>
          <w:lang w:eastAsia="es-ES"/>
        </w:rPr>
        <w:t>días</w:t>
      </w:r>
      <w:proofErr w:type="gramEnd"/>
      <w:r w:rsidRPr="002C2A3D">
        <w:rPr>
          <w:rFonts w:ascii="Times New Roman" w:eastAsia="Times New Roman" w:hAnsi="Times New Roman" w:cs="Times New Roman"/>
          <w:i/>
          <w:iCs/>
          <w:sz w:val="24"/>
          <w:szCs w:val="24"/>
          <w:lang w:eastAsia="es-ES"/>
        </w:rPr>
        <w:t xml:space="preserve"> posteriores al inicio del cuadro; </w:t>
      </w:r>
      <w:r w:rsidRPr="002C2A3D">
        <w:rPr>
          <w:rFonts w:ascii="Times New Roman" w:eastAsia="Times New Roman" w:hAnsi="Times New Roman" w:cs="Times New Roman"/>
          <w:sz w:val="24"/>
          <w:szCs w:val="24"/>
          <w:lang w:eastAsia="es-ES"/>
        </w:rPr>
        <w:t xml:space="preserve">las tomadas antes del octavo día (por ejemplo en DH, </w:t>
      </w:r>
      <w:proofErr w:type="spellStart"/>
      <w:r w:rsidRPr="002C2A3D">
        <w:rPr>
          <w:rFonts w:ascii="Times New Roman" w:eastAsia="Times New Roman" w:hAnsi="Times New Roman" w:cs="Times New Roman"/>
          <w:sz w:val="24"/>
          <w:szCs w:val="24"/>
          <w:lang w:eastAsia="es-ES"/>
        </w:rPr>
        <w:t>SChD</w:t>
      </w:r>
      <w:proofErr w:type="spellEnd"/>
      <w:r w:rsidRPr="002C2A3D">
        <w:rPr>
          <w:rFonts w:ascii="Times New Roman" w:eastAsia="Times New Roman" w:hAnsi="Times New Roman" w:cs="Times New Roman"/>
          <w:sz w:val="24"/>
          <w:szCs w:val="24"/>
          <w:lang w:eastAsia="es-ES"/>
        </w:rPr>
        <w:t xml:space="preserve"> o defunciones) pueden procesarse por esta técnica, pero el resultado negativo no descarta el diagnóstico. El tiempo de almacenamiento y traslado de la muestra no debe pasar de 7 días.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TÉCNICA DE INHIBICIÓN DE LA HEMAGLUTINACIÓN (IH)</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Es útil para la cuantificación de Inmunoglobulina G (</w:t>
      </w:r>
      <w:proofErr w:type="spellStart"/>
      <w:r w:rsidRPr="002C2A3D">
        <w:rPr>
          <w:rFonts w:ascii="Times New Roman" w:eastAsia="Times New Roman" w:hAnsi="Times New Roman" w:cs="Times New Roman"/>
          <w:sz w:val="24"/>
          <w:szCs w:val="24"/>
          <w:lang w:eastAsia="es-ES"/>
        </w:rPr>
        <w:t>IgG</w:t>
      </w:r>
      <w:proofErr w:type="spellEnd"/>
      <w:r w:rsidRPr="002C2A3D">
        <w:rPr>
          <w:rFonts w:ascii="Times New Roman" w:eastAsia="Times New Roman" w:hAnsi="Times New Roman" w:cs="Times New Roman"/>
          <w:sz w:val="24"/>
          <w:szCs w:val="24"/>
          <w:lang w:eastAsia="es-ES"/>
        </w:rPr>
        <w:t xml:space="preserve">); la curva de anticuerpos </w:t>
      </w:r>
      <w:proofErr w:type="spellStart"/>
      <w:r w:rsidRPr="002C2A3D">
        <w:rPr>
          <w:rFonts w:ascii="Times New Roman" w:eastAsia="Times New Roman" w:hAnsi="Times New Roman" w:cs="Times New Roman"/>
          <w:sz w:val="24"/>
          <w:szCs w:val="24"/>
          <w:lang w:eastAsia="es-ES"/>
        </w:rPr>
        <w:t>IgG</w:t>
      </w:r>
      <w:proofErr w:type="spellEnd"/>
      <w:r w:rsidRPr="002C2A3D">
        <w:rPr>
          <w:rFonts w:ascii="Times New Roman" w:eastAsia="Times New Roman" w:hAnsi="Times New Roman" w:cs="Times New Roman"/>
          <w:sz w:val="24"/>
          <w:szCs w:val="24"/>
          <w:lang w:eastAsia="es-ES"/>
        </w:rPr>
        <w:t xml:space="preserve"> difiere si se trata de la primera infección por alguno de los serotipos del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o si es una infección sucesiva (gráfica 3). En la </w:t>
      </w:r>
      <w:proofErr w:type="spellStart"/>
      <w:r w:rsidRPr="002C2A3D">
        <w:rPr>
          <w:rFonts w:ascii="Times New Roman" w:eastAsia="Times New Roman" w:hAnsi="Times New Roman" w:cs="Times New Roman"/>
          <w:sz w:val="24"/>
          <w:szCs w:val="24"/>
          <w:lang w:eastAsia="es-ES"/>
        </w:rPr>
        <w:t>primoinfección</w:t>
      </w:r>
      <w:proofErr w:type="spellEnd"/>
      <w:r w:rsidRPr="002C2A3D">
        <w:rPr>
          <w:rFonts w:ascii="Times New Roman" w:eastAsia="Times New Roman" w:hAnsi="Times New Roman" w:cs="Times New Roman"/>
          <w:sz w:val="24"/>
          <w:szCs w:val="24"/>
          <w:lang w:eastAsia="es-ES"/>
        </w:rPr>
        <w:t xml:space="preserve"> la respuesta es lenta, de poca intensidad y duración, mientras que en infecciones secundarias hay desarrollo rápido de anticuerpos con títulos elevados, por lo regular superiores a 2 560 y que persisten por más tiempo. Por lo tanto, para el diagnóstico de infección reciente por esta prueba se requiere la toma de </w:t>
      </w:r>
      <w:r w:rsidRPr="002C2A3D">
        <w:rPr>
          <w:rFonts w:ascii="Times New Roman" w:eastAsia="Times New Roman" w:hAnsi="Times New Roman" w:cs="Times New Roman"/>
          <w:i/>
          <w:iCs/>
          <w:sz w:val="24"/>
          <w:szCs w:val="24"/>
          <w:lang w:eastAsia="es-ES"/>
        </w:rPr>
        <w:t>muestras pareadas: una durante la primera semana</w:t>
      </w:r>
      <w:r w:rsidRPr="002C2A3D">
        <w:rPr>
          <w:rFonts w:ascii="Times New Roman" w:eastAsia="Times New Roman" w:hAnsi="Times New Roman" w:cs="Times New Roman"/>
          <w:sz w:val="24"/>
          <w:szCs w:val="24"/>
          <w:lang w:eastAsia="es-ES"/>
        </w:rPr>
        <w:t xml:space="preserve"> </w:t>
      </w:r>
      <w:r w:rsidRPr="002C2A3D">
        <w:rPr>
          <w:rFonts w:ascii="Times New Roman" w:eastAsia="Times New Roman" w:hAnsi="Times New Roman" w:cs="Times New Roman"/>
          <w:i/>
          <w:iCs/>
          <w:sz w:val="24"/>
          <w:szCs w:val="24"/>
          <w:lang w:eastAsia="es-ES"/>
        </w:rPr>
        <w:t xml:space="preserve">de la </w:t>
      </w:r>
      <w:r w:rsidRPr="002C2A3D">
        <w:rPr>
          <w:rFonts w:ascii="Times New Roman" w:eastAsia="Times New Roman" w:hAnsi="Times New Roman" w:cs="Times New Roman"/>
          <w:i/>
          <w:iCs/>
          <w:sz w:val="24"/>
          <w:szCs w:val="24"/>
          <w:lang w:eastAsia="es-ES"/>
        </w:rPr>
        <w:lastRenderedPageBreak/>
        <w:t xml:space="preserve">enfermedad y la segunda en la cuarta semana de evolución. </w:t>
      </w:r>
      <w:r w:rsidRPr="002C2A3D">
        <w:rPr>
          <w:rFonts w:ascii="Times New Roman" w:eastAsia="Times New Roman" w:hAnsi="Times New Roman" w:cs="Times New Roman"/>
          <w:sz w:val="24"/>
          <w:szCs w:val="24"/>
          <w:lang w:eastAsia="es-ES"/>
        </w:rPr>
        <w:t>Con esta prueba no es posible identificar el serotipo que causa la infección; la técnica de IH requiere mayor tiempo de procesamiento, equipo y personal.</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Si las muestras son tomadas y manejadas adecuadamente, la técnica de IH permite: a) establecer el diagnóstico de infección reciente por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b) estimar si se trata de una </w:t>
      </w:r>
      <w:proofErr w:type="spellStart"/>
      <w:r w:rsidRPr="002C2A3D">
        <w:rPr>
          <w:rFonts w:ascii="Times New Roman" w:eastAsia="Times New Roman" w:hAnsi="Times New Roman" w:cs="Times New Roman"/>
          <w:sz w:val="24"/>
          <w:szCs w:val="24"/>
          <w:lang w:eastAsia="es-ES"/>
        </w:rPr>
        <w:t>primoinfección</w:t>
      </w:r>
      <w:proofErr w:type="spellEnd"/>
      <w:r w:rsidRPr="002C2A3D">
        <w:rPr>
          <w:rFonts w:ascii="Times New Roman" w:eastAsia="Times New Roman" w:hAnsi="Times New Roman" w:cs="Times New Roman"/>
          <w:sz w:val="24"/>
          <w:szCs w:val="24"/>
          <w:lang w:eastAsia="es-ES"/>
        </w:rPr>
        <w:t xml:space="preserve"> o infección secundaria; e) realizar estudios de </w:t>
      </w:r>
      <w:proofErr w:type="spellStart"/>
      <w:r w:rsidRPr="002C2A3D">
        <w:rPr>
          <w:rFonts w:ascii="Times New Roman" w:eastAsia="Times New Roman" w:hAnsi="Times New Roman" w:cs="Times New Roman"/>
          <w:sz w:val="24"/>
          <w:szCs w:val="24"/>
          <w:lang w:eastAsia="es-ES"/>
        </w:rPr>
        <w:t>seroprevalencia</w:t>
      </w:r>
      <w:proofErr w:type="spellEnd"/>
      <w:r w:rsidRPr="002C2A3D">
        <w:rPr>
          <w:rFonts w:ascii="Times New Roman" w:eastAsia="Times New Roman" w:hAnsi="Times New Roman" w:cs="Times New Roman"/>
          <w:sz w:val="24"/>
          <w:szCs w:val="24"/>
          <w:lang w:eastAsia="es-ES"/>
        </w:rPr>
        <w:t xml:space="preserve"> en la población; y por tanto, d) estimar el riesgo de presentación de formas graves. La interpretación de los resultados depende del intervalo entre la fecha de la toma de cada una de las muestras y la de inicio del padecimiento, en relación con los títulos de anticuerpos encontrados. El tiempo de almacenamiento y traslado de la muestra no debe pasar de 7 días.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DETERMINACIÓN DE LA PRESENCIA DEL DENGUEVIRUS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Para la determinación de la presencia del virus y la identificación del serotipo se dispone del aislamiento viral en cultivos celulares y la técnica de reacción en cadena de polimerasas o PCR.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Ya que la presencia del virus en la sangre es fugaz, para estas pruebas se requiere que las muestras </w:t>
      </w:r>
      <w:r w:rsidRPr="002C2A3D">
        <w:rPr>
          <w:rFonts w:ascii="Times New Roman" w:eastAsia="Times New Roman" w:hAnsi="Times New Roman" w:cs="Times New Roman"/>
          <w:i/>
          <w:iCs/>
          <w:sz w:val="24"/>
          <w:szCs w:val="24"/>
          <w:lang w:eastAsia="es-ES"/>
        </w:rPr>
        <w:t>para aislamiento sean tomadas antes del tercer día de haber iniciado el</w:t>
      </w:r>
      <w:r w:rsidRPr="002C2A3D">
        <w:rPr>
          <w:rFonts w:ascii="Times New Roman" w:eastAsia="Times New Roman" w:hAnsi="Times New Roman" w:cs="Times New Roman"/>
          <w:sz w:val="24"/>
          <w:szCs w:val="24"/>
          <w:lang w:eastAsia="es-ES"/>
        </w:rPr>
        <w:t xml:space="preserve"> </w:t>
      </w:r>
      <w:r w:rsidRPr="002C2A3D">
        <w:rPr>
          <w:rFonts w:ascii="Times New Roman" w:eastAsia="Times New Roman" w:hAnsi="Times New Roman" w:cs="Times New Roman"/>
          <w:i/>
          <w:iCs/>
          <w:sz w:val="24"/>
          <w:szCs w:val="24"/>
          <w:lang w:eastAsia="es-ES"/>
        </w:rPr>
        <w:t xml:space="preserve">cuadro clínico y dentro de la primera semana para PCR. </w:t>
      </w:r>
      <w:r w:rsidRPr="002C2A3D">
        <w:rPr>
          <w:rFonts w:ascii="Times New Roman" w:eastAsia="Times New Roman" w:hAnsi="Times New Roman" w:cs="Times New Roman"/>
          <w:sz w:val="24"/>
          <w:szCs w:val="24"/>
          <w:lang w:eastAsia="es-ES"/>
        </w:rPr>
        <w:t>El resultado positivo confirma de manera irrefutable el diagnóstico.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A partir del aislamiento viral es factible realizar la tipificación del genotipo, determinar su origen (</w:t>
      </w:r>
      <w:proofErr w:type="spellStart"/>
      <w:r w:rsidRPr="002C2A3D">
        <w:rPr>
          <w:rFonts w:ascii="Times New Roman" w:eastAsia="Times New Roman" w:hAnsi="Times New Roman" w:cs="Times New Roman"/>
          <w:sz w:val="24"/>
          <w:szCs w:val="24"/>
          <w:lang w:eastAsia="es-ES"/>
        </w:rPr>
        <w:t>topotipo</w:t>
      </w:r>
      <w:proofErr w:type="spellEnd"/>
      <w:r w:rsidRPr="002C2A3D">
        <w:rPr>
          <w:rFonts w:ascii="Times New Roman" w:eastAsia="Times New Roman" w:hAnsi="Times New Roman" w:cs="Times New Roman"/>
          <w:sz w:val="24"/>
          <w:szCs w:val="24"/>
          <w:lang w:eastAsia="es-ES"/>
        </w:rPr>
        <w:t>) y la virulencia de la cepa. El tiempo de almacenamiento y traslado de la muestra para estas técnicas no debe pasar de 3 días.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toma y manejo de las muestras para laboratorio siguen los lineamientos generales para pruebas virológicas. En términos generales los aspectos más importantes son: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 xml:space="preserve">Toma de muestra: </w:t>
      </w:r>
      <w:r w:rsidRPr="002C2A3D">
        <w:rPr>
          <w:rFonts w:ascii="Times New Roman" w:eastAsia="Times New Roman" w:hAnsi="Times New Roman" w:cs="Times New Roman"/>
          <w:sz w:val="24"/>
          <w:szCs w:val="24"/>
          <w:lang w:eastAsia="es-ES"/>
        </w:rPr>
        <w:t xml:space="preserve">Verificar que las muestras sean tomadas en las fechas adecuadas, dependiendo del estudio solicitado; las muestras deben tomarse y manejarse en condiciones de esterilidad y en la cantidad suficiente (5cc de sangre para obtener 2.5 </w:t>
      </w:r>
      <w:proofErr w:type="spellStart"/>
      <w:r w:rsidRPr="002C2A3D">
        <w:rPr>
          <w:rFonts w:ascii="Times New Roman" w:eastAsia="Times New Roman" w:hAnsi="Times New Roman" w:cs="Times New Roman"/>
          <w:sz w:val="24"/>
          <w:szCs w:val="24"/>
          <w:lang w:eastAsia="es-ES"/>
        </w:rPr>
        <w:t>cc</w:t>
      </w:r>
      <w:proofErr w:type="spellEnd"/>
      <w:r w:rsidRPr="002C2A3D">
        <w:rPr>
          <w:rFonts w:ascii="Times New Roman" w:eastAsia="Times New Roman" w:hAnsi="Times New Roman" w:cs="Times New Roman"/>
          <w:sz w:val="24"/>
          <w:szCs w:val="24"/>
          <w:lang w:eastAsia="es-ES"/>
        </w:rPr>
        <w:t xml:space="preserve"> de suero como mínimo) para la realización de los estudios.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 xml:space="preserve">Preparación: </w:t>
      </w:r>
      <w:r w:rsidRPr="002C2A3D">
        <w:rPr>
          <w:rFonts w:ascii="Times New Roman" w:eastAsia="Times New Roman" w:hAnsi="Times New Roman" w:cs="Times New Roman"/>
          <w:sz w:val="24"/>
          <w:szCs w:val="24"/>
          <w:lang w:eastAsia="es-ES"/>
        </w:rPr>
        <w:t xml:space="preserve">La separación del coágulo se hace por centrifugación o reposo por una noche en refrigeración, enviando sólo el suero en frasco estéril de cierre hermético. Los tubos deben ser identificados con tinta endeble indicando el nombre del paciente, edad, sexo, localidad y fecha de toma. Todas las muestras se canalizan al laboratorio a través de las unidades de epidemiología jurisdiccionales o estatales, acompañadas de una relación de las muestras enviadas y de los formatos del Estudio Clínico Epidemiológico de Dengue y Dengue Hemorrágico correspondientes, la relación u oficio de envío debe </w:t>
      </w:r>
      <w:r w:rsidRPr="002C2A3D">
        <w:rPr>
          <w:rFonts w:ascii="Times New Roman" w:eastAsia="Times New Roman" w:hAnsi="Times New Roman" w:cs="Times New Roman"/>
          <w:sz w:val="24"/>
          <w:szCs w:val="24"/>
          <w:lang w:eastAsia="es-ES"/>
        </w:rPr>
        <w:lastRenderedPageBreak/>
        <w:t>indicar el tipo de prueba solicitada para cada muestra y si se trata de especímenes para control de calidad.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 xml:space="preserve">Almacenamiento y envío: </w:t>
      </w:r>
      <w:r w:rsidRPr="002C2A3D">
        <w:rPr>
          <w:rFonts w:ascii="Times New Roman" w:eastAsia="Times New Roman" w:hAnsi="Times New Roman" w:cs="Times New Roman"/>
          <w:sz w:val="24"/>
          <w:szCs w:val="24"/>
          <w:lang w:eastAsia="es-ES"/>
        </w:rPr>
        <w:t>Se deben conservar a temperatura de refrigeración (2 a 8ºC) durante todo el proceso, hasta su llegada al laboratorio. Es necesario asegurar la integridad de los tubos y la información, así como la conservación de la temperatura en los recipientes de envío. El tiempo de almacenamiento y traslado no debe sobrepasar de siete días en las muestras para estudios serológicos y tres días en las muestras para aislamiento viral y PCR. El envío debe realizarse con un propio o a través de servicios de paquetería con entrega a domicilio, remitiéndose directamente al Laboratorio Estatal o al Laboratorio de Virología del INDRE; se verificará la llegada y condiciones de las muestras en el laboratorio.</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8" name="Imagen 8"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bookmarkStart w:id="14" w:name="6._COMPONENTES_DE_LA_VIGILANCIA"/>
      <w:r w:rsidRPr="002C2A3D">
        <w:rPr>
          <w:rFonts w:ascii="Times New Roman" w:eastAsia="Times New Roman" w:hAnsi="Times New Roman" w:cs="Times New Roman"/>
          <w:b/>
          <w:bCs/>
          <w:sz w:val="24"/>
          <w:szCs w:val="24"/>
          <w:lang w:eastAsia="es-ES"/>
        </w:rPr>
        <w:t>6. COMPONENTES DE LA VIGILANCIA</w:t>
      </w:r>
      <w:bookmarkEnd w:id="14"/>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b/>
          <w:bCs/>
          <w:sz w:val="24"/>
          <w:szCs w:val="24"/>
          <w:lang w:eastAsia="es-ES"/>
        </w:rPr>
        <w:t>EPIDEMIOLÓGICA DEL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vigilancia del dengue ofrece la oportunidad de utilizar el enfoque de riesgo en epidemiología desde el contexto de la historia natural de la enfermedad, ya que su frecuencia, distribución y características están condicionadas por la participación de factores de riesgo específico en la comunidad. Con el propósito de sistematizar estos componentes y facilitar su estudio, se pueden clasificar como clínicos, entomológicos, virológicos y factores de riesgo.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Para cada uno de estos componentes se han diseñado y desarrollado procedimientos específicos que, analizados de manera integral, permiten establecer el riesgo global de la enfermedad. Por otro lado, ya que el control del padecimiento se basa en el control del vector, la medición y estratificación del riesgo entomológico da la pauta para dicho control y a su vez sirve como parámetro fundamental para la evaluación de las acciones y de su impacto en la población.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Vigilancia clínica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vigilancia clínica del dengue incluye la detección, notificación, estudio, seguimiento y clasificación de casos y defunciones, de acuerdo con las definiciones operacionales correspondientes, por tanto se debe realizar el protocolo de estudio para cada presentación clínica y la búsqueda intencionada de casos en unidades de salud y la comunidad, así como en fuentes adicionales de información.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1. PROCEDIMIENTO PARA EL ESTUDIO DE CASOS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b/>
          <w:bCs/>
          <w:sz w:val="24"/>
          <w:szCs w:val="24"/>
          <w:lang w:eastAsia="es-ES"/>
        </w:rPr>
        <w:t>Acciones ante un caso sospechoso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Toda persona de cualquier edad que presente cuadro febril inespecífico o compatible con infección viral y que resida o proceda de una región en la que haya transmisión de la enfermedad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definición de casos sospechosos sólo se utiliza en brotes o estudios especiales, para la detección de casos adicionales o toma de muestras de laboratorio. De acuerdo con los objetivos o especificaciones de cada estudio, se realizará el llenado de formatos o procedimientos necesarios.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Los casos sospechosos no deben ser notificados a menos que pasen a otra clasificación.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b/>
          <w:bCs/>
          <w:sz w:val="24"/>
          <w:szCs w:val="24"/>
          <w:lang w:eastAsia="es-ES"/>
        </w:rPr>
        <w:t>Acciones ante un caso probable de dengue clásico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Todo caso sospechoso de dengue que presente los siguientes signos o síntomas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Fiebre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Cefalea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Mialgias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Artralgias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En menores de cinco años el único signo puede ser la fiebre.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presencia de casos probables de dengue clásico en un área endémica es el detonador del sistema de vigilancia. Ante esta situación, se deberán realizar las siguientes acciones:</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1. Notificación a través del Informe Semanal de Casos Nuevos de Enfermedades (Epi-1-95).</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2. Notificación de brotes a través del formato EPI-2-95.</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3. Si no se habían presentado casos en las últimas 8 semanas: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 notificará de manera inmediata la presencia de casos probables 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 unidad de epidemiología de la jurisdicción Sanitaria correspondiente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 xml:space="preserve">-El Departamento de Epidemiología de la SSA estatal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-Las otras instituciones del Sistema Nacional de Salud y las autoridades locales, dependiendo de la gravedad de la situación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-Se confirmará el diagnóstico con muestras de laboratorio en los primeros casos, por estudios de ELISA </w:t>
      </w:r>
      <w:proofErr w:type="spellStart"/>
      <w:r w:rsidRPr="002C2A3D">
        <w:rPr>
          <w:rFonts w:ascii="Times New Roman" w:eastAsia="Times New Roman" w:hAnsi="Times New Roman" w:cs="Times New Roman"/>
          <w:sz w:val="24"/>
          <w:szCs w:val="24"/>
          <w:lang w:eastAsia="es-ES"/>
        </w:rPr>
        <w:t>IgM</w:t>
      </w:r>
      <w:proofErr w:type="spellEnd"/>
      <w:r w:rsidRPr="002C2A3D">
        <w:rPr>
          <w:rFonts w:ascii="Times New Roman" w:eastAsia="Times New Roman" w:hAnsi="Times New Roman" w:cs="Times New Roman"/>
          <w:sz w:val="24"/>
          <w:szCs w:val="24"/>
          <w:lang w:eastAsia="es-ES"/>
        </w:rPr>
        <w:t xml:space="preserve"> (véase "Diagnóstico de Dengue por Laboratorio"). De acuerdo con el número de casos y capacidad del laboratorio, se decidirá el número de muestras a tomar, pero en general se sugiere no rebasar las 20 en cada localidad o brote.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-Todos los casos probables deberán ser incorporados en la Epi-1-95, se disponga o no de estudios de laboratorio.</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4. Las muestras de laboratorio se tomarán de acuerdo con las especificaciones señaladas en las secciones "Diagnóstico de Dengue por Laboratorio" y "Vigilancia Virológica".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5. Una vez confirmada la presencia de la enfermedad en un área, la clasificación de los casos se realizará sobre bases clínicas, de acuerdo con la definición operacional de caso.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6. En los casos probables de dengue clásico no es necesario el llenado del formato de Estudio Clínico-epidemiológico de Dengue, a menos que: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 hayan tomado muestras para laboratorio,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-Pase a otra clasificación (dengue hemorrágico, dengue clásico con manifestaciones hemorrágicas o síndrome de choque por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-Existan indicaciones específicas del nivel jurisdiccional o estatal.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7. En todo caso probable de dengue clásico deberán darse indicaciones al paciente o responsable del mismo sobre los signos y síntomas de dengue hemorrágico, los signos de alarma de la enfermedad y el manejo correspondiente (véase anexos).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8. Realización de la vigilancia clínica, entomológica, virológica y de factores de riesgo para dengue, canalizando la información correspondiente a los Comités jurisdiccional y Estatal para la Vigilancia y Control del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b/>
          <w:bCs/>
          <w:sz w:val="24"/>
          <w:szCs w:val="24"/>
          <w:lang w:eastAsia="es-ES"/>
        </w:rPr>
        <w:t>Acciones ante un caso probable de dengue hemorrágico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Todo caso probable que, posterior o simultáneo a un</w:t>
      </w:r>
      <w:r w:rsidRPr="002C2A3D">
        <w:rPr>
          <w:rFonts w:ascii="Times New Roman" w:eastAsia="Times New Roman" w:hAnsi="Times New Roman" w:cs="Times New Roman"/>
          <w:b/>
          <w:bCs/>
          <w:sz w:val="24"/>
          <w:szCs w:val="24"/>
          <w:lang w:eastAsia="es-ES"/>
        </w:rPr>
        <w:t xml:space="preserve"> </w:t>
      </w:r>
      <w:r w:rsidRPr="002C2A3D">
        <w:rPr>
          <w:rFonts w:ascii="Times New Roman" w:eastAsia="Times New Roman" w:hAnsi="Times New Roman" w:cs="Times New Roman"/>
          <w:i/>
          <w:iCs/>
          <w:sz w:val="24"/>
          <w:szCs w:val="24"/>
          <w:lang w:eastAsia="es-ES"/>
        </w:rPr>
        <w:t>cuadro de dengue, presente: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Fiebre persistente,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Datos de fuga de líquidos, manifestados por uno o más de:</w:t>
      </w:r>
    </w:p>
    <w:p w:rsidR="002C2A3D" w:rsidRPr="002C2A3D" w:rsidRDefault="002C2A3D" w:rsidP="002C2A3D">
      <w:pPr>
        <w:spacing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-Datos de fragilidad capilar (petequias, equimosis, púrpura o Hematoma)</w:t>
      </w:r>
    </w:p>
    <w:p w:rsidR="002C2A3D" w:rsidRPr="002C2A3D" w:rsidRDefault="002C2A3D" w:rsidP="002C2A3D">
      <w:pPr>
        <w:spacing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lastRenderedPageBreak/>
        <w:t>-Hemorragias a cualquier nivel y de cualquier intensidad (gingivorragia, epistaxis,</w:t>
      </w:r>
      <w:r w:rsidRPr="002C2A3D">
        <w:rPr>
          <w:rFonts w:ascii="Times New Roman" w:eastAsia="Times New Roman" w:hAnsi="Times New Roman" w:cs="Times New Roman"/>
          <w:sz w:val="24"/>
          <w:szCs w:val="24"/>
          <w:lang w:eastAsia="es-ES"/>
        </w:rPr>
        <w:t xml:space="preserve"> </w:t>
      </w:r>
      <w:r w:rsidRPr="002C2A3D">
        <w:rPr>
          <w:rFonts w:ascii="Times New Roman" w:eastAsia="Times New Roman" w:hAnsi="Times New Roman" w:cs="Times New Roman"/>
          <w:i/>
          <w:iCs/>
          <w:sz w:val="24"/>
          <w:szCs w:val="24"/>
          <w:lang w:eastAsia="es-ES"/>
        </w:rPr>
        <w:t xml:space="preserve">hematemesis, melena, </w:t>
      </w:r>
      <w:proofErr w:type="spellStart"/>
      <w:r w:rsidRPr="002C2A3D">
        <w:rPr>
          <w:rFonts w:ascii="Times New Roman" w:eastAsia="Times New Roman" w:hAnsi="Times New Roman" w:cs="Times New Roman"/>
          <w:i/>
          <w:iCs/>
          <w:sz w:val="24"/>
          <w:szCs w:val="24"/>
          <w:lang w:eastAsia="es-ES"/>
        </w:rPr>
        <w:t>metorragia</w:t>
      </w:r>
      <w:proofErr w:type="spellEnd"/>
      <w:r w:rsidRPr="002C2A3D">
        <w:rPr>
          <w:rFonts w:ascii="Times New Roman" w:eastAsia="Times New Roman" w:hAnsi="Times New Roman" w:cs="Times New Roman"/>
          <w:i/>
          <w:iCs/>
          <w:sz w:val="24"/>
          <w:szCs w:val="24"/>
          <w:lang w:eastAsia="es-ES"/>
        </w:rPr>
        <w:t xml:space="preserve">, </w:t>
      </w:r>
      <w:proofErr w:type="spellStart"/>
      <w:r w:rsidRPr="002C2A3D">
        <w:rPr>
          <w:rFonts w:ascii="Times New Roman" w:eastAsia="Times New Roman" w:hAnsi="Times New Roman" w:cs="Times New Roman"/>
          <w:i/>
          <w:iCs/>
          <w:sz w:val="24"/>
          <w:szCs w:val="24"/>
          <w:lang w:eastAsia="es-ES"/>
        </w:rPr>
        <w:t>hemóptisis</w:t>
      </w:r>
      <w:proofErr w:type="spellEnd"/>
      <w:r w:rsidRPr="002C2A3D">
        <w:rPr>
          <w:rFonts w:ascii="Times New Roman" w:eastAsia="Times New Roman" w:hAnsi="Times New Roman" w:cs="Times New Roman"/>
          <w:i/>
          <w:iCs/>
          <w:sz w:val="24"/>
          <w:szCs w:val="24"/>
          <w:lang w:eastAsia="es-ES"/>
        </w:rPr>
        <w:t xml:space="preserve">, sangrado en sitios de </w:t>
      </w:r>
      <w:proofErr w:type="spellStart"/>
      <w:r w:rsidRPr="002C2A3D">
        <w:rPr>
          <w:rFonts w:ascii="Times New Roman" w:eastAsia="Times New Roman" w:hAnsi="Times New Roman" w:cs="Times New Roman"/>
          <w:i/>
          <w:iCs/>
          <w:sz w:val="24"/>
          <w:szCs w:val="24"/>
          <w:lang w:eastAsia="es-ES"/>
        </w:rPr>
        <w:t>venopunción</w:t>
      </w:r>
      <w:proofErr w:type="spellEnd"/>
      <w:r w:rsidRPr="002C2A3D">
        <w:rPr>
          <w:rFonts w:ascii="Times New Roman" w:eastAsia="Times New Roman" w:hAnsi="Times New Roman" w:cs="Times New Roman"/>
          <w:i/>
          <w:iCs/>
          <w:sz w:val="24"/>
          <w:szCs w:val="24"/>
          <w:lang w:eastAsia="es-ES"/>
        </w:rPr>
        <w:t>, o en vías urinarias)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xml:space="preserve">-Derrames </w:t>
      </w:r>
      <w:proofErr w:type="spellStart"/>
      <w:r w:rsidRPr="002C2A3D">
        <w:rPr>
          <w:rFonts w:ascii="Times New Roman" w:eastAsia="Times New Roman" w:hAnsi="Times New Roman" w:cs="Times New Roman"/>
          <w:i/>
          <w:iCs/>
          <w:sz w:val="24"/>
          <w:szCs w:val="24"/>
          <w:lang w:eastAsia="es-ES"/>
        </w:rPr>
        <w:t>cavitarios</w:t>
      </w:r>
      <w:proofErr w:type="spellEnd"/>
      <w:r w:rsidRPr="002C2A3D">
        <w:rPr>
          <w:rFonts w:ascii="Times New Roman" w:eastAsia="Times New Roman" w:hAnsi="Times New Roman" w:cs="Times New Roman"/>
          <w:i/>
          <w:iCs/>
          <w:sz w:val="24"/>
          <w:szCs w:val="24"/>
          <w:lang w:eastAsia="es-ES"/>
        </w:rPr>
        <w:t xml:space="preserve"> (pleural, </w:t>
      </w:r>
      <w:proofErr w:type="spellStart"/>
      <w:r w:rsidRPr="002C2A3D">
        <w:rPr>
          <w:rFonts w:ascii="Times New Roman" w:eastAsia="Times New Roman" w:hAnsi="Times New Roman" w:cs="Times New Roman"/>
          <w:i/>
          <w:iCs/>
          <w:sz w:val="24"/>
          <w:szCs w:val="24"/>
          <w:lang w:eastAsia="es-ES"/>
        </w:rPr>
        <w:t>pericárdico</w:t>
      </w:r>
      <w:proofErr w:type="spellEnd"/>
      <w:r w:rsidRPr="002C2A3D">
        <w:rPr>
          <w:rFonts w:ascii="Times New Roman" w:eastAsia="Times New Roman" w:hAnsi="Times New Roman" w:cs="Times New Roman"/>
          <w:i/>
          <w:iCs/>
          <w:sz w:val="24"/>
          <w:szCs w:val="24"/>
          <w:lang w:eastAsia="es-ES"/>
        </w:rPr>
        <w:t>, ascitis) o intersticiales (edema)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Hemoconcentración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proofErr w:type="spellStart"/>
      <w:r w:rsidRPr="002C2A3D">
        <w:rPr>
          <w:rFonts w:ascii="Times New Roman" w:eastAsia="Times New Roman" w:hAnsi="Times New Roman" w:cs="Times New Roman"/>
          <w:i/>
          <w:iCs/>
          <w:sz w:val="24"/>
          <w:szCs w:val="24"/>
          <w:lang w:eastAsia="es-ES"/>
        </w:rPr>
        <w:t>Plaquetopenia</w:t>
      </w:r>
      <w:proofErr w:type="spellEnd"/>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Notificación inmediata, aun antes de demostrar o descartar la existencia de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y hemoconcentración, a la unidad del Sistema Nacional de Salud más cercana, la cual notificará a los niveles superiores, siguiendo los canales de información de cada institución, y simultáneamente 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-El director del centro de salud de la SSA más cercano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-La unidad de epidemiología de la jurisdicción Sanitaria correspondiente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-El Departamento de Epidemiología de la SSA estatal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-Las instituciones del Sistema Nacional de Salud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-Los Comités Jurisdiccionales y Estatales de Vigilancia v Control del Dengue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-Las autoridades locales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Dirección General de Epidemiología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Toma de muestras para la determinación de hematocrito, hemoglobina, plaquetas y otros estudios disponibles en la unidad (véase formato de Estudio Clínico Epidemiológico de Dengue y Dengue Hemorrágico), de acuerdo con las siguientes especificaciones: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primera muestra deberá tomarse el día que inicien las manifestaciones de fuga de líquidos o en el primer contacto con los servicios de salud.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-Se tomarán muestras de monitoreo </w:t>
      </w:r>
      <w:proofErr w:type="spellStart"/>
      <w:r w:rsidRPr="002C2A3D">
        <w:rPr>
          <w:rFonts w:ascii="Times New Roman" w:eastAsia="Times New Roman" w:hAnsi="Times New Roman" w:cs="Times New Roman"/>
          <w:sz w:val="24"/>
          <w:szCs w:val="24"/>
          <w:lang w:eastAsia="es-ES"/>
        </w:rPr>
        <w:t>hemodinámico</w:t>
      </w:r>
      <w:proofErr w:type="spellEnd"/>
      <w:r w:rsidRPr="002C2A3D">
        <w:rPr>
          <w:rFonts w:ascii="Times New Roman" w:eastAsia="Times New Roman" w:hAnsi="Times New Roman" w:cs="Times New Roman"/>
          <w:sz w:val="24"/>
          <w:szCs w:val="24"/>
          <w:lang w:eastAsia="es-ES"/>
        </w:rPr>
        <w:t xml:space="preserve"> dependiendo de la evolución del paciente, cada 6 a 24 horas, durante la fase aguda de la enfermedad (mientras persista la fiebre); si el paciente cae en choque (hipotermia) se mantendrá el monitoreo hasta que éste haya sido resuelto.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 tomará una muestra de seguimiento y control siete días después de haber desaparecido la fiebre o haberse recuperado del estado de choque.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Determinar la presencia de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con base en los resultados del monitoreo </w:t>
      </w:r>
      <w:proofErr w:type="spellStart"/>
      <w:r w:rsidRPr="002C2A3D">
        <w:rPr>
          <w:rFonts w:ascii="Times New Roman" w:eastAsia="Times New Roman" w:hAnsi="Times New Roman" w:cs="Times New Roman"/>
          <w:sz w:val="24"/>
          <w:szCs w:val="24"/>
          <w:lang w:eastAsia="es-ES"/>
        </w:rPr>
        <w:t>hemodinámico</w:t>
      </w:r>
      <w:proofErr w:type="spellEnd"/>
      <w:r w:rsidRPr="002C2A3D">
        <w:rPr>
          <w:rFonts w:ascii="Times New Roman" w:eastAsia="Times New Roman" w:hAnsi="Times New Roman" w:cs="Times New Roman"/>
          <w:sz w:val="24"/>
          <w:szCs w:val="24"/>
          <w:lang w:eastAsia="es-ES"/>
        </w:rPr>
        <w:t xml:space="preserve"> y de acuerdo con el siguiente criterio: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-Conteo </w:t>
      </w:r>
      <w:proofErr w:type="spellStart"/>
      <w:r w:rsidRPr="002C2A3D">
        <w:rPr>
          <w:rFonts w:ascii="Times New Roman" w:eastAsia="Times New Roman" w:hAnsi="Times New Roman" w:cs="Times New Roman"/>
          <w:sz w:val="24"/>
          <w:szCs w:val="24"/>
          <w:lang w:eastAsia="es-ES"/>
        </w:rPr>
        <w:t>plaquetario</w:t>
      </w:r>
      <w:proofErr w:type="spellEnd"/>
      <w:r w:rsidRPr="002C2A3D">
        <w:rPr>
          <w:rFonts w:ascii="Times New Roman" w:eastAsia="Times New Roman" w:hAnsi="Times New Roman" w:cs="Times New Roman"/>
          <w:sz w:val="24"/>
          <w:szCs w:val="24"/>
          <w:lang w:eastAsia="es-ES"/>
        </w:rPr>
        <w:t xml:space="preserve"> igual o menor a 100 000 plaquetas.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 xml:space="preserve">Determinar la presencia de hemoconcentración, con base en los resultados del monitoreo </w:t>
      </w:r>
      <w:proofErr w:type="spellStart"/>
      <w:r w:rsidRPr="002C2A3D">
        <w:rPr>
          <w:rFonts w:ascii="Times New Roman" w:eastAsia="Times New Roman" w:hAnsi="Times New Roman" w:cs="Times New Roman"/>
          <w:sz w:val="24"/>
          <w:szCs w:val="24"/>
          <w:lang w:eastAsia="es-ES"/>
        </w:rPr>
        <w:t>hemodinámico</w:t>
      </w:r>
      <w:proofErr w:type="spellEnd"/>
      <w:r w:rsidRPr="002C2A3D">
        <w:rPr>
          <w:rFonts w:ascii="Times New Roman" w:eastAsia="Times New Roman" w:hAnsi="Times New Roman" w:cs="Times New Roman"/>
          <w:sz w:val="24"/>
          <w:szCs w:val="24"/>
          <w:lang w:eastAsia="es-ES"/>
        </w:rPr>
        <w:t xml:space="preserve"> y de acuerdo con la presencia de uno o más de los siguientes criterios: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-Incremento del hematocrito en 20% o más (por ejemplo del 40 al 48%) durante la fase crítica de la enfermedad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-Decremento del hematocrito en 20% o menos (por ejemplo del 48 al 40%) entre la fase crítica y la convalecencia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-Tendencia del hematocrito (por ejemplo 40, 43, y 45% en muestras subsecuentes)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-Valor de la relación hematocrito/hemoglobina: el valor normal es 3.0 (0.1); si la relación es de 3.2 a 3.4 se considera sugestiva, si es de 3.5 o mayor es indicativa de hemoconcentración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-Presencia de derrames </w:t>
      </w:r>
      <w:proofErr w:type="spellStart"/>
      <w:r w:rsidRPr="002C2A3D">
        <w:rPr>
          <w:rFonts w:ascii="Times New Roman" w:eastAsia="Times New Roman" w:hAnsi="Times New Roman" w:cs="Times New Roman"/>
          <w:sz w:val="24"/>
          <w:szCs w:val="24"/>
          <w:lang w:eastAsia="es-ES"/>
        </w:rPr>
        <w:t>cavitarios</w:t>
      </w:r>
      <w:proofErr w:type="spellEnd"/>
      <w:r w:rsidRPr="002C2A3D">
        <w:rPr>
          <w:rFonts w:ascii="Times New Roman" w:eastAsia="Times New Roman" w:hAnsi="Times New Roman" w:cs="Times New Roman"/>
          <w:sz w:val="24"/>
          <w:szCs w:val="24"/>
          <w:lang w:eastAsia="es-ES"/>
        </w:rPr>
        <w:t xml:space="preserve"> o intersticiales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w:t>
      </w:r>
      <w:proofErr w:type="spellStart"/>
      <w:r w:rsidRPr="002C2A3D">
        <w:rPr>
          <w:rFonts w:ascii="Times New Roman" w:eastAsia="Times New Roman" w:hAnsi="Times New Roman" w:cs="Times New Roman"/>
          <w:sz w:val="24"/>
          <w:szCs w:val="24"/>
          <w:lang w:eastAsia="es-ES"/>
        </w:rPr>
        <w:t>Hipoalbuminemia</w:t>
      </w:r>
      <w:proofErr w:type="spellEnd"/>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-Prueba del torniquete positiva, si no se dispone de información sobre los parámetros anteriores, o ésta no es interpretable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Si los estudios de monitoreo </w:t>
      </w:r>
      <w:proofErr w:type="spellStart"/>
      <w:r w:rsidRPr="002C2A3D">
        <w:rPr>
          <w:rFonts w:ascii="Times New Roman" w:eastAsia="Times New Roman" w:hAnsi="Times New Roman" w:cs="Times New Roman"/>
          <w:sz w:val="24"/>
          <w:szCs w:val="24"/>
          <w:lang w:eastAsia="es-ES"/>
        </w:rPr>
        <w:t>hemodinámico</w:t>
      </w:r>
      <w:proofErr w:type="spellEnd"/>
      <w:r w:rsidRPr="002C2A3D">
        <w:rPr>
          <w:rFonts w:ascii="Times New Roman" w:eastAsia="Times New Roman" w:hAnsi="Times New Roman" w:cs="Times New Roman"/>
          <w:sz w:val="24"/>
          <w:szCs w:val="24"/>
          <w:lang w:eastAsia="es-ES"/>
        </w:rPr>
        <w:t xml:space="preserve"> no se realizan en las fechas y con la secuencia señaladas, o no son interpretables por cualquier razón, si el paciente recibe tratamiento con líquidos intravenosos, fallece o se pierde durante su seguimiento, se consideran positivos los criterios de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y hemoconcentración.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Toma de muestras para estudios virológicos y serológicos, de acuerdo con lo estipulado en el capítulo "Diagnóstico de Dengue por Laboratorio":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-Muestras diarias desde el día que inicien las manifestaciones de fuga de líquidos o en el primer contacto con los servicios de salud hasta la resolución del cuadro, es decir, al haber desaparecido la fiebre o haberse recuperado del estado de choque.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-Una segunda muestra para determinación de </w:t>
      </w:r>
      <w:proofErr w:type="spellStart"/>
      <w:r w:rsidRPr="002C2A3D">
        <w:rPr>
          <w:rFonts w:ascii="Times New Roman" w:eastAsia="Times New Roman" w:hAnsi="Times New Roman" w:cs="Times New Roman"/>
          <w:sz w:val="24"/>
          <w:szCs w:val="24"/>
          <w:lang w:eastAsia="es-ES"/>
        </w:rPr>
        <w:t>IgG</w:t>
      </w:r>
      <w:proofErr w:type="spellEnd"/>
      <w:r w:rsidRPr="002C2A3D">
        <w:rPr>
          <w:rFonts w:ascii="Times New Roman" w:eastAsia="Times New Roman" w:hAnsi="Times New Roman" w:cs="Times New Roman"/>
          <w:sz w:val="24"/>
          <w:szCs w:val="24"/>
          <w:lang w:eastAsia="es-ES"/>
        </w:rPr>
        <w:t>, tres a cuatro semanas después de la primera toma.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Llenado del formulario de Estudio Clínico-Epidemiológico de Dengue y Dengue Hemorrágico, asegurando incorporar toda la información disponible.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Obtención de copia del expediente clínico del paciente.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Seguimiento del caso hasta su clasificación final, complementando la información a los niveles correspondientes.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clasificación final de los casos se realizará en el término de tres semanas, o bien, en seis semanas si dicha clasificación depende de los resultados de estudios de laboratorio.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La clasificación final del caso deberá ser realizada por los Comités Jurisdiccional y Estatal para la Vigilancia y Control del Dengue y los subcomités clínicos y será avalada por el Comité Nacional para su incorporación en el registro nacional.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El manejo del caso se realizará de acuerdo con los lineamientos de los comités o subcomités mencionados, con especial atención en el monitoreo intensivo del paciente y la búsqueda de signos de alarma.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Realización de la vigilancia clínica, entomológica, virológica y de factores de riesgo para dengue, canalizando la información correspondiente a los Comités Jurisdiccional y Estatal para la Vigilancia y Control del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b/>
          <w:bCs/>
          <w:sz w:val="24"/>
          <w:szCs w:val="24"/>
          <w:lang w:eastAsia="es-ES"/>
        </w:rPr>
        <w:t>Acciones ante un caso probable de síndrome de choque por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Todo caso probable de dengue clásico o hemorrágico que presente súbitamente:</w:t>
      </w:r>
    </w:p>
    <w:p w:rsidR="002C2A3D" w:rsidRPr="002C2A3D" w:rsidRDefault="002C2A3D" w:rsidP="002C2A3D">
      <w:pPr>
        <w:spacing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xml:space="preserve">-Datos de </w:t>
      </w:r>
      <w:proofErr w:type="spellStart"/>
      <w:r w:rsidRPr="002C2A3D">
        <w:rPr>
          <w:rFonts w:ascii="Times New Roman" w:eastAsia="Times New Roman" w:hAnsi="Times New Roman" w:cs="Times New Roman"/>
          <w:i/>
          <w:iCs/>
          <w:sz w:val="24"/>
          <w:szCs w:val="24"/>
          <w:lang w:eastAsia="es-ES"/>
        </w:rPr>
        <w:t>insuficiecia</w:t>
      </w:r>
      <w:proofErr w:type="spellEnd"/>
      <w:r w:rsidRPr="002C2A3D">
        <w:rPr>
          <w:rFonts w:ascii="Times New Roman" w:eastAsia="Times New Roman" w:hAnsi="Times New Roman" w:cs="Times New Roman"/>
          <w:i/>
          <w:iCs/>
          <w:sz w:val="24"/>
          <w:szCs w:val="24"/>
          <w:lang w:eastAsia="es-ES"/>
        </w:rPr>
        <w:t xml:space="preserve"> respiratoria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-Alteraciones en el estado de conciencia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-Tensión arterial disminuida o imperceptible, o reducción de la tensión diferencial menor a</w:t>
      </w:r>
      <w:r w:rsidRPr="002C2A3D">
        <w:rPr>
          <w:rFonts w:ascii="Times New Roman" w:eastAsia="Times New Roman" w:hAnsi="Times New Roman" w:cs="Times New Roman"/>
          <w:sz w:val="24"/>
          <w:szCs w:val="24"/>
          <w:lang w:eastAsia="es-ES"/>
        </w:rPr>
        <w:t xml:space="preserve"> </w:t>
      </w:r>
      <w:r w:rsidRPr="002C2A3D">
        <w:rPr>
          <w:rFonts w:ascii="Times New Roman" w:eastAsia="Times New Roman" w:hAnsi="Times New Roman" w:cs="Times New Roman"/>
          <w:i/>
          <w:iCs/>
          <w:sz w:val="24"/>
          <w:szCs w:val="24"/>
          <w:lang w:eastAsia="es-ES"/>
        </w:rPr>
        <w:t>20 mm/Hg</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Los procedimientos generales de vigilancia en los casos probables de síndrome de choque por dengue son similares a los señalados para los casos probables de dengue hemorrágico.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 ser posible, los casos probables de síndrome de choque por dengue serán manejados en las unidades de cuidados intensivos de los centros de referencia que designe el Comité Estatal de Vigilancia y Control del Dengue y el subcomité clínico.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Acciones ante un caso probable de dengue clásico con manifestaciones hemorrágicas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 xml:space="preserve">Todo caso probable de dengue hemorrágico, en el cual se demuestre que no existe uno o ambos de los criterios de </w:t>
      </w:r>
      <w:proofErr w:type="spellStart"/>
      <w:r w:rsidRPr="002C2A3D">
        <w:rPr>
          <w:rFonts w:ascii="Times New Roman" w:eastAsia="Times New Roman" w:hAnsi="Times New Roman" w:cs="Times New Roman"/>
          <w:i/>
          <w:iCs/>
          <w:sz w:val="24"/>
          <w:szCs w:val="24"/>
          <w:lang w:eastAsia="es-ES"/>
        </w:rPr>
        <w:t>trombocitopenia</w:t>
      </w:r>
      <w:proofErr w:type="spellEnd"/>
      <w:r w:rsidRPr="002C2A3D">
        <w:rPr>
          <w:rFonts w:ascii="Times New Roman" w:eastAsia="Times New Roman" w:hAnsi="Times New Roman" w:cs="Times New Roman"/>
          <w:i/>
          <w:iCs/>
          <w:sz w:val="24"/>
          <w:szCs w:val="24"/>
          <w:lang w:eastAsia="es-ES"/>
        </w:rPr>
        <w:t xml:space="preserve"> y </w:t>
      </w:r>
      <w:proofErr w:type="spellStart"/>
      <w:r w:rsidRPr="002C2A3D">
        <w:rPr>
          <w:rFonts w:ascii="Times New Roman" w:eastAsia="Times New Roman" w:hAnsi="Times New Roman" w:cs="Times New Roman"/>
          <w:i/>
          <w:iCs/>
          <w:sz w:val="24"/>
          <w:szCs w:val="24"/>
          <w:lang w:eastAsia="es-ES"/>
        </w:rPr>
        <w:t>hemocontración</w:t>
      </w:r>
      <w:proofErr w:type="spellEnd"/>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Todo caso con datos de fuga de líquidos (incluyendo cualquier manifestación hemorrágica) es un caso probable de dengue hemorrágico hasta demostrar lo contrario.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Los procedimientos generales de vigilancia en los casos probables de dengue clásico con manifestaciones hemorrágicas son similares a los señalamientos para los casos probables de dengue hemorrágico.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Para establecer la definición de dengue clásico con manifestaciones hemorrágicas se deberá cumplir estrictamente con los procedimientos para determinar hemoconcentración y </w:t>
      </w:r>
      <w:proofErr w:type="spellStart"/>
      <w:r w:rsidRPr="002C2A3D">
        <w:rPr>
          <w:rFonts w:ascii="Times New Roman" w:eastAsia="Times New Roman" w:hAnsi="Times New Roman" w:cs="Times New Roman"/>
          <w:sz w:val="24"/>
          <w:szCs w:val="24"/>
          <w:lang w:eastAsia="es-ES"/>
        </w:rPr>
        <w:t>plaquetopenia</w:t>
      </w:r>
      <w:proofErr w:type="spellEnd"/>
      <w:r w:rsidRPr="002C2A3D">
        <w:rPr>
          <w:rFonts w:ascii="Times New Roman" w:eastAsia="Times New Roman" w:hAnsi="Times New Roman" w:cs="Times New Roman"/>
          <w:sz w:val="24"/>
          <w:szCs w:val="24"/>
          <w:lang w:eastAsia="es-ES"/>
        </w:rPr>
        <w:t>, y éstos deben ser negativos.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b/>
          <w:bCs/>
          <w:sz w:val="24"/>
          <w:szCs w:val="24"/>
          <w:lang w:eastAsia="es-ES"/>
        </w:rPr>
        <w:t>Acciones ante un caso confirmado de dengue clásico,</w:t>
      </w:r>
      <w:r w:rsidRPr="002C2A3D">
        <w:rPr>
          <w:rFonts w:ascii="Times New Roman" w:eastAsia="Times New Roman" w:hAnsi="Times New Roman" w:cs="Times New Roman"/>
          <w:sz w:val="24"/>
          <w:szCs w:val="24"/>
          <w:lang w:eastAsia="es-ES"/>
        </w:rPr>
        <w:t xml:space="preserve"> </w:t>
      </w:r>
      <w:r w:rsidRPr="002C2A3D">
        <w:rPr>
          <w:rFonts w:ascii="Times New Roman" w:eastAsia="Times New Roman" w:hAnsi="Times New Roman" w:cs="Times New Roman"/>
          <w:b/>
          <w:bCs/>
          <w:sz w:val="24"/>
          <w:szCs w:val="24"/>
          <w:lang w:eastAsia="es-ES"/>
        </w:rPr>
        <w:t>dengue hemorrágico, síndrome de choque por dengue o</w:t>
      </w:r>
      <w:r w:rsidRPr="002C2A3D">
        <w:rPr>
          <w:rFonts w:ascii="Times New Roman" w:eastAsia="Times New Roman" w:hAnsi="Times New Roman" w:cs="Times New Roman"/>
          <w:sz w:val="24"/>
          <w:szCs w:val="24"/>
          <w:lang w:eastAsia="es-ES"/>
        </w:rPr>
        <w:t xml:space="preserve"> </w:t>
      </w:r>
      <w:r w:rsidRPr="002C2A3D">
        <w:rPr>
          <w:rFonts w:ascii="Times New Roman" w:eastAsia="Times New Roman" w:hAnsi="Times New Roman" w:cs="Times New Roman"/>
          <w:b/>
          <w:bCs/>
          <w:sz w:val="24"/>
          <w:szCs w:val="24"/>
          <w:lang w:eastAsia="es-ES"/>
        </w:rPr>
        <w:t>dengue clásico con manifestaciones hemorrágicas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Todo caso probable de dengue clásico, dengue hemorrágico, síndrome de choque por dengue o</w:t>
      </w:r>
      <w:r w:rsidRPr="002C2A3D">
        <w:rPr>
          <w:rFonts w:ascii="Times New Roman" w:eastAsia="Times New Roman" w:hAnsi="Times New Roman" w:cs="Times New Roman"/>
          <w:sz w:val="24"/>
          <w:szCs w:val="24"/>
          <w:lang w:eastAsia="es-ES"/>
        </w:rPr>
        <w:t xml:space="preserve"> </w:t>
      </w:r>
      <w:r w:rsidRPr="002C2A3D">
        <w:rPr>
          <w:rFonts w:ascii="Times New Roman" w:eastAsia="Times New Roman" w:hAnsi="Times New Roman" w:cs="Times New Roman"/>
          <w:i/>
          <w:iCs/>
          <w:sz w:val="24"/>
          <w:szCs w:val="24"/>
          <w:lang w:eastAsia="es-ES"/>
        </w:rPr>
        <w:t>dengue clásico con manifestaciones hemorrágicas en el cual: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xml:space="preserve">Se confirmen infecciones recientes por </w:t>
      </w:r>
      <w:proofErr w:type="spellStart"/>
      <w:r w:rsidRPr="002C2A3D">
        <w:rPr>
          <w:rFonts w:ascii="Times New Roman" w:eastAsia="Times New Roman" w:hAnsi="Times New Roman" w:cs="Times New Roman"/>
          <w:i/>
          <w:iCs/>
          <w:sz w:val="24"/>
          <w:szCs w:val="24"/>
          <w:lang w:eastAsia="es-ES"/>
        </w:rPr>
        <w:t>denguevirus</w:t>
      </w:r>
      <w:proofErr w:type="spellEnd"/>
      <w:r w:rsidRPr="002C2A3D">
        <w:rPr>
          <w:rFonts w:ascii="Times New Roman" w:eastAsia="Times New Roman" w:hAnsi="Times New Roman" w:cs="Times New Roman"/>
          <w:i/>
          <w:iCs/>
          <w:sz w:val="24"/>
          <w:szCs w:val="24"/>
          <w:lang w:eastAsia="es-ES"/>
        </w:rPr>
        <w:t>, por técnicas de laboratorio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No se disponga de estudios de laboratorio adecuados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xml:space="preserve">Esté asociado epidemiológicamente a otro caso </w:t>
      </w:r>
      <w:proofErr w:type="spellStart"/>
      <w:r w:rsidRPr="002C2A3D">
        <w:rPr>
          <w:rFonts w:ascii="Times New Roman" w:eastAsia="Times New Roman" w:hAnsi="Times New Roman" w:cs="Times New Roman"/>
          <w:i/>
          <w:iCs/>
          <w:sz w:val="24"/>
          <w:szCs w:val="24"/>
          <w:lang w:eastAsia="es-ES"/>
        </w:rPr>
        <w:t>confirnado</w:t>
      </w:r>
      <w:proofErr w:type="spellEnd"/>
      <w:r w:rsidRPr="002C2A3D">
        <w:rPr>
          <w:rFonts w:ascii="Times New Roman" w:eastAsia="Times New Roman" w:hAnsi="Times New Roman" w:cs="Times New Roman"/>
          <w:i/>
          <w:iCs/>
          <w:sz w:val="24"/>
          <w:szCs w:val="24"/>
          <w:lang w:eastAsia="es-ES"/>
        </w:rPr>
        <w:t xml:space="preserve">, de cualquiera de las formas clínicas de la </w:t>
      </w:r>
      <w:proofErr w:type="spellStart"/>
      <w:r w:rsidRPr="002C2A3D">
        <w:rPr>
          <w:rFonts w:ascii="Times New Roman" w:eastAsia="Times New Roman" w:hAnsi="Times New Roman" w:cs="Times New Roman"/>
          <w:i/>
          <w:iCs/>
          <w:sz w:val="24"/>
          <w:szCs w:val="24"/>
          <w:lang w:eastAsia="es-ES"/>
        </w:rPr>
        <w:t>enfernedad</w:t>
      </w:r>
      <w:proofErr w:type="spellEnd"/>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Notificación a los niveles correspondientes.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Intensificar las acciones integrales de vigilancia y control del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Incluir el caso en forma definitiva en los registros y la base de datos correspondientes.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II. BÚSQUEDA ACTIVA DE CASOS</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Ante la presencia de casos probables de cualquiera de las formas clínicas de la enfermedad, deberá realizarse la búsqueda intencionada de casos de dengue hemorrágico y síndrome de choque por dengue en: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-Unidades de salud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-Registros de mortalidad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-Laboratorios clínicos y de salud pública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-Fuentes adicionales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comunidad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Las formas hemorrágicas de la enfermedad presentan un amplio espectro clínico, dependiendo de los órganos y sistemas afectados, así como de los signos y síntomas predominantes, por lo que en la búsqueda de casos se deberá considerar al menos los siguientes diagnósticos: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-Sangrado en cualquier localización sin etiología determinada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-Púrpura </w:t>
      </w:r>
      <w:proofErr w:type="spellStart"/>
      <w:r w:rsidRPr="002C2A3D">
        <w:rPr>
          <w:rFonts w:ascii="Times New Roman" w:eastAsia="Times New Roman" w:hAnsi="Times New Roman" w:cs="Times New Roman"/>
          <w:sz w:val="24"/>
          <w:szCs w:val="24"/>
          <w:lang w:eastAsia="es-ES"/>
        </w:rPr>
        <w:t>trombocitopenia</w:t>
      </w:r>
      <w:proofErr w:type="spellEnd"/>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-Leucemia aguda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-Cuadro de abdomen agudo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-Cuadro de choque sin causa aparente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-Cuadros infecciosos y parasitosis severos, incluyendo los exantemáticos, </w:t>
      </w:r>
      <w:proofErr w:type="spellStart"/>
      <w:r w:rsidRPr="002C2A3D">
        <w:rPr>
          <w:rFonts w:ascii="Times New Roman" w:eastAsia="Times New Roman" w:hAnsi="Times New Roman" w:cs="Times New Roman"/>
          <w:sz w:val="24"/>
          <w:szCs w:val="24"/>
          <w:lang w:eastAsia="es-ES"/>
        </w:rPr>
        <w:t>leptospirosis</w:t>
      </w:r>
      <w:proofErr w:type="spellEnd"/>
      <w:r w:rsidRPr="002C2A3D">
        <w:rPr>
          <w:rFonts w:ascii="Times New Roman" w:eastAsia="Times New Roman" w:hAnsi="Times New Roman" w:cs="Times New Roman"/>
          <w:sz w:val="24"/>
          <w:szCs w:val="24"/>
          <w:lang w:eastAsia="es-ES"/>
        </w:rPr>
        <w:t>, o fiebre tifoidea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-Cardiopatías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-Hepatopatías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-Derrames </w:t>
      </w:r>
      <w:proofErr w:type="spellStart"/>
      <w:r w:rsidRPr="002C2A3D">
        <w:rPr>
          <w:rFonts w:ascii="Times New Roman" w:eastAsia="Times New Roman" w:hAnsi="Times New Roman" w:cs="Times New Roman"/>
          <w:sz w:val="24"/>
          <w:szCs w:val="24"/>
          <w:lang w:eastAsia="es-ES"/>
        </w:rPr>
        <w:t>cavitarios</w:t>
      </w:r>
      <w:proofErr w:type="spellEnd"/>
      <w:r w:rsidRPr="002C2A3D">
        <w:rPr>
          <w:rFonts w:ascii="Times New Roman" w:eastAsia="Times New Roman" w:hAnsi="Times New Roman" w:cs="Times New Roman"/>
          <w:sz w:val="24"/>
          <w:szCs w:val="24"/>
          <w:lang w:eastAsia="es-ES"/>
        </w:rPr>
        <w:t xml:space="preserve"> o edemas a cualquier nivel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-Cuadros psicóticos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-Sangrado </w:t>
      </w:r>
      <w:proofErr w:type="spellStart"/>
      <w:r w:rsidRPr="002C2A3D">
        <w:rPr>
          <w:rFonts w:ascii="Times New Roman" w:eastAsia="Times New Roman" w:hAnsi="Times New Roman" w:cs="Times New Roman"/>
          <w:sz w:val="24"/>
          <w:szCs w:val="24"/>
          <w:lang w:eastAsia="es-ES"/>
        </w:rPr>
        <w:t>transvaginal</w:t>
      </w:r>
      <w:proofErr w:type="spellEnd"/>
      <w:r w:rsidRPr="002C2A3D">
        <w:rPr>
          <w:rFonts w:ascii="Times New Roman" w:eastAsia="Times New Roman" w:hAnsi="Times New Roman" w:cs="Times New Roman"/>
          <w:sz w:val="24"/>
          <w:szCs w:val="24"/>
          <w:lang w:eastAsia="es-ES"/>
        </w:rPr>
        <w:t xml:space="preserve"> disfuncional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-Otros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III. SISTEMAS ESPECIALES DE INFORMACIÓN</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Ante la presencia de casos o brotes de casos de dengue hemorrágico o síndrome de choque por dengue, estos diagnósticos deberán incluirse en la Red de Notificación Negativa Semanal, especificando la presencia o ausencia de casos en la columna de "Otros"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Ante la presencia de casos o brotes de dengue, en cualquiera de sus formas, los Comités de Vigilancia y Control del Dengue en los niveles jurisdiccionales y estatales deberán establecer un estado de alerta para las autoridades públicas, los trabajadores de la salud, los medios masivos de comunicación y la población en general, con el propósito de facilitar la coordinación intersectorial y la participación comunitaria en la vigilancia y control del padecimiento.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Ante la presencia de casos o brotes de dengue, en cualquiera de sus formas, los Comités de Vigilancia y Control del Dengue y los subcomités clínicos en los niveles jurisdiccionales y estatales deberán realizar reuniones extraordinarias periódicas para intercambio de información, clasificación de casos, planeación y evaluación de actividades de control.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lastRenderedPageBreak/>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Vigilancia entomológica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vigilancia entomológica tiene como propósito establecer la frecuencia y distribución del vector, así como las características de los criaderos y las condiciones que favorecen su persistencia.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Para la realización de estudios entomológicos se requiere la participación de personal capacitado, así como una metodología, estrategias y procedimientos específicos, por lo que se realiza con equipos especiales, como los Grupos Estatales de Vigilancia Epidemiológica de Dengue o el personal de Control de Vectores de la </w:t>
      </w:r>
      <w:r w:rsidRPr="002C2A3D">
        <w:rPr>
          <w:rFonts w:ascii="Times New Roman" w:eastAsia="Times New Roman" w:hAnsi="Times New Roman" w:cs="Times New Roman"/>
          <w:sz w:val="20"/>
          <w:szCs w:val="20"/>
          <w:lang w:eastAsia="es-ES"/>
        </w:rPr>
        <w:t>SSA</w:t>
      </w:r>
      <w:r w:rsidRPr="002C2A3D">
        <w:rPr>
          <w:rFonts w:ascii="Times New Roman" w:eastAsia="Times New Roman" w:hAnsi="Times New Roman" w:cs="Times New Roman"/>
          <w:sz w:val="24"/>
          <w:szCs w:val="24"/>
          <w:lang w:eastAsia="es-ES"/>
        </w:rPr>
        <w:t xml:space="preserve"> a nivel estatal o jurisdiccional. Sin embargo, es indispensable la participación de la comunidad para la obtención de información, por lo que los equipos mencionados deben servir como coordinadores y asesores de sistemas permanentes de vigilancia desarrollados por grupos capacitados de la población. Las actividades generales de la vigilancia entomológica incluyen:</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Determinación de la presencia del vector, a través de encuestas larvarias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Determinación de las densidades vectoriales y estimación del riesgo de transmisión por el cálculo e interpretación de índices entomológicos específicos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Caracterización de los criaderos funcionales y potenciales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Análisis de la susceptibilidad de los criaderos a las distintas estrategias de control vectorial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Evaluación de las acciones de control y redefinición de estrategias, de ser necesario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Vigilancia virológica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Los estudios virológicos y serológicos del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son determinantes para la vigilancia de la enfermedad, sin embargo la capacidad instalada de laboratorios es limitada, por lo que su utilización debe ser racional y oportuna, de acuerdo con la situación específica de cada región y los objetivos y necesidades de información del sistema. La coordinación para la ejecución de estudios de laboratorio y el análisis de los resultados está a cargo de los Comités de Vigilancia y Control del Dengue en los niveles jurisdiccionales y estatales.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En el capítulo "Diagnóstico de Dengue por Laboratorio" se señalan las condiciones de toma, manejo e interpretación de los estudios de laboratorio y algunas de las características de los estudios de laboratorio en la vigilancia del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Es necesario considerar que la validez de los resultados de laboratorio, y por tanto de su interpretación, dependen del cumplimiento de los requisitos de toma y manejo. Por otro lado, las pruebas utilizadas, específicamente las serológicas, no tienen la sensibilidad y especificidad deseables, por lo que en ocasiones deben prevalecer los criterios clínicos y </w:t>
      </w:r>
      <w:r w:rsidRPr="002C2A3D">
        <w:rPr>
          <w:rFonts w:ascii="Times New Roman" w:eastAsia="Times New Roman" w:hAnsi="Times New Roman" w:cs="Times New Roman"/>
          <w:sz w:val="24"/>
          <w:szCs w:val="24"/>
          <w:lang w:eastAsia="es-ES"/>
        </w:rPr>
        <w:lastRenderedPageBreak/>
        <w:t>epidemiológicos para la clasificación de casos y toma de decisiones. Los criterios generales de la vigilancia virológica en dengue son los siguientes: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a) Objetivos y necesidades de información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 acuerdo con el comportamiento epidemiológico del dengue en una localidad o región determinada, los estudios de laboratorio deben tener una frecuencia y secuencia determinadas, dependiendo la incidencia de la enfermedad, sus formas clínicas y los factores de riesgo existentes (véase anexos), con base en los siguientes parámetros: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Confirmación de la presencia de la enfermedad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-Se efectúa ante la presencia de casos probables en áreas donde aparentemente la enfermedad no estaba presente y es necesario determinar si los cuadros son causados por el </w:t>
      </w:r>
      <w:proofErr w:type="spellStart"/>
      <w:r w:rsidRPr="002C2A3D">
        <w:rPr>
          <w:rFonts w:ascii="Times New Roman" w:eastAsia="Times New Roman" w:hAnsi="Times New Roman" w:cs="Times New Roman"/>
          <w:sz w:val="24"/>
          <w:szCs w:val="24"/>
          <w:lang w:eastAsia="es-ES"/>
        </w:rPr>
        <w:t>denguevirlis</w:t>
      </w:r>
      <w:proofErr w:type="spellEnd"/>
      <w:r w:rsidRPr="002C2A3D">
        <w:rPr>
          <w:rFonts w:ascii="Times New Roman" w:eastAsia="Times New Roman" w:hAnsi="Times New Roman" w:cs="Times New Roman"/>
          <w:sz w:val="24"/>
          <w:szCs w:val="24"/>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-Se utilizan técnicas serológicas (básicamente </w:t>
      </w:r>
      <w:proofErr w:type="spellStart"/>
      <w:r w:rsidRPr="002C2A3D">
        <w:rPr>
          <w:rFonts w:ascii="Times New Roman" w:eastAsia="Times New Roman" w:hAnsi="Times New Roman" w:cs="Times New Roman"/>
          <w:sz w:val="24"/>
          <w:szCs w:val="24"/>
          <w:lang w:eastAsia="es-ES"/>
        </w:rPr>
        <w:t>IgM</w:t>
      </w:r>
      <w:proofErr w:type="spellEnd"/>
      <w:r w:rsidRPr="002C2A3D">
        <w:rPr>
          <w:rFonts w:ascii="Times New Roman" w:eastAsia="Times New Roman" w:hAnsi="Times New Roman" w:cs="Times New Roman"/>
          <w:sz w:val="24"/>
          <w:szCs w:val="24"/>
          <w:lang w:eastAsia="es-ES"/>
        </w:rPr>
        <w:t>) en una proporción de los casos, por lo general no más de 20 muestras.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-Una vez confirmado el diagnóstico, el resto de los casos se clasifican de acuerdo con las definiciones operacionales de caso.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Estudio de casos de dengue hemorrágico y síndrome de choque por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-En todos los casos de las formas hemorrágicas de la enfermedad el protocolo de estudio incluye el estudio exhaustivo de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 debe obtener muestras para serología (</w:t>
      </w:r>
      <w:proofErr w:type="spellStart"/>
      <w:r w:rsidRPr="002C2A3D">
        <w:rPr>
          <w:rFonts w:ascii="Times New Roman" w:eastAsia="Times New Roman" w:hAnsi="Times New Roman" w:cs="Times New Roman"/>
          <w:sz w:val="24"/>
          <w:szCs w:val="24"/>
          <w:lang w:eastAsia="es-ES"/>
        </w:rPr>
        <w:t>IgM</w:t>
      </w:r>
      <w:proofErr w:type="spellEnd"/>
      <w:r w:rsidRPr="002C2A3D">
        <w:rPr>
          <w:rFonts w:ascii="Times New Roman" w:eastAsia="Times New Roman" w:hAnsi="Times New Roman" w:cs="Times New Roman"/>
          <w:sz w:val="24"/>
          <w:szCs w:val="24"/>
          <w:lang w:eastAsia="es-ES"/>
        </w:rPr>
        <w:t xml:space="preserve"> e </w:t>
      </w:r>
      <w:proofErr w:type="spellStart"/>
      <w:r w:rsidRPr="002C2A3D">
        <w:rPr>
          <w:rFonts w:ascii="Times New Roman" w:eastAsia="Times New Roman" w:hAnsi="Times New Roman" w:cs="Times New Roman"/>
          <w:sz w:val="24"/>
          <w:szCs w:val="24"/>
          <w:lang w:eastAsia="es-ES"/>
        </w:rPr>
        <w:t>IgG</w:t>
      </w:r>
      <w:proofErr w:type="spellEnd"/>
      <w:r w:rsidRPr="002C2A3D">
        <w:rPr>
          <w:rFonts w:ascii="Times New Roman" w:eastAsia="Times New Roman" w:hAnsi="Times New Roman" w:cs="Times New Roman"/>
          <w:sz w:val="24"/>
          <w:szCs w:val="24"/>
          <w:lang w:eastAsia="es-ES"/>
        </w:rPr>
        <w:t>), aislamiento viral y Reacción en Cadena de Polimerasa (PCR).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 debe extremar el cuidado en el manejo de las muestras.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3. Determinación de los serotipos circulares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-Esta prueba se realiza una vez que se ha confirmado la presencia de la enfermedad, en cualquiera de sus formas clínicas, en una localidad o región.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-Para esta prueba se utiliza exclusivamente el aislamiento viral y el PCR.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-Las muestras para estos estudios deben ser tomadas durante los tres primeros días de evolución de casos probables de dengue, por lo que se debe establecer sitios centinela para la detección de casos u obtener las muestras por búsqueda activa en la comunidad.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 debe extremar el cuidado en el manejo de las muestras.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-Una vez que se conocen los serotipos circulantes en un área, debe limitarse la utilización de estas técnicas, de acuerdo con el comportamiento de la enfermedad.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4. Estudios de </w:t>
      </w:r>
      <w:proofErr w:type="spellStart"/>
      <w:r w:rsidRPr="002C2A3D">
        <w:rPr>
          <w:rFonts w:ascii="Times New Roman" w:eastAsia="Times New Roman" w:hAnsi="Times New Roman" w:cs="Times New Roman"/>
          <w:sz w:val="24"/>
          <w:szCs w:val="24"/>
          <w:lang w:eastAsia="es-ES"/>
        </w:rPr>
        <w:t>seroprevalencia</w:t>
      </w:r>
      <w:proofErr w:type="spellEnd"/>
      <w:r w:rsidRPr="002C2A3D">
        <w:rPr>
          <w:rFonts w:ascii="Times New Roman" w:eastAsia="Times New Roman" w:hAnsi="Times New Roman" w:cs="Times New Roman"/>
          <w:sz w:val="24"/>
          <w:szCs w:val="24"/>
          <w:lang w:eastAsia="es-ES"/>
        </w:rPr>
        <w:t xml:space="preserve"> en la población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Se realizan estudios de </w:t>
      </w:r>
      <w:proofErr w:type="spellStart"/>
      <w:r w:rsidRPr="002C2A3D">
        <w:rPr>
          <w:rFonts w:ascii="Times New Roman" w:eastAsia="Times New Roman" w:hAnsi="Times New Roman" w:cs="Times New Roman"/>
          <w:sz w:val="24"/>
          <w:szCs w:val="24"/>
          <w:lang w:eastAsia="es-ES"/>
        </w:rPr>
        <w:t>seroprevalencia</w:t>
      </w:r>
      <w:proofErr w:type="spellEnd"/>
      <w:r w:rsidRPr="002C2A3D">
        <w:rPr>
          <w:rFonts w:ascii="Times New Roman" w:eastAsia="Times New Roman" w:hAnsi="Times New Roman" w:cs="Times New Roman"/>
          <w:sz w:val="24"/>
          <w:szCs w:val="24"/>
          <w:lang w:eastAsia="es-ES"/>
        </w:rPr>
        <w:t xml:space="preserve"> a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xml:space="preserve"> en situaciones especiales en las que se desea conocer la susceptibilidad de la población y, particularmente, el riesgo de presentación de casos hemorrágicos. -La técnica empleada es Inhibición de la Hemaglutinación, para medir </w:t>
      </w:r>
      <w:proofErr w:type="spellStart"/>
      <w:r w:rsidRPr="002C2A3D">
        <w:rPr>
          <w:rFonts w:ascii="Times New Roman" w:eastAsia="Times New Roman" w:hAnsi="Times New Roman" w:cs="Times New Roman"/>
          <w:sz w:val="24"/>
          <w:szCs w:val="24"/>
          <w:lang w:eastAsia="es-ES"/>
        </w:rPr>
        <w:t>IgG</w:t>
      </w:r>
      <w:proofErr w:type="spellEnd"/>
      <w:r w:rsidRPr="002C2A3D">
        <w:rPr>
          <w:rFonts w:ascii="Times New Roman" w:eastAsia="Times New Roman" w:hAnsi="Times New Roman" w:cs="Times New Roman"/>
          <w:sz w:val="24"/>
          <w:szCs w:val="24"/>
          <w:lang w:eastAsia="es-ES"/>
        </w:rPr>
        <w:t>, la cual determina la existencia de infecciones previas, pero no permite establecer el o los serotipos causales.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-Este tipo de estudios se realiza en encuestas comunitarias que deben ser realizadas en poblaciones representativas del área de estudio.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5. Infección previa en un individuo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-Estas pruebas se realizan de manera excepcional en personas de las cuales es necesario saber si han tenido contacto anterior con el </w:t>
      </w:r>
      <w:proofErr w:type="spellStart"/>
      <w:r w:rsidRPr="002C2A3D">
        <w:rPr>
          <w:rFonts w:ascii="Times New Roman" w:eastAsia="Times New Roman" w:hAnsi="Times New Roman" w:cs="Times New Roman"/>
          <w:sz w:val="24"/>
          <w:szCs w:val="24"/>
          <w:lang w:eastAsia="es-ES"/>
        </w:rPr>
        <w:t>denguevirus</w:t>
      </w:r>
      <w:proofErr w:type="spellEnd"/>
      <w:r w:rsidRPr="002C2A3D">
        <w:rPr>
          <w:rFonts w:ascii="Times New Roman" w:eastAsia="Times New Roman" w:hAnsi="Times New Roman" w:cs="Times New Roman"/>
          <w:sz w:val="24"/>
          <w:szCs w:val="24"/>
          <w:lang w:eastAsia="es-ES"/>
        </w:rPr>
        <w:t>, como en algunos casos hemorrágicos.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técnica empleada es Inhibición de la Hemaglutinación (</w:t>
      </w:r>
      <w:proofErr w:type="spellStart"/>
      <w:r w:rsidRPr="002C2A3D">
        <w:rPr>
          <w:rFonts w:ascii="Times New Roman" w:eastAsia="Times New Roman" w:hAnsi="Times New Roman" w:cs="Times New Roman"/>
          <w:sz w:val="24"/>
          <w:szCs w:val="24"/>
          <w:lang w:eastAsia="es-ES"/>
        </w:rPr>
        <w:t>IgG</w:t>
      </w:r>
      <w:proofErr w:type="spellEnd"/>
      <w:r w:rsidRPr="002C2A3D">
        <w:rPr>
          <w:rFonts w:ascii="Times New Roman" w:eastAsia="Times New Roman" w:hAnsi="Times New Roman" w:cs="Times New Roman"/>
          <w:sz w:val="24"/>
          <w:szCs w:val="24"/>
          <w:lang w:eastAsia="es-ES"/>
        </w:rPr>
        <w:t>) y se interpreta con base en la presencia y titulación de anticuerpos.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6. Estudios especiales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-Pueden realizarse estudios especiales con fines de investigación, para explicar el comportamiento de la enfermedad o estimar el riesgo de transmisión, como la tipificación y virulencia del virus, o para establecer la capacidad vectorial de las distintas especies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b) Requisitos y especificaciones de las pruebas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Las muestras de laboratorio deben cumplir con las especificaciones señaladas en el capítulo de "Diagnóstico de Dengue por Laboratorio". Con el propósito de asegurar las condiciones óptimas de las muestras, se deberán realizar las siguientes acciones:</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1. Determinar el cumplimiento de los requisitos generales para el procesamiento de las muestras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Definición operacional de caso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Toma de muestra(s) en las fechas correctas para la técnica solicitada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Llenado y envío del formato de Estudio Clínico Epidemiológico de Caso de Dengue y Dengue Hemorrágico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Notificación del caso a los niveles indicados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 Condiciones generales de calidad de muestras (temperatura a su llegada, integridad de los recipientes, ausencia de hemólisis, identificación)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2. El personal responsable del laboratorio y de la unidad de epidemiología del nivel estatal o jurisdiccional realizará reuniones semanales para: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Determinar si las muestras cumplen con los objetivos de estudio de los Comités de Vigilancia y Control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Ratificar el cumplimiento de los requisitos mencionados en el inciso anterior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Determinar si se especifica el tipo de estudios solicitados para cada muestra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Determinar si los tiempos de almacenamiento y traslado son correctos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Solicitar la información o condiciones adicionales para su procesamiento en caso necesario y establecer un tiempo máximo para su seguimiento y obtención (siete días), o desecharlas en caso contrario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Intercambiar y analizar la información del sistema de vigilancia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 Manejo de las muestras</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1. Todas las muestras serán canalizadas a los laboratorios estatales o de referencia a través de las unidades de epidemiología jurisdiccionales y estatales correspondientes, quienes deberán ratificar el cumplimiento de las especificaciones para su toma, manejo y procesamiento.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2. Los Laboratorios Estatales de la Red Nacional de Laboratorios para la Vigilancia de Dengue con la capacidad instalada y recursos necesarios procesan las muestras serológicas para la determinación de </w:t>
      </w:r>
      <w:proofErr w:type="spellStart"/>
      <w:r w:rsidRPr="002C2A3D">
        <w:rPr>
          <w:rFonts w:ascii="Times New Roman" w:eastAsia="Times New Roman" w:hAnsi="Times New Roman" w:cs="Times New Roman"/>
          <w:sz w:val="24"/>
          <w:szCs w:val="24"/>
          <w:lang w:eastAsia="es-ES"/>
        </w:rPr>
        <w:t>IgM</w:t>
      </w:r>
      <w:proofErr w:type="spellEnd"/>
      <w:r w:rsidRPr="002C2A3D">
        <w:rPr>
          <w:rFonts w:ascii="Times New Roman" w:eastAsia="Times New Roman" w:hAnsi="Times New Roman" w:cs="Times New Roman"/>
          <w:sz w:val="24"/>
          <w:szCs w:val="24"/>
          <w:lang w:eastAsia="es-ES"/>
        </w:rPr>
        <w:t xml:space="preserve"> e </w:t>
      </w:r>
      <w:proofErr w:type="spellStart"/>
      <w:r w:rsidRPr="002C2A3D">
        <w:rPr>
          <w:rFonts w:ascii="Times New Roman" w:eastAsia="Times New Roman" w:hAnsi="Times New Roman" w:cs="Times New Roman"/>
          <w:sz w:val="24"/>
          <w:szCs w:val="24"/>
          <w:lang w:eastAsia="es-ES"/>
        </w:rPr>
        <w:t>IgG</w:t>
      </w:r>
      <w:proofErr w:type="spellEnd"/>
      <w:r w:rsidRPr="002C2A3D">
        <w:rPr>
          <w:rFonts w:ascii="Times New Roman" w:eastAsia="Times New Roman" w:hAnsi="Times New Roman" w:cs="Times New Roman"/>
          <w:sz w:val="24"/>
          <w:szCs w:val="24"/>
          <w:lang w:eastAsia="es-ES"/>
        </w:rPr>
        <w:t xml:space="preserve"> de la entidad correspondiente y podrá apoyar la vigilancia de entidades vecinas de acuerdo con sus posibilidades. Estos laboratorios envían una parte de las muestras procesadas al INDRE para control de calidad, de acuerdo con los lineamientos establecidos.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3. El Laboratorio de Virología del INDRE participa en la</w:t>
      </w:r>
      <w:r w:rsidRPr="002C2A3D">
        <w:rPr>
          <w:rFonts w:ascii="Times New Roman" w:eastAsia="Times New Roman" w:hAnsi="Times New Roman" w:cs="Times New Roman"/>
          <w:b/>
          <w:bCs/>
          <w:sz w:val="24"/>
          <w:szCs w:val="24"/>
          <w:lang w:eastAsia="es-ES"/>
        </w:rPr>
        <w:t xml:space="preserve"> </w:t>
      </w:r>
      <w:r w:rsidRPr="002C2A3D">
        <w:rPr>
          <w:rFonts w:ascii="Times New Roman" w:eastAsia="Times New Roman" w:hAnsi="Times New Roman" w:cs="Times New Roman"/>
          <w:sz w:val="24"/>
          <w:szCs w:val="24"/>
          <w:lang w:eastAsia="es-ES"/>
        </w:rPr>
        <w:t>vigilancia de dengue con las siguientes actividades: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Servir como Laboratorio Nacional de Referencia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Procesamiento de muestras para aislamiento y PCR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Control de calidad de los laboratorios estatales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Tipificación de </w:t>
      </w:r>
      <w:proofErr w:type="spellStart"/>
      <w:r w:rsidRPr="002C2A3D">
        <w:rPr>
          <w:rFonts w:ascii="Times New Roman" w:eastAsia="Times New Roman" w:hAnsi="Times New Roman" w:cs="Times New Roman"/>
          <w:sz w:val="24"/>
          <w:szCs w:val="24"/>
          <w:lang w:eastAsia="es-ES"/>
        </w:rPr>
        <w:t>denguevirus</w:t>
      </w:r>
      <w:proofErr w:type="spellEnd"/>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Procesamiento de muestras serológicas de las entidades que no cuenten con los recursos de laboratorio necesarios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Coordinación de la Red Nacional de Laboratorios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lastRenderedPageBreak/>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Vigilancia de factores de riesgo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cuantificación y análisis de los factores de riesgo para dengue hemorrágico son indispensables para orientar las acciones de vigilancia y control de la enfermedad y estratificar los grupos y áreas para la realización de acciones de vigilancia y control. Con el propósito de sistematizar la recolección de información se ha diseñado un formato específico, utilizado por los Grupos de Vigilancia Epidemiológica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Cabe señalar que el riesgo de transmisión del dengue está determinado a nivel local, por lo que dos localidades vecinas e incluso dos barrios o zonas de una localidad pueden tener niveles de riesgo distintos. Asimismo, pueden diferir en forma considerable las estrategias para el control de la enfermedad.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En general, los mecanismos para la medición de los factores de riesgo incluyen los lineamientos siguientes: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1. Selección de las áreas de estudio con base en los siguientes criterios: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Presencia de la enfermedad, implica la presencia del vector y el virus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Presencia de la enfermedad en localidades vecinas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Presencia de formas hemorrágicas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Serotipos circulantes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-Tipo y tamaño de la localidad:</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urbanas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mayores de 10 000 habitantes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zonas fronterizas o rutas de migración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zonas turísticas o de importancia económica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2. Levantamiento de la encuesta de factores de riesgo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3. Cálculo y análisis de los índices de riesgo para cada zona estudiada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4. Integración de la información de los distintos componentes de la vigilancia epidemiológica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5. Presentación y discusión ante los Comités de Vigilancia Epidemiológica de Dengue jurisdiccionales y estatales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6. Definición de la situación epidemiológica del dengue en la región y de las estrategias de control a realizar</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b/>
          <w:bCs/>
          <w:sz w:val="24"/>
          <w:szCs w:val="24"/>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9" name="Imagen 9"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b/>
          <w:bCs/>
          <w:sz w:val="24"/>
          <w:szCs w:val="24"/>
          <w:lang w:eastAsia="es-ES"/>
        </w:rPr>
      </w:pPr>
      <w:bookmarkStart w:id="15" w:name="7._CLASIFICACIÓN_CLÍNICA"/>
      <w:r w:rsidRPr="002C2A3D">
        <w:rPr>
          <w:rFonts w:ascii="Times New Roman" w:eastAsia="Times New Roman" w:hAnsi="Times New Roman" w:cs="Times New Roman"/>
          <w:b/>
          <w:bCs/>
          <w:sz w:val="24"/>
          <w:szCs w:val="24"/>
          <w:lang w:eastAsia="es-ES"/>
        </w:rPr>
        <w:t>7. CLASIFICACIÓN CLÍNICA</w:t>
      </w:r>
      <w:bookmarkEnd w:id="15"/>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b/>
          <w:bCs/>
          <w:sz w:val="24"/>
          <w:szCs w:val="24"/>
          <w:lang w:eastAsia="es-ES"/>
        </w:rPr>
        <w:t>Y MANEJO DE LOS CASOS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 experiencia de la epidemia en Cuba ha permitido establecer un esquema efectivo para la clasificación y el manejo de casos de dengue (</w:t>
      </w:r>
      <w:hyperlink r:id="rId27" w:history="1">
        <w:r w:rsidRPr="002C2A3D">
          <w:rPr>
            <w:rFonts w:ascii="Times New Roman" w:eastAsia="Times New Roman" w:hAnsi="Times New Roman" w:cs="Times New Roman"/>
            <w:color w:val="0000FF"/>
            <w:sz w:val="24"/>
            <w:szCs w:val="24"/>
            <w:u w:val="single"/>
            <w:lang w:eastAsia="es-ES"/>
          </w:rPr>
          <w:t>esquema 3</w:t>
        </w:r>
      </w:hyperlink>
      <w:r w:rsidRPr="002C2A3D">
        <w:rPr>
          <w:rFonts w:ascii="Times New Roman" w:eastAsia="Times New Roman" w:hAnsi="Times New Roman" w:cs="Times New Roman"/>
          <w:sz w:val="24"/>
          <w:szCs w:val="24"/>
          <w:lang w:eastAsia="es-ES"/>
        </w:rPr>
        <w:t xml:space="preserve">); el tratamiento se muestra en el </w:t>
      </w:r>
      <w:hyperlink r:id="rId28" w:history="1">
        <w:r w:rsidRPr="002C2A3D">
          <w:rPr>
            <w:rFonts w:ascii="Times New Roman" w:eastAsia="Times New Roman" w:hAnsi="Times New Roman" w:cs="Times New Roman"/>
            <w:color w:val="0000FF"/>
            <w:sz w:val="24"/>
            <w:szCs w:val="24"/>
            <w:u w:val="single"/>
            <w:lang w:eastAsia="es-ES"/>
          </w:rPr>
          <w:t>cuadro 3</w:t>
        </w:r>
      </w:hyperlink>
      <w:r w:rsidRPr="002C2A3D">
        <w:rPr>
          <w:rFonts w:ascii="Times New Roman" w:eastAsia="Times New Roman" w:hAnsi="Times New Roman" w:cs="Times New Roman"/>
          <w:sz w:val="24"/>
          <w:szCs w:val="24"/>
          <w:lang w:eastAsia="es-ES"/>
        </w:rPr>
        <w:t>. Esta información es una cortesía del doctor Eric Martínez, asesor de la República de Cuba, al programa.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Como se observa (esquema 3, grupo A), para fines prácticos, toda persona que resida o proceda de área endémica y que llene los criterios de la definición operacional de caso probable de dengue clásico se considera como dengue. En esta situación se deben buscar datos de sangrado o fuga de líquidos (incluyendo la prueba de torniquete) y los signos de alarma; si todos son negativos, el paciente se maneja en forma ambulatoria, pero debe recibir información suficiente en forma verbal y escrita, sobre los aspectos a observar y los datos de alarma en relación con el cuadro (en los anexos se presenta una propuesta para un formato de información).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Si por el contrario, se encuentran datos de sangrado, fuga de líquidos, fragilidad capilar o la prueba del torniquete resulta positiva (esquema 3, grupo B), se deberá realizar un recuento </w:t>
      </w:r>
      <w:proofErr w:type="spellStart"/>
      <w:r w:rsidRPr="002C2A3D">
        <w:rPr>
          <w:rFonts w:ascii="Times New Roman" w:eastAsia="Times New Roman" w:hAnsi="Times New Roman" w:cs="Times New Roman"/>
          <w:sz w:val="24"/>
          <w:szCs w:val="24"/>
          <w:lang w:eastAsia="es-ES"/>
        </w:rPr>
        <w:t>plaquetario</w:t>
      </w:r>
      <w:proofErr w:type="spellEnd"/>
      <w:r w:rsidRPr="002C2A3D">
        <w:rPr>
          <w:rFonts w:ascii="Times New Roman" w:eastAsia="Times New Roman" w:hAnsi="Times New Roman" w:cs="Times New Roman"/>
          <w:sz w:val="24"/>
          <w:szCs w:val="24"/>
          <w:lang w:eastAsia="es-ES"/>
        </w:rPr>
        <w:t>, cuantificación de hematocritos y otros procedimientos para determinar hemoconcentración periódicamente (al menos cada 24 horas); si ambos son positivos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y hemoconcentración), se trata de un caso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 xml:space="preserve"> y se procederá a buscar los signos de alarma.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Finalmente, si ante un caso de dengue Clásico o</w:t>
      </w:r>
      <w:r w:rsidRPr="002C2A3D">
        <w:rPr>
          <w:rFonts w:ascii="Times New Roman" w:eastAsia="Times New Roman" w:hAnsi="Times New Roman" w:cs="Times New Roman"/>
          <w:b/>
          <w:bCs/>
          <w:sz w:val="24"/>
          <w:szCs w:val="24"/>
          <w:lang w:eastAsia="es-ES"/>
        </w:rPr>
        <w:t xml:space="preserv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 xml:space="preserve"> se encuentran presentes los signos de alarma, se considera inminente la presencia de choque (esquema 3, grupo C) y en este momento se inicia el manejo específico. Se debe considerar que el cuadro de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xml:space="preserve"> no necesariamente es precedido por un cuadro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En cuanto al manejo en cada una de las etapas (cuadro 3), para el grupo A del esquema 3, se da manejo ambulatorio con sintomáticos (analgésicos y antipiréticos, evitando el uso de ácido </w:t>
      </w:r>
      <w:proofErr w:type="spellStart"/>
      <w:r w:rsidRPr="002C2A3D">
        <w:rPr>
          <w:rFonts w:ascii="Times New Roman" w:eastAsia="Times New Roman" w:hAnsi="Times New Roman" w:cs="Times New Roman"/>
          <w:sz w:val="24"/>
          <w:szCs w:val="24"/>
          <w:lang w:eastAsia="es-ES"/>
        </w:rPr>
        <w:t>acetilsalicílico</w:t>
      </w:r>
      <w:proofErr w:type="spellEnd"/>
      <w:r w:rsidRPr="002C2A3D">
        <w:rPr>
          <w:rFonts w:ascii="Times New Roman" w:eastAsia="Times New Roman" w:hAnsi="Times New Roman" w:cs="Times New Roman"/>
          <w:sz w:val="24"/>
          <w:szCs w:val="24"/>
          <w:lang w:eastAsia="es-ES"/>
        </w:rPr>
        <w:t>), líquidos abundantes e información al paciente o sus familiares; el seguimiento y observación de estos casos se recomienda al menos durante tres días después de la desaparición de la fiebre.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bookmarkStart w:id="16" w:name="Si_hay_datos"/>
      <w:r w:rsidRPr="002C2A3D">
        <w:rPr>
          <w:rFonts w:ascii="Times New Roman" w:eastAsia="Times New Roman" w:hAnsi="Times New Roman" w:cs="Times New Roman"/>
          <w:sz w:val="24"/>
          <w:szCs w:val="24"/>
          <w:lang w:eastAsia="es-ES"/>
        </w:rPr>
        <w:t>Si hay datos</w:t>
      </w:r>
      <w:bookmarkEnd w:id="16"/>
      <w:r w:rsidRPr="002C2A3D">
        <w:rPr>
          <w:rFonts w:ascii="Times New Roman" w:eastAsia="Times New Roman" w:hAnsi="Times New Roman" w:cs="Times New Roman"/>
          <w:sz w:val="24"/>
          <w:szCs w:val="24"/>
          <w:lang w:eastAsia="es-ES"/>
        </w:rPr>
        <w:t xml:space="preserve"> de sangrado discreto, pero la cuantificación de plaquetas está por arriba de 100 000, el manejo es local pero debe mantenerse al paciente en observación en un área específica de la unidad de salud para repetir los estudios de laboratorio (hematocrito y plaquetas) cuantas veces sea necesario, de acuerdo con la evolución, y administrar </w:t>
      </w:r>
      <w:r w:rsidRPr="002C2A3D">
        <w:rPr>
          <w:rFonts w:ascii="Times New Roman" w:eastAsia="Times New Roman" w:hAnsi="Times New Roman" w:cs="Times New Roman"/>
          <w:sz w:val="24"/>
          <w:szCs w:val="24"/>
          <w:lang w:eastAsia="es-ES"/>
        </w:rPr>
        <w:lastRenderedPageBreak/>
        <w:t xml:space="preserve">hidratación oral si es necesario. Si el sangrado es abundante o hay datos de hemoconcentración y </w:t>
      </w:r>
      <w:proofErr w:type="spellStart"/>
      <w:r w:rsidRPr="002C2A3D">
        <w:rPr>
          <w:rFonts w:ascii="Times New Roman" w:eastAsia="Times New Roman" w:hAnsi="Times New Roman" w:cs="Times New Roman"/>
          <w:sz w:val="24"/>
          <w:szCs w:val="24"/>
          <w:lang w:eastAsia="es-ES"/>
        </w:rPr>
        <w:t>trombocitopenia</w:t>
      </w:r>
      <w:proofErr w:type="spellEnd"/>
      <w:r w:rsidRPr="002C2A3D">
        <w:rPr>
          <w:rFonts w:ascii="Times New Roman" w:eastAsia="Times New Roman" w:hAnsi="Times New Roman" w:cs="Times New Roman"/>
          <w:sz w:val="24"/>
          <w:szCs w:val="24"/>
          <w:lang w:eastAsia="es-ES"/>
        </w:rPr>
        <w:t xml:space="preserve"> (grupo B del esquema 3), el paciente es un caso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 xml:space="preserve"> y debe ser hospitalizado para realizar el monitoreo clínico (signos vitales, signos de alarma, llenado capilar y diuresis cada 15 a 30 minutos) y de laboratorio, valorando el uso de hidratación intravenosa. Por supuesto, en esta etapa se consideran también los estudios de laboratorio para el diagnóstico de dengue (serología y aislamiento).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Si además hay colecciones serosas (derrame pleural o ascitis), como manifestación del escape de líquidos, el manejo dependerá de qué tanto las tolera el paciente y la conducta debe ser expectante con monitoreo intensivo; si no hay compromiso, no se debe extraer este tipo de colecciones, ya que serán reabsorbidas al superarse la fase crítica. Ante la presencia de signos de alarma, deberá iniciarse de inmediato el manejo con cristaloides, para evitar en lo posible que pase al estado de choque; en esta situación se sugiere un manejo similar al que se administra a los pacientes de cólera, o bien, aquél con el que esté familiarizado el personal de la unidad.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Si el paciente pasa al estado de choque o se recibe ya en esta situación (grupo D del esquema 3), se manejará de acuerdo con la experiencia del personal, valorando la utilización de cristaloides, coloides, sangre o sus derivados y oxigenoterapia de acuerdo con la evolución de cada paso. En estos pacientes, considerando que el cuadro por lo general es </w:t>
      </w:r>
      <w:proofErr w:type="spellStart"/>
      <w:r w:rsidRPr="002C2A3D">
        <w:rPr>
          <w:rFonts w:ascii="Times New Roman" w:eastAsia="Times New Roman" w:hAnsi="Times New Roman" w:cs="Times New Roman"/>
          <w:sz w:val="24"/>
          <w:szCs w:val="24"/>
          <w:lang w:eastAsia="es-ES"/>
        </w:rPr>
        <w:t>autolimitado</w:t>
      </w:r>
      <w:proofErr w:type="spellEnd"/>
      <w:r w:rsidRPr="002C2A3D">
        <w:rPr>
          <w:rFonts w:ascii="Times New Roman" w:eastAsia="Times New Roman" w:hAnsi="Times New Roman" w:cs="Times New Roman"/>
          <w:sz w:val="24"/>
          <w:szCs w:val="24"/>
          <w:lang w:eastAsia="es-ES"/>
        </w:rPr>
        <w:t>, de corta duración y que los líquidos perdidos reingresarán de manera más o menos rápida, se debe tener mucho cuidado en el manejo de líquidos, por lo que no es necesario llevar los signos vitales hasta valores normales; como indicador de un balance adecuado de líquidos es conveniente mantener la diuresis de l ml/kg/hora, evitando la saturación de líquidos, que puede llevar a una de las complicaciones más graves, el edema pulmonar.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Si se presenta edema pulmonar, el manejo es muy complicado, ya que las medidas que evitan el choque agravan el edema y viceversa; estos casos deberán manejarse, preferentemente, en unidades de terapia intensiva por personal altamente capacitado.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Durante la fase de recuperación, ya sea después de </w:t>
      </w:r>
      <w:r w:rsidRPr="002C2A3D">
        <w:rPr>
          <w:rFonts w:ascii="Times New Roman" w:eastAsia="Times New Roman" w:hAnsi="Times New Roman" w:cs="Times New Roman"/>
          <w:sz w:val="20"/>
          <w:szCs w:val="20"/>
          <w:lang w:eastAsia="es-ES"/>
        </w:rPr>
        <w:t>DH</w:t>
      </w:r>
      <w:r w:rsidRPr="002C2A3D">
        <w:rPr>
          <w:rFonts w:ascii="Times New Roman" w:eastAsia="Times New Roman" w:hAnsi="Times New Roman" w:cs="Times New Roman"/>
          <w:sz w:val="24"/>
          <w:szCs w:val="24"/>
          <w:lang w:eastAsia="es-ES"/>
        </w:rPr>
        <w:t xml:space="preserve"> o </w:t>
      </w:r>
      <w:proofErr w:type="spellStart"/>
      <w:r w:rsidRPr="002C2A3D">
        <w:rPr>
          <w:rFonts w:ascii="Times New Roman" w:eastAsia="Times New Roman" w:hAnsi="Times New Roman" w:cs="Times New Roman"/>
          <w:sz w:val="20"/>
          <w:szCs w:val="20"/>
          <w:lang w:eastAsia="es-ES"/>
        </w:rPr>
        <w:t>SChD</w:t>
      </w:r>
      <w:proofErr w:type="spellEnd"/>
      <w:r w:rsidRPr="002C2A3D">
        <w:rPr>
          <w:rFonts w:ascii="Times New Roman" w:eastAsia="Times New Roman" w:hAnsi="Times New Roman" w:cs="Times New Roman"/>
          <w:sz w:val="24"/>
          <w:szCs w:val="24"/>
          <w:lang w:eastAsia="es-ES"/>
        </w:rPr>
        <w:t>, debe observarse estrictamente la aparición de edema pulmonar; de presentarse, se valorará el uso de diuréticos y drogas inotrópicas, pero nunca mientras persista a la hipovolemia. El uso de corticoides y antihistamínicos no ha demostrado tener utilidad en este manejo.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Para cualquier comunicación relativa al dengue referente a información y notificación, asesoría sobre procedimientos de vigilancia, diagnóstico y manejo de casos y todo lo relacionado a la vigilancia epidemiológica de la enfermedad, ténganse en cuenta los siguientes datos:</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right"/>
        <w:rPr>
          <w:rFonts w:ascii="Times New Roman" w:eastAsia="Times New Roman" w:hAnsi="Times New Roman" w:cs="Times New Roman"/>
          <w:sz w:val="24"/>
          <w:szCs w:val="24"/>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10" name="Imagen 10" descr="flec.gif (916 byt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lec.gif (916 bytes)">
                      <a:hlinkClick r:id="rId17"/>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DIRECCIÓN GENERAL DE </w:t>
      </w:r>
      <w:proofErr w:type="spellStart"/>
      <w:r w:rsidRPr="002C2A3D">
        <w:rPr>
          <w:rFonts w:ascii="Times New Roman" w:eastAsia="Times New Roman" w:hAnsi="Times New Roman" w:cs="Times New Roman"/>
          <w:sz w:val="24"/>
          <w:szCs w:val="24"/>
          <w:lang w:eastAsia="es-ES"/>
        </w:rPr>
        <w:t>EPlDEMIOLOGÍA</w:t>
      </w:r>
      <w:proofErr w:type="spellEnd"/>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VIGILANCIA EPIDEMIOLÓGICA DE ENFERMEDADES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TRANSMITIDAS POR VECTOR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Domicilio</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Francisco de P. Miranda 177, 6o. Piso</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Colonia Unidad Lomas de Plateros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Delegación Álvaro Obregón</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México, 01480, D. F.</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Teléfonos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61-800-00239 (Sin costo)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593-6621, 593-3750 (Directos)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593-9771 (Conmutador)</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Extensiones 210, 159, 203</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O bien, dirigirse a la jurisdicción Sanitaria correspondiente a los Servicios de Epidemiología del Sistema Nacional de Salud en su entidad. Las llamadas a la Dirección General de Epidemiología pueden solicitarse por cobrar.</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bookmarkStart w:id="17" w:name="Propuesta/SISTEMA_NACIONAL"/>
      <w:r w:rsidRPr="002C2A3D">
        <w:rPr>
          <w:rFonts w:ascii="Times New Roman" w:eastAsia="Times New Roman" w:hAnsi="Times New Roman" w:cs="Times New Roman"/>
          <w:sz w:val="24"/>
          <w:szCs w:val="24"/>
          <w:lang w:eastAsia="es-ES"/>
        </w:rPr>
        <w:t>SISTEMA NACIONAL DE SALUD</w:t>
      </w:r>
      <w:bookmarkEnd w:id="17"/>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PROGRAMA DE VIGILANCIA Y CONTROL DEL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Información importante para los pacientes o familiares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proofErr w:type="gramStart"/>
      <w:r w:rsidRPr="002C2A3D">
        <w:rPr>
          <w:rFonts w:ascii="Times New Roman" w:eastAsia="Times New Roman" w:hAnsi="Times New Roman" w:cs="Times New Roman"/>
          <w:sz w:val="24"/>
          <w:szCs w:val="24"/>
          <w:lang w:eastAsia="es-ES"/>
        </w:rPr>
        <w:t>de</w:t>
      </w:r>
      <w:proofErr w:type="gramEnd"/>
      <w:r w:rsidRPr="002C2A3D">
        <w:rPr>
          <w:rFonts w:ascii="Times New Roman" w:eastAsia="Times New Roman" w:hAnsi="Times New Roman" w:cs="Times New Roman"/>
          <w:sz w:val="24"/>
          <w:szCs w:val="24"/>
          <w:lang w:eastAsia="es-ES"/>
        </w:rPr>
        <w:t xml:space="preserve"> pacientes ambulatorios sospechosos de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Usted (o alguno de sus familiares) probablemente tiene dengue.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Esta enfermedad ha cambiado su comportamiento y puede convertirse rápidamente en un padecimiento grave y llegar a ser una emergencia médica, por lo que es importante que observe con mucho cuidado algunos datos durante los próximos días.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Las complicaciones asociadas con el dengue generalmente aparecen entre el tercero y quinto día de la enfermedad, por tanto, el paciente debe ser observado hasta por dos días después de que no tenga fiebre.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b/>
          <w:bCs/>
          <w:sz w:val="24"/>
          <w:szCs w:val="24"/>
          <w:lang w:eastAsia="es-ES"/>
        </w:rPr>
      </w:pPr>
      <w:r w:rsidRPr="002C2A3D">
        <w:rPr>
          <w:rFonts w:ascii="Times New Roman" w:eastAsia="Times New Roman" w:hAnsi="Times New Roman" w:cs="Times New Roman"/>
          <w:b/>
          <w:b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b/>
          <w:bCs/>
          <w:sz w:val="24"/>
          <w:szCs w:val="24"/>
          <w:lang w:eastAsia="es-ES"/>
        </w:rPr>
        <w:t>¿Qué debe hacer?</w:t>
      </w:r>
    </w:p>
    <w:p w:rsidR="002C2A3D" w:rsidRPr="002C2A3D" w:rsidRDefault="002C2A3D" w:rsidP="002C2A3D">
      <w:pPr>
        <w:spacing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1)</w:t>
      </w:r>
      <w:r w:rsidRPr="002C2A3D">
        <w:rPr>
          <w:rFonts w:ascii="Times New Roman" w:eastAsia="Times New Roman" w:hAnsi="Times New Roman" w:cs="Times New Roman"/>
          <w:b/>
          <w:bCs/>
          <w:sz w:val="24"/>
          <w:szCs w:val="24"/>
          <w:lang w:eastAsia="es-ES"/>
        </w:rPr>
        <w:t xml:space="preserve"> </w:t>
      </w:r>
      <w:r w:rsidRPr="002C2A3D">
        <w:rPr>
          <w:rFonts w:ascii="Times New Roman" w:eastAsia="Times New Roman" w:hAnsi="Times New Roman" w:cs="Times New Roman"/>
          <w:sz w:val="24"/>
          <w:szCs w:val="24"/>
          <w:lang w:eastAsia="es-ES"/>
        </w:rPr>
        <w:t xml:space="preserve">Para bajar la fiebre bañe al paciente en agua tibia o coloque bolsas de hielo o agua fría en el abdomen. No debe administrar medicamentos que contengan ácido </w:t>
      </w:r>
      <w:proofErr w:type="spellStart"/>
      <w:r w:rsidRPr="002C2A3D">
        <w:rPr>
          <w:rFonts w:ascii="Times New Roman" w:eastAsia="Times New Roman" w:hAnsi="Times New Roman" w:cs="Times New Roman"/>
          <w:sz w:val="24"/>
          <w:szCs w:val="24"/>
          <w:lang w:eastAsia="es-ES"/>
        </w:rPr>
        <w:t>acetilsalicílico</w:t>
      </w:r>
      <w:proofErr w:type="spellEnd"/>
      <w:r w:rsidRPr="002C2A3D">
        <w:rPr>
          <w:rFonts w:ascii="Times New Roman" w:eastAsia="Times New Roman" w:hAnsi="Times New Roman" w:cs="Times New Roman"/>
          <w:sz w:val="24"/>
          <w:szCs w:val="24"/>
          <w:lang w:eastAsia="es-ES"/>
        </w:rPr>
        <w:t>.</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2) Administre abundantes líquidos jugos, agua, leche, sopas) y mantenga la dieta normal.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3) El paciente debe permanecer en reposo, en cama.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4) Si presenta cualquiera de las siguientes manifestaciones, acuda inmediatamente a la unidad de salud:</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Puntos o manchas rojas en la piel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Sangrado por la nariz, encías o cualquier otro sitio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Excremento negro</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Vómito frecuente o con sangre</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xml:space="preserve">- Inquietud o </w:t>
      </w:r>
      <w:proofErr w:type="spellStart"/>
      <w:r w:rsidRPr="002C2A3D">
        <w:rPr>
          <w:rFonts w:ascii="Times New Roman" w:eastAsia="Times New Roman" w:hAnsi="Times New Roman" w:cs="Times New Roman"/>
          <w:sz w:val="24"/>
          <w:szCs w:val="24"/>
          <w:lang w:eastAsia="es-ES"/>
        </w:rPr>
        <w:t>sonmolencia</w:t>
      </w:r>
      <w:proofErr w:type="spellEnd"/>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Dolor abdominal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Piel pálida, sudorosa o fría</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Dificultad para respirar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O bien, que se sienta muy mal</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lastRenderedPageBreak/>
        <w:t>NO ESPERE, ACUDA INMEDIATAMEN'TE AL MÉDICO YA OUE PROBABLEMENTE</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SEA CRÍTICO ADMINISTRAR EN FORMA URGENTE ALGÚN TRATAMIENTO</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SI PRESENTA CUALQUIERA DE ESTAS COMPLICACIONES</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Lic. Rosa María Gutiérrez Paredes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Coordinación de Difusión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Rafael Luna</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Editor</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 </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Yolanda Morales Galván</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i/>
          <w:iCs/>
          <w:sz w:val="24"/>
          <w:szCs w:val="24"/>
          <w:lang w:eastAsia="es-ES"/>
        </w:rPr>
      </w:pPr>
      <w:r w:rsidRPr="002C2A3D">
        <w:rPr>
          <w:rFonts w:ascii="Times New Roman" w:eastAsia="Times New Roman" w:hAnsi="Times New Roman" w:cs="Times New Roman"/>
          <w:i/>
          <w:iCs/>
          <w:sz w:val="24"/>
          <w:szCs w:val="24"/>
          <w:lang w:eastAsia="es-ES"/>
        </w:rPr>
        <w:t>Ana Virginia Ruíz</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i/>
          <w:iCs/>
          <w:sz w:val="24"/>
          <w:szCs w:val="24"/>
          <w:lang w:eastAsia="es-ES"/>
        </w:rPr>
      </w:pPr>
      <w:proofErr w:type="spellStart"/>
      <w:r w:rsidRPr="002C2A3D">
        <w:rPr>
          <w:rFonts w:ascii="Times New Roman" w:eastAsia="Times New Roman" w:hAnsi="Times New Roman" w:cs="Times New Roman"/>
          <w:i/>
          <w:iCs/>
          <w:sz w:val="24"/>
          <w:szCs w:val="24"/>
          <w:lang w:eastAsia="es-ES"/>
        </w:rPr>
        <w:t>Francísco</w:t>
      </w:r>
      <w:proofErr w:type="spellEnd"/>
      <w:r w:rsidRPr="002C2A3D">
        <w:rPr>
          <w:rFonts w:ascii="Times New Roman" w:eastAsia="Times New Roman" w:hAnsi="Times New Roman" w:cs="Times New Roman"/>
          <w:i/>
          <w:iCs/>
          <w:sz w:val="24"/>
          <w:szCs w:val="24"/>
          <w:lang w:eastAsia="es-ES"/>
        </w:rPr>
        <w:t xml:space="preserve"> </w:t>
      </w:r>
      <w:proofErr w:type="spellStart"/>
      <w:r w:rsidRPr="002C2A3D">
        <w:rPr>
          <w:rFonts w:ascii="Times New Roman" w:eastAsia="Times New Roman" w:hAnsi="Times New Roman" w:cs="Times New Roman"/>
          <w:i/>
          <w:iCs/>
          <w:sz w:val="24"/>
          <w:szCs w:val="24"/>
          <w:lang w:eastAsia="es-ES"/>
        </w:rPr>
        <w:t>G.Arriaga</w:t>
      </w:r>
      <w:proofErr w:type="spellEnd"/>
      <w:r w:rsidRPr="002C2A3D">
        <w:rPr>
          <w:rFonts w:ascii="Times New Roman" w:eastAsia="Times New Roman" w:hAnsi="Times New Roman" w:cs="Times New Roman"/>
          <w:i/>
          <w:iCs/>
          <w:sz w:val="24"/>
          <w:szCs w:val="24"/>
          <w:lang w:eastAsia="es-ES"/>
        </w:rPr>
        <w:t xml:space="preserve"> Z.</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i/>
          <w:iCs/>
          <w:sz w:val="24"/>
          <w:szCs w:val="24"/>
          <w:lang w:eastAsia="es-ES"/>
        </w:rPr>
        <w:t>Martha Irene Olguín Reyes</w: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Cuidado de edición</w:t>
      </w:r>
    </w:p>
    <w:p w:rsidR="002C2A3D" w:rsidRPr="002C2A3D" w:rsidRDefault="002C2A3D" w:rsidP="002C2A3D">
      <w:pPr>
        <w:spacing w:before="100" w:beforeAutospacing="1" w:after="100" w:afterAutospacing="1"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t> </w:t>
      </w:r>
    </w:p>
    <w:p w:rsidR="002C2A3D" w:rsidRPr="002C2A3D" w:rsidRDefault="002C2A3D" w:rsidP="002C2A3D">
      <w:pPr>
        <w:spacing w:after="0" w:line="240" w:lineRule="auto"/>
        <w:rPr>
          <w:rFonts w:ascii="Times New Roman" w:eastAsia="Times New Roman" w:hAnsi="Times New Roman" w:cs="Times New Roman"/>
          <w:sz w:val="24"/>
          <w:szCs w:val="24"/>
          <w:lang w:eastAsia="es-ES"/>
        </w:rPr>
      </w:pPr>
      <w:r w:rsidRPr="002C2A3D">
        <w:rPr>
          <w:rFonts w:ascii="Times New Roman" w:eastAsia="Times New Roman" w:hAnsi="Times New Roman" w:cs="Times New Roman"/>
          <w:sz w:val="24"/>
          <w:szCs w:val="24"/>
          <w:lang w:eastAsia="es-ES"/>
        </w:rPr>
        <w:pict>
          <v:rect id="_x0000_i1035" style="width:0;height:1.5pt" o:hralign="center" o:hrstd="t" o:hrnoshade="t" o:hr="t" fillcolor="#9d9da1" stroked="f"/>
        </w:pict>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color w:val="0000FF"/>
          <w:sz w:val="24"/>
          <w:szCs w:val="24"/>
          <w:lang w:eastAsia="es-ES"/>
        </w:rPr>
        <w:drawing>
          <wp:inline distT="0" distB="0" distL="0" distR="0">
            <wp:extent cx="228600" cy="180975"/>
            <wp:effectExtent l="19050" t="0" r="0" b="0"/>
            <wp:docPr id="12" name="Imagen 12" descr="flec.gif (916 byte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lec.gif (916 bytes)">
                      <a:hlinkClick r:id="rId29"/>
                    </pic:cNvPr>
                    <pic:cNvPicPr>
                      <a:picLocks noChangeAspect="1" noChangeArrowheads="1"/>
                    </pic:cNvPicPr>
                  </pic:nvPicPr>
                  <pic:blipFill>
                    <a:blip r:embed="rId18"/>
                    <a:srcRect/>
                    <a:stretch>
                      <a:fillRect/>
                    </a:stretch>
                  </pic:blipFill>
                  <pic:spPr bwMode="auto">
                    <a:xfrm>
                      <a:off x="0" y="0"/>
                      <a:ext cx="228600" cy="180975"/>
                    </a:xfrm>
                    <a:prstGeom prst="rect">
                      <a:avLst/>
                    </a:prstGeom>
                    <a:noFill/>
                    <a:ln w="9525">
                      <a:noFill/>
                      <a:miter lim="800000"/>
                      <a:headEnd/>
                      <a:tailEnd/>
                    </a:ln>
                  </pic:spPr>
                </pic:pic>
              </a:graphicData>
            </a:graphic>
          </wp:inline>
        </w:drawing>
      </w:r>
    </w:p>
    <w:p w:rsidR="002C2A3D" w:rsidRPr="002C2A3D" w:rsidRDefault="002C2A3D" w:rsidP="002C2A3D">
      <w:pPr>
        <w:spacing w:before="100" w:beforeAutospacing="1" w:after="100" w:afterAutospacing="1" w:line="240" w:lineRule="auto"/>
        <w:jc w:val="center"/>
        <w:rPr>
          <w:rFonts w:ascii="Times New Roman" w:eastAsia="Times New Roman" w:hAnsi="Times New Roman" w:cs="Times New Roman"/>
          <w:sz w:val="24"/>
          <w:szCs w:val="24"/>
          <w:lang w:eastAsia="es-ES"/>
        </w:rPr>
      </w:pPr>
      <w:hyperlink r:id="rId30" w:history="1">
        <w:r w:rsidRPr="002C2A3D">
          <w:rPr>
            <w:rFonts w:ascii="Times New Roman" w:eastAsia="Times New Roman" w:hAnsi="Times New Roman" w:cs="Times New Roman"/>
            <w:b/>
            <w:bCs/>
            <w:color w:val="0000FF"/>
            <w:sz w:val="27"/>
            <w:u w:val="single"/>
            <w:lang w:eastAsia="es-ES"/>
          </w:rPr>
          <w:t>Página Principal</w:t>
        </w:r>
      </w:hyperlink>
    </w:p>
    <w:p w:rsidR="002C2A3D" w:rsidRDefault="002C2A3D" w:rsidP="002C2A3D"/>
    <w:sectPr w:rsidR="002C2A3D" w:rsidSect="00397F5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C2A3D"/>
    <w:rsid w:val="002C2A3D"/>
    <w:rsid w:val="00397F53"/>
    <w:rsid w:val="009C5DF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7F53"/>
  </w:style>
  <w:style w:type="paragraph" w:styleId="Ttulo3">
    <w:name w:val="heading 3"/>
    <w:basedOn w:val="Normal"/>
    <w:link w:val="Ttulo3Car"/>
    <w:uiPriority w:val="9"/>
    <w:qFormat/>
    <w:rsid w:val="002C2A3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C2A3D"/>
    <w:pPr>
      <w:pBdr>
        <w:top w:val="threeDEngrave" w:sz="6" w:space="2" w:color="FFF0F5"/>
        <w:left w:val="threeDEngrave" w:sz="6" w:space="4" w:color="FFF0F5"/>
        <w:bottom w:val="threeDEngrave" w:sz="6" w:space="2" w:color="FFF0F5"/>
        <w:right w:val="threeDEngrave" w:sz="6" w:space="4" w:color="FFF0F5"/>
      </w:pBdr>
      <w:shd w:val="clear" w:color="auto" w:fill="E9E9C1"/>
      <w:spacing w:after="0" w:line="240" w:lineRule="auto"/>
      <w:jc w:val="both"/>
    </w:pPr>
    <w:rPr>
      <w:rFonts w:ascii="Comic Sans MS" w:eastAsia="Times New Roman" w:hAnsi="Comic Sans MS" w:cs="Times New Roman"/>
      <w:color w:val="00008B"/>
      <w:sz w:val="24"/>
      <w:szCs w:val="24"/>
      <w:lang w:eastAsia="es-ES"/>
    </w:rPr>
  </w:style>
  <w:style w:type="character" w:customStyle="1" w:styleId="rojo">
    <w:name w:val="rojo"/>
    <w:basedOn w:val="Fuentedeprrafopredeter"/>
    <w:rsid w:val="002C2A3D"/>
    <w:rPr>
      <w:color w:val="00008B"/>
      <w:shd w:val="clear" w:color="auto" w:fill="FF6347"/>
    </w:rPr>
  </w:style>
  <w:style w:type="character" w:customStyle="1" w:styleId="Ttulo3Car">
    <w:name w:val="Título 3 Car"/>
    <w:basedOn w:val="Fuentedeprrafopredeter"/>
    <w:link w:val="Ttulo3"/>
    <w:uiPriority w:val="9"/>
    <w:rsid w:val="002C2A3D"/>
    <w:rPr>
      <w:rFonts w:ascii="Times New Roman" w:eastAsia="Times New Roman" w:hAnsi="Times New Roman" w:cs="Times New Roman"/>
      <w:b/>
      <w:bCs/>
      <w:sz w:val="27"/>
      <w:szCs w:val="27"/>
      <w:lang w:eastAsia="es-ES"/>
    </w:rPr>
  </w:style>
  <w:style w:type="character" w:styleId="nfasis">
    <w:name w:val="Emphasis"/>
    <w:basedOn w:val="Fuentedeprrafopredeter"/>
    <w:uiPriority w:val="20"/>
    <w:qFormat/>
    <w:rsid w:val="002C2A3D"/>
    <w:rPr>
      <w:i/>
      <w:iCs/>
    </w:rPr>
  </w:style>
  <w:style w:type="character" w:styleId="Hipervnculo">
    <w:name w:val="Hyperlink"/>
    <w:basedOn w:val="Fuentedeprrafopredeter"/>
    <w:uiPriority w:val="99"/>
    <w:semiHidden/>
    <w:unhideWhenUsed/>
    <w:rsid w:val="002C2A3D"/>
    <w:rPr>
      <w:color w:val="0000FF"/>
      <w:u w:val="single"/>
    </w:rPr>
  </w:style>
  <w:style w:type="character" w:styleId="Textoennegrita">
    <w:name w:val="Strong"/>
    <w:basedOn w:val="Fuentedeprrafopredeter"/>
    <w:uiPriority w:val="22"/>
    <w:qFormat/>
    <w:rsid w:val="002C2A3D"/>
    <w:rPr>
      <w:b/>
      <w:bCs/>
    </w:rPr>
  </w:style>
  <w:style w:type="paragraph" w:styleId="Textodeglobo">
    <w:name w:val="Balloon Text"/>
    <w:basedOn w:val="Normal"/>
    <w:link w:val="TextodegloboCar"/>
    <w:uiPriority w:val="99"/>
    <w:semiHidden/>
    <w:unhideWhenUsed/>
    <w:rsid w:val="002C2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C2A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95846018">
      <w:bodyDiv w:val="1"/>
      <w:marLeft w:val="0"/>
      <w:marRight w:val="0"/>
      <w:marTop w:val="0"/>
      <w:marBottom w:val="0"/>
      <w:divBdr>
        <w:top w:val="none" w:sz="0" w:space="0" w:color="auto"/>
        <w:left w:val="none" w:sz="0" w:space="0" w:color="auto"/>
        <w:bottom w:val="none" w:sz="0" w:space="0" w:color="auto"/>
        <w:right w:val="none" w:sz="0" w:space="0" w:color="auto"/>
      </w:divBdr>
      <w:divsChild>
        <w:div w:id="4680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5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564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463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375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497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101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7731331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66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7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5904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376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685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95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042880">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9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7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277676">
          <w:blockQuote w:val="1"/>
          <w:marLeft w:val="720"/>
          <w:marRight w:val="720"/>
          <w:marTop w:val="100"/>
          <w:marBottom w:val="100"/>
          <w:divBdr>
            <w:top w:val="none" w:sz="0" w:space="0" w:color="auto"/>
            <w:left w:val="none" w:sz="0" w:space="0" w:color="auto"/>
            <w:bottom w:val="none" w:sz="0" w:space="0" w:color="auto"/>
            <w:right w:val="none" w:sz="0" w:space="0" w:color="auto"/>
          </w:divBdr>
        </w:div>
        <w:div w:id="34926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46454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367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9585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6147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28737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196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89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74824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852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980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377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273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62125530">
      <w:bodyDiv w:val="1"/>
      <w:marLeft w:val="0"/>
      <w:marRight w:val="0"/>
      <w:marTop w:val="0"/>
      <w:marBottom w:val="0"/>
      <w:divBdr>
        <w:top w:val="none" w:sz="0" w:space="0" w:color="auto"/>
        <w:left w:val="none" w:sz="0" w:space="0" w:color="auto"/>
        <w:bottom w:val="none" w:sz="0" w:space="0" w:color="auto"/>
        <w:right w:val="none" w:sz="0" w:space="0" w:color="auto"/>
      </w:divBdr>
    </w:div>
    <w:div w:id="182893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gepi.salud.gob.mx/infoepi/manuales/Man19-Dengue/Man19.htm" TargetMode="External"/><Relationship Id="rId13" Type="http://schemas.openxmlformats.org/officeDocument/2006/relationships/hyperlink" Target="http://www.dgepi.salud.gob.mx/infoepi/manuales/Man19-Dengue/Man19.htm" TargetMode="External"/><Relationship Id="rId18" Type="http://schemas.openxmlformats.org/officeDocument/2006/relationships/image" Target="media/image2.gif"/><Relationship Id="rId26" Type="http://schemas.openxmlformats.org/officeDocument/2006/relationships/hyperlink" Target="http://www.dgepi.salud.gob.mx/infoepi/manuales/Man19-Dengue/grafica4.htm" TargetMode="External"/><Relationship Id="rId3" Type="http://schemas.openxmlformats.org/officeDocument/2006/relationships/webSettings" Target="webSettings.xml"/><Relationship Id="rId21" Type="http://schemas.openxmlformats.org/officeDocument/2006/relationships/hyperlink" Target="http://www.dgepi.salud.gob.mx/infoepi/manuales/Man19-Dengue/grafica2.htm" TargetMode="External"/><Relationship Id="rId7" Type="http://schemas.openxmlformats.org/officeDocument/2006/relationships/hyperlink" Target="http://www.dgepi.salud.gob.mx/infoepi/manuales/Man19-Dengue/Man19.htm" TargetMode="External"/><Relationship Id="rId12" Type="http://schemas.openxmlformats.org/officeDocument/2006/relationships/hyperlink" Target="http://www.dgepi.salud.gob.mx/infoepi/manuales/Man19-Dengue/Man19.htm" TargetMode="External"/><Relationship Id="rId17" Type="http://schemas.openxmlformats.org/officeDocument/2006/relationships/hyperlink" Target="http://www.dgepi.salud.gob.mx/infoepi/manuales/Man19-Dengue/Man19.htm#&#205;NDICE" TargetMode="External"/><Relationship Id="rId25" Type="http://schemas.openxmlformats.org/officeDocument/2006/relationships/hyperlink" Target="http://www.dgepi.salud.gob.mx/infoepi/manuales/Man19-Dengue/grafica3.htm" TargetMode="External"/><Relationship Id="rId2" Type="http://schemas.openxmlformats.org/officeDocument/2006/relationships/settings" Target="settings.xml"/><Relationship Id="rId16" Type="http://schemas.openxmlformats.org/officeDocument/2006/relationships/hyperlink" Target="http://www.dgepi.salud.gob.mx/infoepi/manuales/Man19-Dengue/anexo3.htm" TargetMode="External"/><Relationship Id="rId20" Type="http://schemas.openxmlformats.org/officeDocument/2006/relationships/hyperlink" Target="http://www.dgepi.salud.gob.mx/infoepi/manuales/Man19-Dengue/grafica1.htm" TargetMode="External"/><Relationship Id="rId29" Type="http://schemas.openxmlformats.org/officeDocument/2006/relationships/hyperlink" Target="http://www.dgepi.salud.gob.mx/infoepi/manuales/Man19-Dengue/Man19.htm#Top" TargetMode="External"/><Relationship Id="rId1" Type="http://schemas.openxmlformats.org/officeDocument/2006/relationships/styles" Target="styles.xml"/><Relationship Id="rId6" Type="http://schemas.openxmlformats.org/officeDocument/2006/relationships/hyperlink" Target="http://www.dgepi.salud.gob.mx/infoepi/manuales/Man19-Dengue/Man19.htm" TargetMode="External"/><Relationship Id="rId11" Type="http://schemas.openxmlformats.org/officeDocument/2006/relationships/hyperlink" Target="http://www.dgepi.salud.gob.mx/infoepi/manuales/Man19-Dengue/Man19.htm" TargetMode="External"/><Relationship Id="rId24" Type="http://schemas.openxmlformats.org/officeDocument/2006/relationships/hyperlink" Target="http://www.dgepi.salud.gob.mx/infoepi/manuales/Man19-Dengue/cuadro2.htm" TargetMode="External"/><Relationship Id="rId32" Type="http://schemas.openxmlformats.org/officeDocument/2006/relationships/theme" Target="theme/theme1.xml"/><Relationship Id="rId5" Type="http://schemas.openxmlformats.org/officeDocument/2006/relationships/image" Target="media/image1.gif"/><Relationship Id="rId15" Type="http://schemas.openxmlformats.org/officeDocument/2006/relationships/hyperlink" Target="http://www.dgepi.salud.gob.mx/infoepi/manuales/Man19-Dengue/anexo2.htm" TargetMode="External"/><Relationship Id="rId23" Type="http://schemas.openxmlformats.org/officeDocument/2006/relationships/image" Target="media/image3.gif"/><Relationship Id="rId28" Type="http://schemas.openxmlformats.org/officeDocument/2006/relationships/hyperlink" Target="http://www.dgepi.salud.gob.mx/infoepi/manuales/Man19-Dengue/cuadro3.htm" TargetMode="External"/><Relationship Id="rId10" Type="http://schemas.openxmlformats.org/officeDocument/2006/relationships/hyperlink" Target="http://www.dgepi.salud.gob.mx/infoepi/manuales/Man19-Dengue/Man19.htm" TargetMode="External"/><Relationship Id="rId19" Type="http://schemas.openxmlformats.org/officeDocument/2006/relationships/hyperlink" Target="http://www.dgepi.salud.gob.mx/infoepi/manuales/Man19-Dengue/esquem1f.htm" TargetMode="External"/><Relationship Id="rId31" Type="http://schemas.openxmlformats.org/officeDocument/2006/relationships/fontTable" Target="fontTable.xml"/><Relationship Id="rId4" Type="http://schemas.openxmlformats.org/officeDocument/2006/relationships/hyperlink" Target="http://www.dgepi.salud.gob.mx/infoepi/manuales/index.htm" TargetMode="External"/><Relationship Id="rId9" Type="http://schemas.openxmlformats.org/officeDocument/2006/relationships/hyperlink" Target="http://www.dgepi.salud.gob.mx/infoepi/manuales/Man19-Dengue/Man19.htm" TargetMode="External"/><Relationship Id="rId14" Type="http://schemas.openxmlformats.org/officeDocument/2006/relationships/hyperlink" Target="http://www.dgepi.salud.gob.mx/infoepi/manuales/Man19-Dengue/anexo1.htm" TargetMode="External"/><Relationship Id="rId22" Type="http://schemas.openxmlformats.org/officeDocument/2006/relationships/hyperlink" Target="http://www.dgepi.salud.gob.mx/infoepi/manuales/Man19-Dengue/esquema2.htm" TargetMode="External"/><Relationship Id="rId27" Type="http://schemas.openxmlformats.org/officeDocument/2006/relationships/hyperlink" Target="http://www.dgepi.salud.gob.mx/infoepi/manuales/Man19-Dengue/esquema3.htm" TargetMode="External"/><Relationship Id="rId30" Type="http://schemas.openxmlformats.org/officeDocument/2006/relationships/hyperlink" Target="http://www.dgepi.salud.gob.mx/infoepi/manuales/index.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32</Pages>
  <Words>11026</Words>
  <Characters>60648</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FireFox</Company>
  <LinksUpToDate>false</LinksUpToDate>
  <CharactersWithSpaces>71531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2010-09-17T20:56:00Z</dcterms:created>
  <dcterms:modified xsi:type="dcterms:W3CDTF">2010-09-17T21:31:00Z</dcterms:modified>
</cp:coreProperties>
</file>