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47BC" w:rsidRPr="00875935" w:rsidRDefault="00FC5810" w:rsidP="00A36A67">
      <w:pPr>
        <w:rPr>
          <w:rFonts w:ascii="Arial" w:hAnsi="Arial" w:cs="Arial"/>
          <w:b/>
          <w:bCs/>
          <w:color w:val="000000"/>
          <w:sz w:val="24"/>
          <w:szCs w:val="24"/>
        </w:rPr>
      </w:pPr>
      <w:r w:rsidRPr="00875935">
        <w:rPr>
          <w:rFonts w:ascii="Arial" w:hAnsi="Arial" w:cs="Arial"/>
          <w:b/>
          <w:bCs/>
          <w:color w:val="000000"/>
          <w:sz w:val="24"/>
          <w:szCs w:val="24"/>
        </w:rPr>
        <w:t>SHOCK NEUROGENICO</w:t>
      </w:r>
    </w:p>
    <w:p w:rsidR="00FC5810" w:rsidRDefault="00FC5810" w:rsidP="00A36A67">
      <w:pPr>
        <w:rPr>
          <w:rFonts w:ascii="Arial" w:hAnsi="Arial" w:cs="Arial"/>
          <w:bCs/>
          <w:color w:val="000000"/>
          <w:sz w:val="24"/>
          <w:szCs w:val="24"/>
        </w:rPr>
      </w:pPr>
      <w:r w:rsidRPr="00875935">
        <w:rPr>
          <w:rFonts w:ascii="Arial" w:hAnsi="Arial" w:cs="Arial"/>
          <w:bCs/>
          <w:color w:val="000000"/>
          <w:sz w:val="24"/>
          <w:szCs w:val="24"/>
        </w:rPr>
        <w:t xml:space="preserve"> Resulta de la </w:t>
      </w:r>
      <w:r w:rsidR="00875935" w:rsidRPr="00875935">
        <w:rPr>
          <w:rFonts w:ascii="Arial" w:hAnsi="Arial" w:cs="Arial"/>
          <w:bCs/>
          <w:color w:val="000000"/>
          <w:sz w:val="24"/>
          <w:szCs w:val="24"/>
        </w:rPr>
        <w:t>pérdida</w:t>
      </w:r>
      <w:r w:rsidRPr="00875935">
        <w:rPr>
          <w:rFonts w:ascii="Arial" w:hAnsi="Arial" w:cs="Arial"/>
          <w:bCs/>
          <w:color w:val="000000"/>
          <w:sz w:val="24"/>
          <w:szCs w:val="24"/>
        </w:rPr>
        <w:t xml:space="preserve"> o </w:t>
      </w:r>
      <w:r w:rsidR="00875935" w:rsidRPr="00875935">
        <w:rPr>
          <w:rFonts w:ascii="Arial" w:hAnsi="Arial" w:cs="Arial"/>
          <w:bCs/>
          <w:color w:val="000000"/>
          <w:sz w:val="24"/>
          <w:szCs w:val="24"/>
        </w:rPr>
        <w:t>supresión</w:t>
      </w:r>
      <w:r w:rsidRPr="00875935">
        <w:rPr>
          <w:rFonts w:ascii="Arial" w:hAnsi="Arial" w:cs="Arial"/>
          <w:bCs/>
          <w:color w:val="000000"/>
          <w:sz w:val="24"/>
          <w:szCs w:val="24"/>
        </w:rPr>
        <w:t xml:space="preserve"> del tono </w:t>
      </w:r>
      <w:r w:rsidR="00875935" w:rsidRPr="00875935">
        <w:rPr>
          <w:rFonts w:ascii="Arial" w:hAnsi="Arial" w:cs="Arial"/>
          <w:bCs/>
          <w:color w:val="000000"/>
          <w:sz w:val="24"/>
          <w:szCs w:val="24"/>
        </w:rPr>
        <w:t xml:space="preserve">simpático </w:t>
      </w:r>
      <w:r w:rsidRPr="00875935">
        <w:rPr>
          <w:rFonts w:ascii="Arial" w:hAnsi="Arial" w:cs="Arial"/>
          <w:bCs/>
          <w:color w:val="000000"/>
          <w:sz w:val="24"/>
          <w:szCs w:val="24"/>
        </w:rPr>
        <w:t xml:space="preserve"> Causa </w:t>
      </w:r>
      <w:r w:rsidR="00875935" w:rsidRPr="00875935">
        <w:rPr>
          <w:rFonts w:ascii="Arial" w:hAnsi="Arial" w:cs="Arial"/>
          <w:bCs/>
          <w:color w:val="000000"/>
          <w:sz w:val="24"/>
          <w:szCs w:val="24"/>
        </w:rPr>
        <w:t>vasodilatación</w:t>
      </w:r>
      <w:r w:rsidRPr="00875935">
        <w:rPr>
          <w:rFonts w:ascii="Arial" w:hAnsi="Arial" w:cs="Arial"/>
          <w:bCs/>
          <w:color w:val="000000"/>
          <w:sz w:val="24"/>
          <w:szCs w:val="24"/>
        </w:rPr>
        <w:t xml:space="preserve"> masiva en los vasos arteriolares y venosos, retorno venoso al </w:t>
      </w:r>
      <w:r w:rsidR="00875935" w:rsidRPr="00875935">
        <w:rPr>
          <w:rFonts w:ascii="Arial" w:hAnsi="Arial" w:cs="Arial"/>
          <w:bCs/>
          <w:color w:val="000000"/>
          <w:sz w:val="24"/>
          <w:szCs w:val="24"/>
        </w:rPr>
        <w:t>corazón</w:t>
      </w:r>
      <w:r w:rsidRPr="00875935">
        <w:rPr>
          <w:rFonts w:ascii="Arial" w:hAnsi="Arial" w:cs="Arial"/>
          <w:bCs/>
          <w:color w:val="000000"/>
          <w:sz w:val="24"/>
          <w:szCs w:val="24"/>
        </w:rPr>
        <w:t>,  salida cardiaca</w:t>
      </w:r>
    </w:p>
    <w:p w:rsidR="00875935" w:rsidRPr="00875935" w:rsidRDefault="00875935" w:rsidP="00A36A67">
      <w:pPr>
        <w:rPr>
          <w:rFonts w:ascii="Arial" w:hAnsi="Arial" w:cs="Arial"/>
          <w:b/>
          <w:bCs/>
          <w:color w:val="000000"/>
          <w:sz w:val="24"/>
          <w:szCs w:val="24"/>
        </w:rPr>
      </w:pPr>
      <w:r w:rsidRPr="00875935">
        <w:rPr>
          <w:rFonts w:ascii="Arial" w:hAnsi="Arial" w:cs="Arial"/>
          <w:b/>
          <w:bCs/>
          <w:color w:val="000000"/>
          <w:sz w:val="24"/>
          <w:szCs w:val="24"/>
        </w:rPr>
        <w:t>FISIOPATOLOGIA</w:t>
      </w:r>
    </w:p>
    <w:p w:rsidR="005D084E" w:rsidRPr="00875935" w:rsidRDefault="005D084E" w:rsidP="005D084E">
      <w:pPr>
        <w:rPr>
          <w:rFonts w:ascii="Arial" w:hAnsi="Arial" w:cs="Arial"/>
          <w:bCs/>
          <w:color w:val="000000"/>
          <w:sz w:val="24"/>
          <w:szCs w:val="24"/>
        </w:rPr>
      </w:pPr>
      <w:r w:rsidRPr="00875935">
        <w:rPr>
          <w:rFonts w:ascii="Arial" w:hAnsi="Arial" w:cs="Arial"/>
          <w:bCs/>
          <w:color w:val="000000"/>
          <w:sz w:val="24"/>
          <w:szCs w:val="24"/>
        </w:rPr>
        <w:t xml:space="preserve">El shock neurogénico es causado por la pérdida de control simpática (tono simpático) en los vasos de resistencia, resultando en la dilatación masiva de arteriolas y vénulas. Puede ser causado por anestesia general o espinal, alguna lesión medular, dolor o ansiedad. </w:t>
      </w:r>
    </w:p>
    <w:p w:rsidR="005D084E" w:rsidRPr="00875935" w:rsidRDefault="005D084E" w:rsidP="005D084E">
      <w:pPr>
        <w:rPr>
          <w:rFonts w:ascii="Arial" w:hAnsi="Arial" w:cs="Arial"/>
          <w:bCs/>
          <w:color w:val="000000"/>
          <w:sz w:val="24"/>
          <w:szCs w:val="24"/>
        </w:rPr>
      </w:pPr>
      <w:r w:rsidRPr="00875935">
        <w:rPr>
          <w:rFonts w:ascii="Arial" w:hAnsi="Arial" w:cs="Arial"/>
          <w:bCs/>
          <w:color w:val="000000"/>
          <w:sz w:val="24"/>
          <w:szCs w:val="24"/>
        </w:rPr>
        <w:t xml:space="preserve">El SNS también se denomina sistema toracolumbar; la base anatómica de esta denominación es el origen de las fibras preganglionares. Las fibras preganglionares tienen su origen en los segmentos torácicos y lumbares de la médula espinal, desde T1 a L3, estando el cuerpo celular en el asta intermediolateral. </w:t>
      </w:r>
    </w:p>
    <w:p w:rsidR="005D084E" w:rsidRPr="00875935" w:rsidRDefault="005D084E" w:rsidP="005D084E">
      <w:pPr>
        <w:rPr>
          <w:rFonts w:ascii="Arial" w:hAnsi="Arial" w:cs="Arial"/>
          <w:bCs/>
          <w:color w:val="000000"/>
          <w:sz w:val="24"/>
          <w:szCs w:val="24"/>
        </w:rPr>
      </w:pPr>
      <w:r w:rsidRPr="00875935">
        <w:rPr>
          <w:rFonts w:ascii="Arial" w:hAnsi="Arial" w:cs="Arial"/>
          <w:bCs/>
          <w:color w:val="000000"/>
          <w:sz w:val="24"/>
          <w:szCs w:val="24"/>
        </w:rPr>
        <w:t xml:space="preserve">Estas fibras salen de la médula con las fibras motoras y se separan de ellas poco después (rama comunicante blanca) para entrar en la cadena de ganglios simpáticos paravertebrales (una cadena a cada lado). </w:t>
      </w:r>
    </w:p>
    <w:p w:rsidR="005D084E" w:rsidRPr="00875935" w:rsidRDefault="005D084E" w:rsidP="005D084E">
      <w:pPr>
        <w:rPr>
          <w:rFonts w:ascii="Arial" w:hAnsi="Arial" w:cs="Arial"/>
          <w:bCs/>
          <w:color w:val="000000"/>
          <w:sz w:val="24"/>
          <w:szCs w:val="24"/>
        </w:rPr>
      </w:pPr>
      <w:r w:rsidRPr="00875935">
        <w:rPr>
          <w:rFonts w:ascii="Arial" w:hAnsi="Arial" w:cs="Arial"/>
          <w:bCs/>
          <w:color w:val="000000"/>
          <w:sz w:val="24"/>
          <w:szCs w:val="24"/>
        </w:rPr>
        <w:t xml:space="preserve">Cuando entran en la cadena ganglionar, las fibras preganglionares pueden seguir tres caminos: </w:t>
      </w:r>
    </w:p>
    <w:p w:rsidR="005D084E" w:rsidRPr="00875935" w:rsidRDefault="005D084E" w:rsidP="005D084E">
      <w:pPr>
        <w:rPr>
          <w:rFonts w:ascii="Arial" w:hAnsi="Arial" w:cs="Arial"/>
          <w:bCs/>
          <w:color w:val="000000"/>
          <w:sz w:val="24"/>
          <w:szCs w:val="24"/>
        </w:rPr>
      </w:pPr>
      <w:r w:rsidRPr="00875935">
        <w:rPr>
          <w:rFonts w:ascii="Arial" w:hAnsi="Arial" w:cs="Arial"/>
          <w:b/>
          <w:bCs/>
          <w:color w:val="000000"/>
          <w:sz w:val="24"/>
          <w:szCs w:val="24"/>
        </w:rPr>
        <w:t xml:space="preserve">1. </w:t>
      </w:r>
      <w:r w:rsidRPr="00875935">
        <w:rPr>
          <w:rFonts w:ascii="Arial" w:hAnsi="Arial" w:cs="Arial"/>
          <w:bCs/>
          <w:color w:val="000000"/>
          <w:sz w:val="24"/>
          <w:szCs w:val="24"/>
        </w:rPr>
        <w:t xml:space="preserve">Formar una sinapsis con las fibras postganglionares en el ganglio en el mismo nivel de la salida de la médula. </w:t>
      </w:r>
    </w:p>
    <w:p w:rsidR="005D084E" w:rsidRPr="00875935" w:rsidRDefault="005D084E" w:rsidP="005D084E">
      <w:pPr>
        <w:rPr>
          <w:rFonts w:ascii="Arial" w:hAnsi="Arial" w:cs="Arial"/>
          <w:bCs/>
          <w:color w:val="000000"/>
          <w:sz w:val="24"/>
          <w:szCs w:val="24"/>
        </w:rPr>
      </w:pPr>
      <w:r w:rsidRPr="00875935">
        <w:rPr>
          <w:rFonts w:ascii="Arial" w:hAnsi="Arial" w:cs="Arial"/>
          <w:b/>
          <w:bCs/>
          <w:color w:val="000000"/>
          <w:sz w:val="24"/>
          <w:szCs w:val="24"/>
        </w:rPr>
        <w:t xml:space="preserve">2. </w:t>
      </w:r>
      <w:r w:rsidRPr="00875935">
        <w:rPr>
          <w:rFonts w:ascii="Arial" w:hAnsi="Arial" w:cs="Arial"/>
          <w:bCs/>
          <w:color w:val="000000"/>
          <w:sz w:val="24"/>
          <w:szCs w:val="24"/>
        </w:rPr>
        <w:t xml:space="preserve">Subir o bajar en la cadena ganglionar formando sinapsis a otros niveles de la cadena. </w:t>
      </w:r>
    </w:p>
    <w:p w:rsidR="005D084E" w:rsidRPr="00875935" w:rsidRDefault="005D084E" w:rsidP="005D084E">
      <w:pPr>
        <w:rPr>
          <w:rFonts w:ascii="Arial" w:hAnsi="Arial" w:cs="Arial"/>
          <w:bCs/>
          <w:color w:val="000000"/>
          <w:sz w:val="24"/>
          <w:szCs w:val="24"/>
        </w:rPr>
      </w:pPr>
      <w:r w:rsidRPr="00875935">
        <w:rPr>
          <w:rFonts w:ascii="Arial" w:hAnsi="Arial" w:cs="Arial"/>
          <w:b/>
          <w:bCs/>
          <w:color w:val="000000"/>
          <w:sz w:val="24"/>
          <w:szCs w:val="24"/>
        </w:rPr>
        <w:t xml:space="preserve">3. </w:t>
      </w:r>
      <w:r w:rsidRPr="00875935">
        <w:rPr>
          <w:rFonts w:ascii="Arial" w:hAnsi="Arial" w:cs="Arial"/>
          <w:bCs/>
          <w:color w:val="000000"/>
          <w:sz w:val="24"/>
          <w:szCs w:val="24"/>
        </w:rPr>
        <w:t xml:space="preserve">Pasar por la cadena sin formar sinapsis y terminar en un ganglio colateral impar del SNS: ganglio celíaco y ganglio mesentérico inferior, que están formados por la convergencia de fibras preganglionares con los cuerpos neuronales de las postganglionares. </w:t>
      </w:r>
    </w:p>
    <w:p w:rsidR="005D084E" w:rsidRPr="00875935" w:rsidRDefault="005D084E" w:rsidP="005D084E">
      <w:pPr>
        <w:rPr>
          <w:rFonts w:ascii="Arial" w:hAnsi="Arial" w:cs="Arial"/>
          <w:bCs/>
          <w:color w:val="000000"/>
          <w:sz w:val="24"/>
          <w:szCs w:val="24"/>
        </w:rPr>
      </w:pPr>
    </w:p>
    <w:p w:rsidR="005D084E" w:rsidRPr="00875935" w:rsidRDefault="005D084E" w:rsidP="005D084E">
      <w:pPr>
        <w:rPr>
          <w:rFonts w:ascii="Arial" w:hAnsi="Arial" w:cs="Arial"/>
          <w:bCs/>
          <w:color w:val="000000"/>
          <w:sz w:val="24"/>
          <w:szCs w:val="24"/>
        </w:rPr>
      </w:pPr>
      <w:r w:rsidRPr="00875935">
        <w:rPr>
          <w:rFonts w:ascii="Arial" w:hAnsi="Arial" w:cs="Arial"/>
          <w:bCs/>
          <w:color w:val="000000"/>
          <w:sz w:val="24"/>
          <w:szCs w:val="24"/>
        </w:rPr>
        <w:t xml:space="preserve">Las fibras postganglionares tienen por tanto, su cuerpo celular a nivel de los ganglios de la cadena paravertebral bilateral o a nivel de los ganglios impares de los plexos más periféricos. La inervación de la glándula suprarrenal es una excepción, ya que las fibras preganglionares pasan directamente a la glándula sin realizar sinapsis en ningún ganglio; las células de la médula de la suprarrenal derivan de tejido neuronal y son análogas a las neuronas postganglionares. </w:t>
      </w:r>
    </w:p>
    <w:p w:rsidR="005D084E" w:rsidRPr="00875935" w:rsidRDefault="005D084E" w:rsidP="005D084E">
      <w:pPr>
        <w:rPr>
          <w:rFonts w:ascii="Arial" w:hAnsi="Arial" w:cs="Arial"/>
          <w:bCs/>
          <w:color w:val="000000"/>
          <w:sz w:val="24"/>
          <w:szCs w:val="24"/>
        </w:rPr>
      </w:pPr>
      <w:r w:rsidRPr="00875935">
        <w:rPr>
          <w:rFonts w:ascii="Arial" w:hAnsi="Arial" w:cs="Arial"/>
          <w:bCs/>
          <w:color w:val="000000"/>
          <w:sz w:val="24"/>
          <w:szCs w:val="24"/>
        </w:rPr>
        <w:lastRenderedPageBreak/>
        <w:t xml:space="preserve">Desde los ganglios, las fibras postganglionares se dirigen hacia el órgano efector, pero algunas de ellas vuelven a los nervios espinales a todos los niveles de la médula (rama comunicante gris). Estas fibras son no mielinizadas de tipo C y son transportadas dentro de los nervios somáticos (aproximadamente 8% de las fibras de un nervio somático son simpáticas). </w:t>
      </w:r>
    </w:p>
    <w:p w:rsidR="005D084E" w:rsidRPr="00875935" w:rsidRDefault="005D084E" w:rsidP="005D084E">
      <w:pPr>
        <w:rPr>
          <w:rFonts w:ascii="Arial" w:hAnsi="Arial" w:cs="Arial"/>
          <w:bCs/>
          <w:color w:val="000000"/>
          <w:sz w:val="24"/>
          <w:szCs w:val="24"/>
        </w:rPr>
      </w:pPr>
      <w:r w:rsidRPr="00875935">
        <w:rPr>
          <w:rFonts w:ascii="Arial" w:hAnsi="Arial" w:cs="Arial"/>
          <w:bCs/>
          <w:color w:val="000000"/>
          <w:sz w:val="24"/>
          <w:szCs w:val="24"/>
        </w:rPr>
        <w:t xml:space="preserve">Se distribuyen distalmente en la piel, glándulas sudoríparas, músculo piloerector, vasos sanguíneos y músculos. </w:t>
      </w:r>
    </w:p>
    <w:p w:rsidR="005D084E" w:rsidRPr="00875935" w:rsidRDefault="005D084E" w:rsidP="005D084E">
      <w:pPr>
        <w:rPr>
          <w:rFonts w:ascii="Arial" w:hAnsi="Arial" w:cs="Arial"/>
          <w:bCs/>
          <w:color w:val="000000"/>
          <w:sz w:val="24"/>
          <w:szCs w:val="24"/>
        </w:rPr>
      </w:pPr>
      <w:r w:rsidRPr="00875935">
        <w:rPr>
          <w:rFonts w:ascii="Arial" w:hAnsi="Arial" w:cs="Arial"/>
          <w:bCs/>
          <w:color w:val="000000"/>
          <w:sz w:val="24"/>
          <w:szCs w:val="24"/>
        </w:rPr>
        <w:t xml:space="preserve">Las fibras preganglionares de los primeros cuatro o cinco segmentos torácicos (T1-T5), ascienden a nivel cervical y dan origen a tres ganglios pares especiales: cervical superior, cervical medio y cervical inferior. Este último está unido al primer ganglio torácico y de la fusión de estos dos ganglios resulta el ganglio estrellado. </w:t>
      </w:r>
    </w:p>
    <w:p w:rsidR="005D084E" w:rsidRPr="00875935" w:rsidRDefault="005D084E" w:rsidP="005D084E">
      <w:pPr>
        <w:rPr>
          <w:rFonts w:ascii="Arial" w:hAnsi="Arial" w:cs="Arial"/>
          <w:bCs/>
          <w:color w:val="000000"/>
          <w:sz w:val="24"/>
          <w:szCs w:val="24"/>
        </w:rPr>
      </w:pPr>
      <w:r w:rsidRPr="00875935">
        <w:rPr>
          <w:rFonts w:ascii="Arial" w:hAnsi="Arial" w:cs="Arial"/>
          <w:bCs/>
          <w:color w:val="000000"/>
          <w:sz w:val="24"/>
          <w:szCs w:val="24"/>
        </w:rPr>
        <w:t xml:space="preserve">Estos ganglios dan origen a la inervación simpática de la cara, cuello, extremidades superiores, corazón y pulmones. Las fibras aferentes del dolor viajan con estos nervios (por este motivo la isquemia miocárdica puede ocasionar dolor en el cuello y extremidad superior). </w:t>
      </w:r>
    </w:p>
    <w:p w:rsidR="005D084E" w:rsidRPr="00875935" w:rsidRDefault="005D084E" w:rsidP="005D084E">
      <w:pPr>
        <w:rPr>
          <w:rFonts w:ascii="Arial" w:hAnsi="Arial" w:cs="Arial"/>
          <w:bCs/>
          <w:color w:val="000000"/>
          <w:sz w:val="24"/>
          <w:szCs w:val="24"/>
        </w:rPr>
      </w:pPr>
      <w:r w:rsidRPr="00875935">
        <w:rPr>
          <w:rFonts w:ascii="Arial" w:hAnsi="Arial" w:cs="Arial"/>
          <w:bCs/>
          <w:color w:val="000000"/>
          <w:sz w:val="24"/>
          <w:szCs w:val="24"/>
        </w:rPr>
        <w:t xml:space="preserve">La activación del SNS, produce una respuesta fisiológica difusa (reflejo masivo) y no una respuesta discreta. Esto es debido a que las fibras postganglionares son mucho más abundantes que las preganglionares (20:1 o 30:1) y una neurona preganglionar influencia un gran número de neuronas postganglionares, que se distribuyen por diversos órganos. Esta respuesta está aumentada por la liberación de adrenalina por la médula suprarrenal. </w:t>
      </w:r>
    </w:p>
    <w:p w:rsidR="005D084E" w:rsidRPr="00875935" w:rsidRDefault="005D084E" w:rsidP="005D084E">
      <w:pPr>
        <w:rPr>
          <w:rFonts w:ascii="Arial" w:hAnsi="Arial" w:cs="Arial"/>
          <w:bCs/>
          <w:color w:val="000000"/>
          <w:sz w:val="24"/>
          <w:szCs w:val="24"/>
        </w:rPr>
      </w:pPr>
      <w:r w:rsidRPr="00875935">
        <w:rPr>
          <w:rFonts w:ascii="Arial" w:hAnsi="Arial" w:cs="Arial"/>
          <w:bCs/>
          <w:color w:val="000000"/>
          <w:sz w:val="24"/>
          <w:szCs w:val="24"/>
        </w:rPr>
        <w:t xml:space="preserve">Como se ha revisado, el SNS tiene influencia directa en los vasos sanguíneos, corazón y pulmones, y he ahí la relevancia de la explicación de este sistema nervioso para poder comprender la fisiopatología </w:t>
      </w:r>
      <w:proofErr w:type="spellStart"/>
      <w:r w:rsidRPr="00875935">
        <w:rPr>
          <w:rFonts w:ascii="Arial" w:hAnsi="Arial" w:cs="Arial"/>
          <w:bCs/>
          <w:color w:val="000000"/>
          <w:sz w:val="24"/>
          <w:szCs w:val="24"/>
        </w:rPr>
        <w:t>de el</w:t>
      </w:r>
      <w:proofErr w:type="spellEnd"/>
      <w:r w:rsidRPr="00875935">
        <w:rPr>
          <w:rFonts w:ascii="Arial" w:hAnsi="Arial" w:cs="Arial"/>
          <w:bCs/>
          <w:color w:val="000000"/>
          <w:sz w:val="24"/>
          <w:szCs w:val="24"/>
        </w:rPr>
        <w:t xml:space="preserve"> shock </w:t>
      </w:r>
      <w:proofErr w:type="spellStart"/>
      <w:r w:rsidRPr="00875935">
        <w:rPr>
          <w:rFonts w:ascii="Arial" w:hAnsi="Arial" w:cs="Arial"/>
          <w:bCs/>
          <w:color w:val="000000"/>
          <w:sz w:val="24"/>
          <w:szCs w:val="24"/>
        </w:rPr>
        <w:t>neurogénico</w:t>
      </w:r>
      <w:proofErr w:type="spellEnd"/>
      <w:r w:rsidRPr="00875935">
        <w:rPr>
          <w:rFonts w:ascii="Arial" w:hAnsi="Arial" w:cs="Arial"/>
          <w:bCs/>
          <w:color w:val="000000"/>
          <w:sz w:val="24"/>
          <w:szCs w:val="24"/>
        </w:rPr>
        <w:t>.</w:t>
      </w:r>
    </w:p>
    <w:p w:rsidR="00A36A67" w:rsidRPr="00875935" w:rsidRDefault="00207F72" w:rsidP="00A36A67">
      <w:pPr>
        <w:rPr>
          <w:rFonts w:ascii="Arial" w:hAnsi="Arial" w:cs="Arial"/>
          <w:bCs/>
          <w:color w:val="000000"/>
          <w:sz w:val="24"/>
          <w:szCs w:val="24"/>
        </w:rPr>
      </w:pPr>
      <w:proofErr w:type="gramStart"/>
      <w:r w:rsidRPr="00875935">
        <w:rPr>
          <w:rFonts w:ascii="Arial" w:hAnsi="Arial" w:cs="Arial"/>
          <w:bCs/>
          <w:color w:val="000000"/>
          <w:sz w:val="24"/>
          <w:szCs w:val="24"/>
          <w:lang w:val="es-US"/>
        </w:rPr>
        <w:t>el</w:t>
      </w:r>
      <w:proofErr w:type="gramEnd"/>
      <w:r w:rsidRPr="00875935">
        <w:rPr>
          <w:rFonts w:ascii="Arial" w:hAnsi="Arial" w:cs="Arial"/>
          <w:bCs/>
          <w:color w:val="000000"/>
          <w:sz w:val="24"/>
          <w:szCs w:val="24"/>
          <w:lang w:val="es-US"/>
        </w:rPr>
        <w:t xml:space="preserve"> shock medular produce cambios característicos en la piel. Cuando la médula es seccionada, los mecanismos compensatorios simpáticos del organismo dejan de ejercer control en la musculatura de la pared de los vasos sanguíneos en un nivel por debajo del sitio de la lesión. Estas arterias, arteriolas y venas se dilatan, agrandándose las dimensiones del contenedor vascular, lo cual provoca una hipovolemia relativa. Por arriba del sitio de lesión medular la respuesta simpáticas pueden producir vasoconstricción, y la piel puede presentarse pálida o blanca, fría y húmeda (diaforetica</w:t>
      </w:r>
      <w:proofErr w:type="gramStart"/>
      <w:r w:rsidRPr="00875935">
        <w:rPr>
          <w:rFonts w:ascii="Arial" w:hAnsi="Arial" w:cs="Arial"/>
          <w:bCs/>
          <w:color w:val="000000"/>
          <w:sz w:val="24"/>
          <w:szCs w:val="24"/>
          <w:lang w:val="es-US"/>
        </w:rPr>
        <w:t>) .</w:t>
      </w:r>
      <w:proofErr w:type="gramEnd"/>
      <w:r w:rsidRPr="00875935">
        <w:rPr>
          <w:rFonts w:ascii="Arial" w:hAnsi="Arial" w:cs="Arial"/>
          <w:bCs/>
          <w:color w:val="000000"/>
          <w:sz w:val="24"/>
          <w:szCs w:val="24"/>
          <w:lang w:val="es-US"/>
        </w:rPr>
        <w:t xml:space="preserve"> Sin embargo dado que por abajo del sitio de lesión no ocurre vasoconstricción, la piel a este nivel puede permanecer rosada, caliente y seca. </w:t>
      </w:r>
      <w:r w:rsidRPr="00875935">
        <w:rPr>
          <w:rFonts w:ascii="Arial" w:hAnsi="Arial" w:cs="Arial"/>
          <w:bCs/>
          <w:color w:val="000000"/>
          <w:sz w:val="24"/>
          <w:szCs w:val="24"/>
          <w:lang w:val="es-US"/>
        </w:rPr>
        <w:br/>
      </w:r>
      <w:r w:rsidRPr="00875935">
        <w:rPr>
          <w:rFonts w:ascii="Arial" w:hAnsi="Arial" w:cs="Arial"/>
          <w:bCs/>
          <w:color w:val="000000"/>
          <w:sz w:val="24"/>
          <w:szCs w:val="24"/>
          <w:lang w:val="es-US"/>
        </w:rPr>
        <w:br/>
        <w:t xml:space="preserve">Este tipo de shock se acompaña de una frecuencia cardíaca normal o con tendencia a bradicardia ligera en lugar de la taquicardia comúnmente observada </w:t>
      </w:r>
      <w:r w:rsidRPr="00875935">
        <w:rPr>
          <w:rFonts w:ascii="Arial" w:hAnsi="Arial" w:cs="Arial"/>
          <w:bCs/>
          <w:color w:val="000000"/>
          <w:sz w:val="24"/>
          <w:szCs w:val="24"/>
          <w:lang w:val="es-US"/>
        </w:rPr>
        <w:lastRenderedPageBreak/>
        <w:t xml:space="preserve">en el shock hipovolémico. Ello es debido a que el estímulo vagal no se encuentra inhibido y puede sobrepasar a la respuesta simpática normal del shock, causando una baja en la frecuencia del pulso. </w:t>
      </w:r>
      <w:proofErr w:type="gramStart"/>
      <w:r w:rsidR="00A36A67" w:rsidRPr="00875935">
        <w:rPr>
          <w:rFonts w:ascii="Arial" w:hAnsi="Arial" w:cs="Arial"/>
          <w:bCs/>
          <w:color w:val="000000"/>
          <w:sz w:val="24"/>
          <w:szCs w:val="24"/>
        </w:rPr>
        <w:t>el</w:t>
      </w:r>
      <w:proofErr w:type="gramEnd"/>
      <w:r w:rsidR="00A36A67" w:rsidRPr="00875935">
        <w:rPr>
          <w:rFonts w:ascii="Arial" w:hAnsi="Arial" w:cs="Arial"/>
          <w:bCs/>
          <w:color w:val="000000"/>
          <w:sz w:val="24"/>
          <w:szCs w:val="24"/>
        </w:rPr>
        <w:t xml:space="preserve"> SNS tiene influencia directa en los vasos sanguíneos, corazón y pulmones, Fases del Shock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El reconocimiento del shock en una fase precoz implica reversibilidad y por lo tanto disminución de la morbimortalidad; se distinguen 3 estadios evolutivos de shock. </w:t>
      </w:r>
    </w:p>
    <w:p w:rsidR="00A36A67" w:rsidRPr="00875935" w:rsidRDefault="00A36A67" w:rsidP="00A36A67">
      <w:pPr>
        <w:rPr>
          <w:rFonts w:ascii="Arial" w:hAnsi="Arial" w:cs="Arial"/>
          <w:bCs/>
          <w:color w:val="000000"/>
          <w:sz w:val="24"/>
          <w:szCs w:val="24"/>
        </w:rPr>
      </w:pPr>
      <w:r w:rsidRPr="00875935">
        <w:rPr>
          <w:rFonts w:ascii="Arial" w:hAnsi="Arial" w:cs="Arial"/>
          <w:b/>
          <w:bCs/>
          <w:iCs/>
          <w:color w:val="000000"/>
          <w:sz w:val="24"/>
          <w:szCs w:val="24"/>
        </w:rPr>
        <w:t>Fase de shock compensado</w:t>
      </w:r>
      <w:r w:rsidRPr="00875935">
        <w:rPr>
          <w:rFonts w:ascii="Arial" w:hAnsi="Arial" w:cs="Arial"/>
          <w:b/>
          <w:bCs/>
          <w:color w:val="000000"/>
          <w:sz w:val="24"/>
          <w:szCs w:val="24"/>
        </w:rPr>
        <w:t>:</w:t>
      </w:r>
      <w:r w:rsidRPr="00875935">
        <w:rPr>
          <w:rFonts w:ascii="Arial" w:hAnsi="Arial" w:cs="Arial"/>
          <w:bCs/>
          <w:color w:val="000000"/>
          <w:sz w:val="24"/>
          <w:szCs w:val="24"/>
        </w:rPr>
        <w:t xml:space="preserve"> En una etapa inicial donde se ponen en marcha una serie de mecanismos que tratan de preservar las funciones de órganos vitales (corazón y sistema nervioso central) a expensas de una vasoconstricción de órganos no vitales (piel, músculos, riñón, área esplácnica).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También se intenta mantener el GC aumentando la frecuencia cardiaca y la contractilidad. El volumen efectivo intravascular se mantiene mediante el cierre arteriolar precapilar, con lo que se favorece la entrada de liquido desde el espacio intersticial al intravascular.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Desde el punto de vista clínico se aprecia desaparición progresiva de las venas de dorso de manos y pies, frialdad y palidez cutánea y sequedad de mucosas, debilidad muscular y oliguria. En esta fase la presión arterial suele estar dentro de los límites normales. Si en este momento se actúa enérgicamente contra la causa y se usa una terapia de soporte adecuada, el pronóstico será bueno. </w:t>
      </w:r>
    </w:p>
    <w:p w:rsidR="00A36A67" w:rsidRPr="00875935" w:rsidRDefault="00A36A67" w:rsidP="00A36A67">
      <w:pPr>
        <w:rPr>
          <w:rFonts w:ascii="Arial" w:hAnsi="Arial" w:cs="Arial"/>
          <w:bCs/>
          <w:color w:val="000000"/>
          <w:sz w:val="24"/>
          <w:szCs w:val="24"/>
        </w:rPr>
      </w:pPr>
      <w:r w:rsidRPr="00875935">
        <w:rPr>
          <w:rFonts w:ascii="Arial" w:hAnsi="Arial" w:cs="Arial"/>
          <w:b/>
          <w:bCs/>
          <w:iCs/>
          <w:color w:val="000000"/>
          <w:sz w:val="24"/>
          <w:szCs w:val="24"/>
        </w:rPr>
        <w:t>Fase de shock descompensado</w:t>
      </w:r>
      <w:r w:rsidRPr="00875935">
        <w:rPr>
          <w:rFonts w:ascii="Arial" w:hAnsi="Arial" w:cs="Arial"/>
          <w:bCs/>
          <w:color w:val="000000"/>
          <w:sz w:val="24"/>
          <w:szCs w:val="24"/>
        </w:rPr>
        <w:t xml:space="preserve">: Los mecanismos de compensación se ven sobrepasados. Empieza a disminuir el flujo a órganos vitales. Clínicamente existe hipotensión, deterioro del estado neurológico, pulsos periféricos débiles o ausentes, diuresis aún más disminuida, acidosis metabólica progresiva y pueden aparecer arritmias y alteraciones isquémicas en el ECG. </w:t>
      </w:r>
    </w:p>
    <w:p w:rsidR="00A36A67" w:rsidRDefault="00A36A67" w:rsidP="00A36A67">
      <w:pPr>
        <w:rPr>
          <w:rFonts w:ascii="Arial" w:hAnsi="Arial" w:cs="Arial"/>
          <w:bCs/>
          <w:color w:val="000000"/>
          <w:sz w:val="24"/>
          <w:szCs w:val="24"/>
        </w:rPr>
      </w:pPr>
      <w:r w:rsidRPr="00875935">
        <w:rPr>
          <w:rFonts w:ascii="Arial" w:hAnsi="Arial" w:cs="Arial"/>
          <w:b/>
          <w:bCs/>
          <w:iCs/>
          <w:color w:val="000000"/>
          <w:sz w:val="24"/>
          <w:szCs w:val="24"/>
        </w:rPr>
        <w:t>Fase de shock irreversible</w:t>
      </w:r>
      <w:r w:rsidRPr="00875935">
        <w:rPr>
          <w:rFonts w:ascii="Arial" w:hAnsi="Arial" w:cs="Arial"/>
          <w:b/>
          <w:bCs/>
          <w:color w:val="000000"/>
          <w:sz w:val="24"/>
          <w:szCs w:val="24"/>
        </w:rPr>
        <w:t>:</w:t>
      </w:r>
      <w:r w:rsidRPr="00875935">
        <w:rPr>
          <w:rFonts w:ascii="Arial" w:hAnsi="Arial" w:cs="Arial"/>
          <w:bCs/>
          <w:color w:val="000000"/>
          <w:sz w:val="24"/>
          <w:szCs w:val="24"/>
        </w:rPr>
        <w:t xml:space="preserve"> Si no se logra corregir el shock se entra finalmente en la fase irreversible en la que el paciente desarrolla un fallo multisistémico y muere. </w:t>
      </w:r>
    </w:p>
    <w:p w:rsidR="00875935" w:rsidRPr="00875935" w:rsidRDefault="00875935" w:rsidP="00875935">
      <w:pPr>
        <w:rPr>
          <w:rFonts w:ascii="Arial" w:hAnsi="Arial" w:cs="Arial"/>
          <w:b/>
          <w:bCs/>
          <w:color w:val="000000"/>
          <w:sz w:val="24"/>
          <w:szCs w:val="24"/>
        </w:rPr>
      </w:pPr>
      <w:r w:rsidRPr="00875935">
        <w:rPr>
          <w:rFonts w:ascii="Arial" w:hAnsi="Arial" w:cs="Arial"/>
          <w:b/>
          <w:bCs/>
          <w:color w:val="000000"/>
          <w:sz w:val="24"/>
          <w:szCs w:val="24"/>
        </w:rPr>
        <w:t xml:space="preserve">Patofisiologia del Shock Neurogenico </w:t>
      </w:r>
    </w:p>
    <w:p w:rsidR="00875935" w:rsidRPr="00875935" w:rsidRDefault="00875935" w:rsidP="00875935">
      <w:pPr>
        <w:rPr>
          <w:rFonts w:ascii="Arial" w:hAnsi="Arial" w:cs="Arial"/>
          <w:bCs/>
          <w:color w:val="000000"/>
          <w:sz w:val="24"/>
          <w:szCs w:val="24"/>
        </w:rPr>
      </w:pPr>
      <w:r w:rsidRPr="00875935">
        <w:rPr>
          <w:rFonts w:ascii="Arial" w:hAnsi="Arial" w:cs="Arial"/>
          <w:bCs/>
          <w:color w:val="000000"/>
          <w:sz w:val="24"/>
          <w:szCs w:val="24"/>
        </w:rPr>
        <w:t xml:space="preserve">Ruptura del sistema Nervioso Simpático </w:t>
      </w:r>
    </w:p>
    <w:p w:rsidR="00875935" w:rsidRPr="00875935" w:rsidRDefault="00875935" w:rsidP="00875935">
      <w:pPr>
        <w:rPr>
          <w:rFonts w:ascii="Arial" w:hAnsi="Arial" w:cs="Arial"/>
          <w:bCs/>
          <w:color w:val="000000"/>
          <w:sz w:val="24"/>
          <w:szCs w:val="24"/>
        </w:rPr>
      </w:pPr>
      <w:r w:rsidRPr="00875935">
        <w:rPr>
          <w:rFonts w:ascii="Arial" w:hAnsi="Arial" w:cs="Arial"/>
          <w:bCs/>
          <w:color w:val="000000"/>
          <w:sz w:val="24"/>
          <w:szCs w:val="24"/>
        </w:rPr>
        <w:t>Perdida del tono Simpático Vasodilatación venosa y arterial</w:t>
      </w:r>
    </w:p>
    <w:p w:rsidR="00875935" w:rsidRPr="00875935" w:rsidRDefault="00875935" w:rsidP="00875935">
      <w:pPr>
        <w:rPr>
          <w:rFonts w:ascii="Arial" w:hAnsi="Arial" w:cs="Arial"/>
          <w:bCs/>
          <w:color w:val="000000"/>
          <w:sz w:val="24"/>
          <w:szCs w:val="24"/>
        </w:rPr>
      </w:pPr>
      <w:r w:rsidRPr="00875935">
        <w:rPr>
          <w:rFonts w:ascii="Arial" w:hAnsi="Arial" w:cs="Arial"/>
          <w:bCs/>
          <w:color w:val="000000"/>
          <w:sz w:val="24"/>
          <w:szCs w:val="24"/>
        </w:rPr>
        <w:t xml:space="preserve"> Disminución del retorno venoso </w:t>
      </w:r>
    </w:p>
    <w:p w:rsidR="00875935" w:rsidRPr="00875935" w:rsidRDefault="00875935" w:rsidP="00875935">
      <w:pPr>
        <w:rPr>
          <w:rFonts w:ascii="Arial" w:hAnsi="Arial" w:cs="Arial"/>
          <w:bCs/>
          <w:color w:val="000000"/>
          <w:sz w:val="24"/>
          <w:szCs w:val="24"/>
        </w:rPr>
      </w:pPr>
      <w:r w:rsidRPr="00875935">
        <w:rPr>
          <w:rFonts w:ascii="Arial" w:hAnsi="Arial" w:cs="Arial"/>
          <w:bCs/>
          <w:color w:val="000000"/>
          <w:sz w:val="24"/>
          <w:szCs w:val="24"/>
        </w:rPr>
        <w:t>Disminución del volumen circulante</w:t>
      </w:r>
    </w:p>
    <w:p w:rsidR="00875935" w:rsidRPr="00875935" w:rsidRDefault="00875935" w:rsidP="00875935">
      <w:pPr>
        <w:rPr>
          <w:rFonts w:ascii="Arial" w:hAnsi="Arial" w:cs="Arial"/>
          <w:bCs/>
          <w:color w:val="000000"/>
          <w:sz w:val="24"/>
          <w:szCs w:val="24"/>
        </w:rPr>
      </w:pPr>
      <w:r w:rsidRPr="00875935">
        <w:rPr>
          <w:rFonts w:ascii="Arial" w:hAnsi="Arial" w:cs="Arial"/>
          <w:bCs/>
          <w:color w:val="000000"/>
          <w:sz w:val="24"/>
          <w:szCs w:val="24"/>
        </w:rPr>
        <w:lastRenderedPageBreak/>
        <w:t xml:space="preserve"> Disminución de gasto cardiaco</w:t>
      </w:r>
    </w:p>
    <w:p w:rsidR="00875935" w:rsidRPr="00875935" w:rsidRDefault="00875935" w:rsidP="00875935">
      <w:pPr>
        <w:rPr>
          <w:rFonts w:ascii="Arial" w:hAnsi="Arial" w:cs="Arial"/>
          <w:bCs/>
          <w:color w:val="000000"/>
          <w:sz w:val="24"/>
          <w:szCs w:val="24"/>
        </w:rPr>
      </w:pPr>
      <w:r w:rsidRPr="00875935">
        <w:rPr>
          <w:rFonts w:ascii="Arial" w:hAnsi="Arial" w:cs="Arial"/>
          <w:bCs/>
          <w:color w:val="000000"/>
          <w:sz w:val="24"/>
          <w:szCs w:val="24"/>
        </w:rPr>
        <w:t xml:space="preserve"> Disminución del suplemento de oxigeno celular </w:t>
      </w:r>
    </w:p>
    <w:p w:rsidR="00875935" w:rsidRPr="00875935" w:rsidRDefault="00875935" w:rsidP="00875935">
      <w:pPr>
        <w:rPr>
          <w:rFonts w:ascii="Arial" w:hAnsi="Arial" w:cs="Arial"/>
          <w:bCs/>
          <w:color w:val="000000"/>
          <w:sz w:val="24"/>
          <w:szCs w:val="24"/>
        </w:rPr>
      </w:pPr>
      <w:r w:rsidRPr="00875935">
        <w:rPr>
          <w:rFonts w:ascii="Arial" w:hAnsi="Arial" w:cs="Arial"/>
          <w:bCs/>
          <w:color w:val="000000"/>
          <w:sz w:val="24"/>
          <w:szCs w:val="24"/>
        </w:rPr>
        <w:t xml:space="preserve">Deterioro en la perfusión tisular </w:t>
      </w:r>
    </w:p>
    <w:p w:rsidR="00875935" w:rsidRPr="00875935" w:rsidRDefault="00875935" w:rsidP="00875935">
      <w:pPr>
        <w:rPr>
          <w:rFonts w:ascii="Arial" w:hAnsi="Arial" w:cs="Arial"/>
          <w:bCs/>
          <w:color w:val="000000"/>
          <w:sz w:val="24"/>
          <w:szCs w:val="24"/>
        </w:rPr>
      </w:pPr>
      <w:r w:rsidRPr="00875935">
        <w:rPr>
          <w:rFonts w:ascii="Arial" w:hAnsi="Arial" w:cs="Arial"/>
          <w:bCs/>
          <w:color w:val="000000"/>
          <w:sz w:val="24"/>
          <w:szCs w:val="24"/>
        </w:rPr>
        <w:t>Deterioro en el metabolismo celular</w:t>
      </w:r>
    </w:p>
    <w:p w:rsidR="00875935" w:rsidRDefault="00875935" w:rsidP="00875935">
      <w:pPr>
        <w:rPr>
          <w:rFonts w:ascii="Arial" w:hAnsi="Arial" w:cs="Arial"/>
          <w:bCs/>
          <w:color w:val="000000"/>
          <w:sz w:val="24"/>
          <w:szCs w:val="24"/>
        </w:rPr>
      </w:pPr>
      <w:r w:rsidRPr="00875935">
        <w:rPr>
          <w:rFonts w:ascii="Arial" w:hAnsi="Arial" w:cs="Arial"/>
          <w:bCs/>
          <w:color w:val="000000"/>
          <w:sz w:val="24"/>
          <w:szCs w:val="24"/>
        </w:rPr>
        <w:t xml:space="preserve">. Etiología </w:t>
      </w:r>
      <w:proofErr w:type="spellStart"/>
      <w:proofErr w:type="gramStart"/>
      <w:r w:rsidRPr="00875935">
        <w:rPr>
          <w:rFonts w:ascii="Arial" w:hAnsi="Arial" w:cs="Arial"/>
          <w:bCs/>
          <w:color w:val="000000"/>
          <w:sz w:val="24"/>
          <w:szCs w:val="24"/>
        </w:rPr>
        <w:t>mas</w:t>
      </w:r>
      <w:proofErr w:type="spellEnd"/>
      <w:proofErr w:type="gramEnd"/>
      <w:r w:rsidRPr="00875935">
        <w:rPr>
          <w:rFonts w:ascii="Arial" w:hAnsi="Arial" w:cs="Arial"/>
          <w:bCs/>
          <w:color w:val="000000"/>
          <w:sz w:val="24"/>
          <w:szCs w:val="24"/>
        </w:rPr>
        <w:t xml:space="preserve"> común: Daño Medular Espinal por arriba de T6 Shock Neurogenico </w:t>
      </w:r>
    </w:p>
    <w:p w:rsidR="00875935" w:rsidRPr="00875935" w:rsidRDefault="00875935" w:rsidP="00A36A67">
      <w:pPr>
        <w:rPr>
          <w:rFonts w:ascii="Arial" w:hAnsi="Arial" w:cs="Arial"/>
          <w:bCs/>
          <w:color w:val="000000"/>
          <w:sz w:val="24"/>
          <w:szCs w:val="24"/>
        </w:rPr>
      </w:pPr>
    </w:p>
    <w:p w:rsidR="00A36A67" w:rsidRPr="00F275A1" w:rsidRDefault="00F275A1" w:rsidP="00A36A67">
      <w:pPr>
        <w:rPr>
          <w:rFonts w:ascii="Arial" w:hAnsi="Arial" w:cs="Arial"/>
          <w:b/>
          <w:bCs/>
          <w:color w:val="000000"/>
          <w:sz w:val="24"/>
          <w:szCs w:val="24"/>
        </w:rPr>
      </w:pPr>
      <w:r w:rsidRPr="00F275A1">
        <w:rPr>
          <w:rFonts w:ascii="Arial" w:hAnsi="Arial" w:cs="Arial"/>
          <w:b/>
          <w:bCs/>
          <w:color w:val="000000"/>
          <w:sz w:val="24"/>
          <w:szCs w:val="24"/>
        </w:rPr>
        <w:t xml:space="preserve">CLÍNICA Y DIAGNOSTICO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Con respecto a la clínica, hay que tener en presente que no existe ningún signo o síntoma específico de shock. Por ejemplo, no debe excluirse el diagnóstico porque el paciente esté alerta y con un lenguaje coherente ni porque un determinado signo como taquicardia o hipotensión no esté presente (ésta no siempre se asocia a shock ni por el contrario el shock se asocia siempre a hipotensión).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En cualquier caso el diagnostico sindrómico de sospecha se basa en la existencia de: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1. Hipotensión arterial: Presión arterial media (PAM) &lt; 60mmHg o presión arterial sistólica (TAS) &lt; 90 mmHg o un descenso &gt; 40 mmHg de sus cifras habituales. Se debe usar la PAM ya que es permite una valoración menos sujeta a errores que la PAS.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2. Disfunción de órganos: oliguria, alteración del nivel de conciencia, dificultad respiratoria.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3. Signos de mala perfusión tisular: frialdad, livideces cutáneas, relleno capilar enlentecido, acidosis metabólica.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Además de la anamnesis y la exploración física donde es fundamental determinar la frecuencia cardiaca y respiratoria, temperatura cutánea y presión arterial, como ya hemos visto, existen una serie de pruebas complementarias de obligada realización: BH, DXTX, EGO, GA, Hemo y Urocultivo si se sospecha shock séptico. Otras exploraciones (TAC, ECO, gammagrafía pulmonar) en función de la sospecha etiológica.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Con el diagnóstico de presunción de shock se debe realizar la monitorización hemodinámica y metabólica del paciente mediante: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*El control de la FC: debe hacerse mediante monitorización electrocardiográfica continua, lo que facilitará además la detección de arritmias.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lastRenderedPageBreak/>
        <w:t xml:space="preserve">*La presión arterial: debe ser monitorizada de forma invasiva con un catéter arterial, ya que los métodos manuales son menos fiables en los pacientes con inestabilidad hemodinámica y vasoconstricción periférica. Por otra parte para la evaluación y toma de decisiones terapéuticas debe utilizarse la PAM como valor de referencia, pues a diferencia de la PAS, es la misma en todo el árbol arterial.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*La presión venosa central: se mide con un catéter situado en vena cava superior y permite una valoración aproximada del estado de volemia eficaz.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*Medición de la diuresis: colocación de una sonda de Foley es esencial en el manejo de los pacientes con shock para medición de la diuresis horaria.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*La pulsoximetría es un método útil para la monitorización de la saturación arterial de O2 (SaO2).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*Monitorización metabólica: medir la perfusión tisular inadecuada resulta complicado. La </w:t>
      </w:r>
      <w:r w:rsidR="00DE40E0" w:rsidRPr="00875935">
        <w:rPr>
          <w:rFonts w:ascii="Arial" w:hAnsi="Arial" w:cs="Arial"/>
          <w:bCs/>
          <w:color w:val="000000"/>
          <w:sz w:val="24"/>
          <w:szCs w:val="24"/>
        </w:rPr>
        <w:t xml:space="preserve"> </w:t>
      </w:r>
      <w:r w:rsidRPr="00875935">
        <w:rPr>
          <w:rFonts w:ascii="Arial" w:hAnsi="Arial" w:cs="Arial"/>
          <w:bCs/>
          <w:color w:val="000000"/>
          <w:sz w:val="24"/>
          <w:szCs w:val="24"/>
        </w:rPr>
        <w:t xml:space="preserve">medición de los niveles de lactato resulta tardía pero es importante ya que sus niveles se relacionan con la mortalidad. </w:t>
      </w:r>
    </w:p>
    <w:p w:rsidR="00A36A67" w:rsidRPr="00770719" w:rsidRDefault="00770719" w:rsidP="00A36A67">
      <w:pPr>
        <w:rPr>
          <w:rFonts w:ascii="Arial" w:hAnsi="Arial" w:cs="Arial"/>
          <w:b/>
          <w:bCs/>
          <w:color w:val="000000"/>
          <w:sz w:val="24"/>
          <w:szCs w:val="24"/>
        </w:rPr>
      </w:pPr>
      <w:r w:rsidRPr="00770719">
        <w:rPr>
          <w:rFonts w:ascii="Arial" w:hAnsi="Arial" w:cs="Arial"/>
          <w:b/>
          <w:bCs/>
          <w:color w:val="000000"/>
          <w:sz w:val="24"/>
          <w:szCs w:val="24"/>
        </w:rPr>
        <w:t>TRATAMIENTO</w:t>
      </w:r>
      <w:r w:rsidR="00A36A67" w:rsidRPr="00770719">
        <w:rPr>
          <w:rFonts w:ascii="Arial" w:hAnsi="Arial" w:cs="Arial"/>
          <w:b/>
          <w:bCs/>
          <w:color w:val="000000"/>
          <w:sz w:val="24"/>
          <w:szCs w:val="24"/>
        </w:rPr>
        <w:t xml:space="preserve">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Por ser el shock un proceso crítico que amenaza la vida del paciente, la actuación terapéutica debe ser inmediata, lo que supone en la mayoría de las ocasiones iniciar un tratamiento empírico. Y siempre guiada a corregir la fisiopatología del shock, que en este caso es la dilatación periférica de los vasos sanguíneos y sus subsecuentes complicaciones.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 Soporte Respiratorio: Al igual que en otras situaciones críticas la prioridad inicial en el shock es asegurar una correcta función respiratoria, lo que incluye mantener la permeabilidad de la vía aérea y una ventilación y oxigenación adecuadas. </w:t>
      </w:r>
    </w:p>
    <w:p w:rsidR="00A36A67" w:rsidRPr="00875935" w:rsidRDefault="00A36A67" w:rsidP="00A36A67">
      <w:pPr>
        <w:rPr>
          <w:rFonts w:ascii="Arial" w:hAnsi="Arial" w:cs="Arial"/>
          <w:bCs/>
          <w:color w:val="000000"/>
          <w:sz w:val="24"/>
          <w:szCs w:val="24"/>
        </w:rPr>
      </w:pP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Normalmente se usa la administración de O2 mediante mascarilla-bolsa-reservorio. Se empleará la intubación endotraqueal en casos de insuficiencia respiratoria severa (PaO2 &lt; 60 mmHg con o sin hipercapnia, taquipnea grave con aumento del trabajo respiratorio y/o alteración del nivel de conciencia (Glasgow &lt;8).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 Soporte Circulatorio: Una vez asegurada la función respiratoria hay que establecer un acceso venoso para la administración de fluidos y fármacos. Los angiocatéteres de grueso calibre (14G ó 16G) colocados en una vena periférica son más adecuados para una rápida reposición de la volemia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lastRenderedPageBreak/>
        <w:t xml:space="preserve">Si se administran fármacos vasoconstrictores es preciso utilizar siempre una vía central.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 Reposición de la volemia: Independientemente de la causa del shock, y si no existen signos de sobrecarga de volumen, es imprescindible restaurar el volumen circulante. </w:t>
      </w:r>
    </w:p>
    <w:p w:rsidR="00A36A67" w:rsidRPr="00875935" w:rsidRDefault="00A36A67" w:rsidP="00A36A67">
      <w:pPr>
        <w:rPr>
          <w:rFonts w:ascii="Arial" w:hAnsi="Arial" w:cs="Arial"/>
          <w:bCs/>
          <w:color w:val="000000"/>
          <w:sz w:val="24"/>
          <w:szCs w:val="24"/>
        </w:rPr>
      </w:pP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Para ello se pueden usar: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 Soluciones cristaloides: Se emplean habitualmente las soluciones salina fisiológica (ClNa 0,9%) y el Ringer Lactato. Son soluciones baratas, pero con algún efecto secundario, ya que rápidamente difunden al espacio extravascular, por ello se requieren grandes volúmenes para conseguir una volemia adecuada. </w:t>
      </w:r>
    </w:p>
    <w:p w:rsidR="00A36A67" w:rsidRPr="00875935" w:rsidRDefault="00A36A67" w:rsidP="00A36A67">
      <w:pPr>
        <w:rPr>
          <w:rFonts w:ascii="Arial" w:hAnsi="Arial" w:cs="Arial"/>
          <w:bCs/>
          <w:color w:val="000000"/>
          <w:sz w:val="24"/>
          <w:szCs w:val="24"/>
        </w:rPr>
      </w:pP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 Soluciones coloides: Su ventaja es que expanden la volemia con un menor aporte. El coloide natural por excelencia es la albúmina. Sin embargo las soluciones coloides </w:t>
      </w:r>
      <w:proofErr w:type="spellStart"/>
      <w:r w:rsidRPr="00875935">
        <w:rPr>
          <w:rFonts w:ascii="Arial" w:hAnsi="Arial" w:cs="Arial"/>
          <w:bCs/>
          <w:color w:val="000000"/>
          <w:sz w:val="24"/>
          <w:szCs w:val="24"/>
        </w:rPr>
        <w:t>mas</w:t>
      </w:r>
      <w:proofErr w:type="spellEnd"/>
      <w:r w:rsidRPr="00875935">
        <w:rPr>
          <w:rFonts w:ascii="Arial" w:hAnsi="Arial" w:cs="Arial"/>
          <w:bCs/>
          <w:color w:val="000000"/>
          <w:sz w:val="24"/>
          <w:szCs w:val="24"/>
        </w:rPr>
        <w:t xml:space="preserve"> empleadas son sintéticas: Dextranos: son polisacáridos de alto peso molecular (PM), formados por polímeros de glucosa. Se comercializan en dos formas: dextrano-70 y dextrano-40.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Los principales inconvenientes de los dextranos son su capacidad antigénica, por lo que pueden provocar reacciones anafilácticas severas gelatinas: Son compuestos obtenidos de la hidrólisis del colágeno bovino; producen una expansión de volumen del 80-100% de la cantidad infundida.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Almidones: Son derivados sintéticos de la amilopectina; son muy buenos expansores y producen una expansión volémica de un 150% del volumen infundido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 Fármacos cardiovasculares: Son los fármacos más empleados en la actualidad en el tratamiento del shock. Se dividen en dos grupos: fármacos que actúan sobre el inotropismo cardiaco y fármacos que actúan sobre las resistencias vasculares. Sin embargo la mayoría de ellos tienen ambos efectos dependiendo de la dosis empleada y todos se administran en perfusión continua: </w:t>
      </w:r>
    </w:p>
    <w:p w:rsidR="00A36A67" w:rsidRPr="00875935" w:rsidRDefault="00A36A67" w:rsidP="00A36A67">
      <w:pPr>
        <w:rPr>
          <w:rFonts w:ascii="Arial" w:hAnsi="Arial" w:cs="Arial"/>
          <w:bCs/>
          <w:color w:val="000000"/>
          <w:sz w:val="24"/>
          <w:szCs w:val="24"/>
        </w:rPr>
      </w:pPr>
      <w:r w:rsidRPr="00E42C3C">
        <w:rPr>
          <w:rFonts w:ascii="Arial" w:hAnsi="Arial" w:cs="Arial"/>
          <w:b/>
          <w:bCs/>
          <w:color w:val="000000"/>
          <w:sz w:val="24"/>
          <w:szCs w:val="24"/>
        </w:rPr>
        <w:t>Medicamentos</w:t>
      </w:r>
      <w:r w:rsidRPr="00875935">
        <w:rPr>
          <w:rFonts w:ascii="Arial" w:hAnsi="Arial" w:cs="Arial"/>
          <w:bCs/>
          <w:color w:val="000000"/>
          <w:sz w:val="24"/>
          <w:szCs w:val="24"/>
        </w:rPr>
        <w:t xml:space="preserve">: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a. Adrenalina: Es una catecolamina endógena que actúa sobre los receptores adrenérgicos alfa-1 y alfa-2 y beta-1 y beta-2. Su acción es dosis dependiente; por debajo de 0,02 mcg/Kg/min tiene un efecto predominantemente beta, produce vasodilatación sistémica y aumenta la frecuencia y el gasto cardiaco con poco </w:t>
      </w:r>
      <w:r w:rsidRPr="00875935">
        <w:rPr>
          <w:rFonts w:ascii="Arial" w:hAnsi="Arial" w:cs="Arial"/>
          <w:bCs/>
          <w:color w:val="000000"/>
          <w:sz w:val="24"/>
          <w:szCs w:val="24"/>
        </w:rPr>
        <w:lastRenderedPageBreak/>
        <w:t xml:space="preserve">efecto sobre la presión arterial, a dosis superiores tiene un efecto predominantemente alfa y produce vasoconstricción importante.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b. Noradrenalina: Al igual que la adrenalina tiene efecto beta-1 a dosis bajas, pero a las dosis empleadas habitualmente tiene un potente efecto alfa-1, produciendo una vasoconstricción que es especialmente útil para elevar la PA. </w:t>
      </w:r>
    </w:p>
    <w:p w:rsidR="00A36A67" w:rsidRPr="00875935" w:rsidRDefault="00A36A67" w:rsidP="00A36A67">
      <w:pPr>
        <w:rPr>
          <w:rFonts w:ascii="Arial" w:hAnsi="Arial" w:cs="Arial"/>
          <w:bCs/>
          <w:color w:val="000000"/>
          <w:sz w:val="24"/>
          <w:szCs w:val="24"/>
        </w:rPr>
      </w:pPr>
      <w:r w:rsidRPr="00875935">
        <w:rPr>
          <w:rFonts w:ascii="Arial" w:hAnsi="Arial" w:cs="Arial"/>
          <w:bCs/>
          <w:color w:val="000000"/>
          <w:sz w:val="24"/>
          <w:szCs w:val="24"/>
        </w:rPr>
        <w:t xml:space="preserve">c. Dopamina: Es un precursor de la noradrenalina, también tiene acción mixta y dosis dependiente: por debajo de 4 mcg/Kg/min tiene efecto sobre los receptores dopaminérgicos, favoreciendo la perfusión renal, (aumentando la diuresis) esplácnica, coronaria y cerebral, entre 4 y 10 mcg/Kg/min su acción es predominantemente beta y por encima de 10 mcg/Kg/min tiene un predominio alfa produciendo vasoconstricción con aumento de la presión arterial. </w:t>
      </w:r>
    </w:p>
    <w:p w:rsidR="00A36A67" w:rsidRPr="00875935" w:rsidRDefault="00A36A67" w:rsidP="00A36A67">
      <w:pPr>
        <w:rPr>
          <w:rFonts w:ascii="Arial" w:hAnsi="Arial" w:cs="Arial"/>
          <w:bCs/>
          <w:color w:val="000000"/>
          <w:sz w:val="24"/>
          <w:szCs w:val="24"/>
          <w:lang w:val="en-US"/>
        </w:rPr>
      </w:pPr>
      <w:r w:rsidRPr="00875935">
        <w:rPr>
          <w:rFonts w:ascii="Arial" w:hAnsi="Arial" w:cs="Arial"/>
          <w:bCs/>
          <w:color w:val="000000"/>
          <w:sz w:val="24"/>
          <w:szCs w:val="24"/>
        </w:rPr>
        <w:t xml:space="preserve">d. Dobutamina: Es una catecolamina sintética que actúa sobre los receptores beta-1 y beta-2, aumenta la contractilidad miocárdica, elevando el GC y por su efecto beta-2 disminuye ligeramente las RVS. </w:t>
      </w:r>
      <w:r w:rsidRPr="00875935">
        <w:rPr>
          <w:rFonts w:ascii="Arial" w:hAnsi="Arial" w:cs="Arial"/>
          <w:bCs/>
          <w:color w:val="000000"/>
          <w:sz w:val="24"/>
          <w:szCs w:val="24"/>
          <w:lang w:val="en-US"/>
        </w:rPr>
        <w:t xml:space="preserve">No modifica la presión arterial. </w:t>
      </w:r>
    </w:p>
    <w:p w:rsidR="00A36A67" w:rsidRDefault="00A36A67"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Default="00E42C3C" w:rsidP="00A36A67">
      <w:pPr>
        <w:rPr>
          <w:rFonts w:ascii="Arial" w:hAnsi="Arial" w:cs="Arial"/>
          <w:b/>
          <w:bCs/>
          <w:color w:val="000000"/>
          <w:sz w:val="24"/>
          <w:szCs w:val="24"/>
          <w:lang w:val="en-US"/>
        </w:rPr>
      </w:pPr>
    </w:p>
    <w:p w:rsidR="00E42C3C" w:rsidRPr="00875935" w:rsidRDefault="00E42C3C" w:rsidP="00A36A67">
      <w:pPr>
        <w:rPr>
          <w:rFonts w:ascii="Arial" w:hAnsi="Arial" w:cs="Arial"/>
          <w:b/>
          <w:bCs/>
          <w:color w:val="000000"/>
          <w:sz w:val="24"/>
          <w:szCs w:val="24"/>
          <w:lang w:val="en-US"/>
        </w:rPr>
      </w:pPr>
    </w:p>
    <w:p w:rsidR="00DD353A" w:rsidRPr="00875935" w:rsidRDefault="00DD353A" w:rsidP="00DD353A">
      <w:pPr>
        <w:rPr>
          <w:rFonts w:ascii="Arial" w:hAnsi="Arial" w:cs="Arial"/>
          <w:b/>
          <w:bCs/>
          <w:color w:val="000000"/>
          <w:sz w:val="24"/>
          <w:szCs w:val="24"/>
          <w:lang w:val="en-US"/>
        </w:rPr>
      </w:pPr>
    </w:p>
    <w:p w:rsidR="00DD353A" w:rsidRPr="00875935" w:rsidRDefault="00DD353A" w:rsidP="00DD353A">
      <w:pPr>
        <w:rPr>
          <w:rFonts w:ascii="Arial" w:hAnsi="Arial" w:cs="Arial"/>
          <w:b/>
          <w:bCs/>
          <w:color w:val="000000"/>
          <w:sz w:val="24"/>
          <w:szCs w:val="24"/>
          <w:lang w:val="en-US"/>
        </w:rPr>
      </w:pPr>
      <w:bookmarkStart w:id="0" w:name="_GoBack"/>
      <w:bookmarkEnd w:id="0"/>
    </w:p>
    <w:sectPr w:rsidR="00DD353A" w:rsidRPr="00875935" w:rsidSect="008759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338E7"/>
    <w:multiLevelType w:val="hybridMultilevel"/>
    <w:tmpl w:val="63C2895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
    <w:nsid w:val="57A924B9"/>
    <w:multiLevelType w:val="hybridMultilevel"/>
    <w:tmpl w:val="DC902A1E"/>
    <w:lvl w:ilvl="0" w:tplc="400A0001">
      <w:start w:val="1"/>
      <w:numFmt w:val="bullet"/>
      <w:lvlText w:val=""/>
      <w:lvlJc w:val="left"/>
      <w:pPr>
        <w:ind w:left="501"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655671AB"/>
    <w:multiLevelType w:val="hybridMultilevel"/>
    <w:tmpl w:val="1AA48C32"/>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nsid w:val="74727765"/>
    <w:multiLevelType w:val="hybridMultilevel"/>
    <w:tmpl w:val="5CBE5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A67"/>
    <w:rsid w:val="000047BC"/>
    <w:rsid w:val="00103C7C"/>
    <w:rsid w:val="00207F72"/>
    <w:rsid w:val="00226DB6"/>
    <w:rsid w:val="00256DE7"/>
    <w:rsid w:val="00534F30"/>
    <w:rsid w:val="00540C0E"/>
    <w:rsid w:val="005B5446"/>
    <w:rsid w:val="005D084E"/>
    <w:rsid w:val="00770719"/>
    <w:rsid w:val="00875935"/>
    <w:rsid w:val="009213F3"/>
    <w:rsid w:val="00A36A67"/>
    <w:rsid w:val="00AD26C8"/>
    <w:rsid w:val="00B15746"/>
    <w:rsid w:val="00B922CC"/>
    <w:rsid w:val="00C906EA"/>
    <w:rsid w:val="00DD353A"/>
    <w:rsid w:val="00DE40E0"/>
    <w:rsid w:val="00E42C3C"/>
    <w:rsid w:val="00EF6DB6"/>
    <w:rsid w:val="00F275A1"/>
    <w:rsid w:val="00FC581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36A67"/>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DD353A"/>
    <w:rPr>
      <w:color w:val="0000FF" w:themeColor="hyperlink"/>
      <w:u w:val="single"/>
    </w:rPr>
  </w:style>
  <w:style w:type="paragraph" w:styleId="Textodeglobo">
    <w:name w:val="Balloon Text"/>
    <w:basedOn w:val="Normal"/>
    <w:link w:val="TextodegloboCar"/>
    <w:uiPriority w:val="99"/>
    <w:semiHidden/>
    <w:unhideWhenUsed/>
    <w:rsid w:val="005D084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084E"/>
    <w:rPr>
      <w:rFonts w:ascii="Tahoma" w:hAnsi="Tahoma" w:cs="Tahoma"/>
      <w:sz w:val="16"/>
      <w:szCs w:val="16"/>
    </w:rPr>
  </w:style>
  <w:style w:type="table" w:customStyle="1" w:styleId="Tablaconcuadrcula1">
    <w:name w:val="Tabla con cuadrícula1"/>
    <w:basedOn w:val="Tablanormal"/>
    <w:next w:val="Tablaconcuadrcula"/>
    <w:rsid w:val="00103C7C"/>
    <w:pPr>
      <w:spacing w:after="0" w:line="240" w:lineRule="auto"/>
    </w:pPr>
    <w:rPr>
      <w:rFonts w:ascii="Times New Roman" w:eastAsia="Times New Roman" w:hAnsi="Times New Roman" w:cs="Times New Roman"/>
      <w:sz w:val="20"/>
      <w:szCs w:val="20"/>
      <w:lang w:val="es-PE" w:eastAsia="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aconcuadrcula">
    <w:name w:val="Table Grid"/>
    <w:basedOn w:val="Tablanormal"/>
    <w:uiPriority w:val="59"/>
    <w:rsid w:val="00103C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103C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36A67"/>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DD353A"/>
    <w:rPr>
      <w:color w:val="0000FF" w:themeColor="hyperlink"/>
      <w:u w:val="single"/>
    </w:rPr>
  </w:style>
  <w:style w:type="paragraph" w:styleId="Textodeglobo">
    <w:name w:val="Balloon Text"/>
    <w:basedOn w:val="Normal"/>
    <w:link w:val="TextodegloboCar"/>
    <w:uiPriority w:val="99"/>
    <w:semiHidden/>
    <w:unhideWhenUsed/>
    <w:rsid w:val="005D084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084E"/>
    <w:rPr>
      <w:rFonts w:ascii="Tahoma" w:hAnsi="Tahoma" w:cs="Tahoma"/>
      <w:sz w:val="16"/>
      <w:szCs w:val="16"/>
    </w:rPr>
  </w:style>
  <w:style w:type="table" w:customStyle="1" w:styleId="Tablaconcuadrcula1">
    <w:name w:val="Tabla con cuadrícula1"/>
    <w:basedOn w:val="Tablanormal"/>
    <w:next w:val="Tablaconcuadrcula"/>
    <w:rsid w:val="00103C7C"/>
    <w:pPr>
      <w:spacing w:after="0" w:line="240" w:lineRule="auto"/>
    </w:pPr>
    <w:rPr>
      <w:rFonts w:ascii="Times New Roman" w:eastAsia="Times New Roman" w:hAnsi="Times New Roman" w:cs="Times New Roman"/>
      <w:sz w:val="20"/>
      <w:szCs w:val="20"/>
      <w:lang w:val="es-PE" w:eastAsia="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aconcuadrcula">
    <w:name w:val="Table Grid"/>
    <w:basedOn w:val="Tablanormal"/>
    <w:uiPriority w:val="59"/>
    <w:rsid w:val="00103C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103C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7F2942-FF32-4D1D-BE22-A5C3E4A78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8</Pages>
  <Words>2161</Words>
  <Characters>11886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xp</cp:lastModifiedBy>
  <cp:revision>12</cp:revision>
  <cp:lastPrinted>2014-04-03T15:55:00Z</cp:lastPrinted>
  <dcterms:created xsi:type="dcterms:W3CDTF">2014-04-03T15:05:00Z</dcterms:created>
  <dcterms:modified xsi:type="dcterms:W3CDTF">2014-04-04T14:22:00Z</dcterms:modified>
</cp:coreProperties>
</file>