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C1" w:rsidRPr="00AC47C1" w:rsidRDefault="00AC47C1" w:rsidP="00AC47C1">
      <w:pPr>
        <w:pStyle w:val="Sinespaciado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47C1">
        <w:rPr>
          <w:rFonts w:ascii="Times New Roman" w:hAnsi="Times New Roman" w:cs="Times New Roman"/>
          <w:b/>
          <w:sz w:val="28"/>
          <w:szCs w:val="28"/>
        </w:rPr>
        <w:t>SÍNDROME DE GUILLAIN BARRÉ</w:t>
      </w:r>
    </w:p>
    <w:p w:rsidR="00F935D9" w:rsidRDefault="00F0351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El Síndrome de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Guillain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Barré, también conocido como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polineuropatía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desmielinizante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inflamatoria aguda, es un trastorno que puede atacar a cualquier persona sin importar el sexo, la edad ni el estado económico. Su principal característica es que empieza con debilidad en las extremidades y una</w:t>
      </w:r>
      <w:r w:rsidR="00F3433C">
        <w:rPr>
          <w:rFonts w:ascii="Times New Roman" w:hAnsi="Times New Roman" w:cs="Times New Roman"/>
          <w:sz w:val="28"/>
          <w:szCs w:val="28"/>
        </w:rPr>
        <w:t xml:space="preserve"> parálisis tipo ascendente</w:t>
      </w:r>
      <w:r w:rsidRPr="007C2D3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C47C1" w:rsidRPr="007C2D35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EE4CCC" w:rsidP="00AC47C1">
      <w:pPr>
        <w:pStyle w:val="Sinespaciado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</w:t>
      </w:r>
      <w:r w:rsidR="007C7463">
        <w:rPr>
          <w:rFonts w:ascii="Times New Roman" w:hAnsi="Times New Roman" w:cs="Times New Roman"/>
          <w:b/>
          <w:sz w:val="28"/>
          <w:szCs w:val="28"/>
        </w:rPr>
        <w:t xml:space="preserve">tiológicos </w:t>
      </w:r>
      <w:r w:rsidR="007C7463" w:rsidRPr="007C2D35">
        <w:rPr>
          <w:rFonts w:ascii="Times New Roman" w:hAnsi="Times New Roman" w:cs="Times New Roman"/>
          <w:b/>
          <w:sz w:val="28"/>
          <w:szCs w:val="28"/>
        </w:rPr>
        <w:t xml:space="preserve">del Síndrome de </w:t>
      </w:r>
      <w:proofErr w:type="spellStart"/>
      <w:r w:rsidR="007C7463" w:rsidRPr="007C2D35">
        <w:rPr>
          <w:rFonts w:ascii="Times New Roman" w:hAnsi="Times New Roman" w:cs="Times New Roman"/>
          <w:b/>
          <w:sz w:val="28"/>
          <w:szCs w:val="28"/>
        </w:rPr>
        <w:t>Guillain</w:t>
      </w:r>
      <w:proofErr w:type="spellEnd"/>
      <w:r w:rsidR="007C7463" w:rsidRPr="007C2D35">
        <w:rPr>
          <w:rFonts w:ascii="Times New Roman" w:hAnsi="Times New Roman" w:cs="Times New Roman"/>
          <w:b/>
          <w:sz w:val="28"/>
          <w:szCs w:val="28"/>
        </w:rPr>
        <w:t xml:space="preserve"> Barré.</w:t>
      </w:r>
    </w:p>
    <w:p w:rsidR="00AC47C1" w:rsidRDefault="00EE4CCC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C7463" w:rsidRPr="007C2D35">
        <w:rPr>
          <w:rFonts w:ascii="Times New Roman" w:hAnsi="Times New Roman" w:cs="Times New Roman"/>
          <w:sz w:val="28"/>
          <w:szCs w:val="28"/>
        </w:rPr>
        <w:t>e conoce hasta ahora</w:t>
      </w:r>
      <w:r w:rsidR="00AC47C1">
        <w:rPr>
          <w:rFonts w:ascii="Times New Roman" w:hAnsi="Times New Roman" w:cs="Times New Roman"/>
          <w:sz w:val="28"/>
          <w:szCs w:val="28"/>
        </w:rPr>
        <w:t xml:space="preserve"> es que el sistema inmunológico. </w:t>
      </w:r>
      <w:r w:rsidR="007C7463" w:rsidRPr="007C2D35">
        <w:rPr>
          <w:rFonts w:ascii="Times New Roman" w:hAnsi="Times New Roman" w:cs="Times New Roman"/>
          <w:sz w:val="28"/>
          <w:szCs w:val="28"/>
        </w:rPr>
        <w:t>Estos sucesos se manifiestan de</w:t>
      </w:r>
      <w:r w:rsidR="00AC47C1">
        <w:rPr>
          <w:rFonts w:ascii="Times New Roman" w:hAnsi="Times New Roman" w:cs="Times New Roman"/>
          <w:sz w:val="28"/>
          <w:szCs w:val="28"/>
        </w:rPr>
        <w:t xml:space="preserve"> 1 a 3 semanas, aproximadamente.</w:t>
      </w:r>
      <w:r w:rsidR="007C7463" w:rsidRPr="007C2D35">
        <w:rPr>
          <w:rFonts w:ascii="Times New Roman" w:hAnsi="Times New Roman" w:cs="Times New Roman"/>
          <w:sz w:val="28"/>
          <w:szCs w:val="28"/>
        </w:rPr>
        <w:t xml:space="preserve"> Sin embargo, dentro de las infecciones que se relacionan con el SGB, se incluyen el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citomegalovirus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, virus de Epstein- Bar, virus de varicela zóster, hepatitis A y B, VIH,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Mycoplasma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pneumoniae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Haemophilus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influenzae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. El microorganismo bacteriano que se ha identificado en la mayoría de los casos de esta enfermedad es el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Campylobacter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463" w:rsidRPr="007C2D35">
        <w:rPr>
          <w:rFonts w:ascii="Times New Roman" w:hAnsi="Times New Roman" w:cs="Times New Roman"/>
          <w:sz w:val="28"/>
          <w:szCs w:val="28"/>
        </w:rPr>
        <w:t>jejuni</w:t>
      </w:r>
      <w:proofErr w:type="spellEnd"/>
      <w:r w:rsidR="007C7463" w:rsidRPr="007C2D35">
        <w:rPr>
          <w:rFonts w:ascii="Times New Roman" w:hAnsi="Times New Roman" w:cs="Times New Roman"/>
          <w:sz w:val="28"/>
          <w:szCs w:val="28"/>
        </w:rPr>
        <w:t xml:space="preserve">, el cual es un bacilo gramnegativo  causante de la enteritis bacteriana. </w:t>
      </w:r>
    </w:p>
    <w:p w:rsidR="00AC47C1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>Fisiopatología.</w:t>
      </w:r>
    </w:p>
    <w:p w:rsidR="007C7463" w:rsidRPr="007C2D35" w:rsidRDefault="008D32AC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7C7463" w:rsidRPr="007C2D35">
        <w:rPr>
          <w:rFonts w:ascii="Times New Roman" w:hAnsi="Times New Roman" w:cs="Times New Roman"/>
          <w:sz w:val="28"/>
          <w:szCs w:val="28"/>
        </w:rPr>
        <w:t xml:space="preserve">e desconoce el origen de esta enfermedad. </w:t>
      </w:r>
      <w:r w:rsidR="00EE4CCC">
        <w:rPr>
          <w:rFonts w:ascii="Times New Roman" w:hAnsi="Times New Roman" w:cs="Times New Roman"/>
          <w:sz w:val="28"/>
          <w:szCs w:val="28"/>
        </w:rPr>
        <w:t xml:space="preserve"> Se dice</w:t>
      </w:r>
      <w:r w:rsidR="007C7463" w:rsidRPr="007C2D35">
        <w:rPr>
          <w:rFonts w:ascii="Times New Roman" w:hAnsi="Times New Roman" w:cs="Times New Roman"/>
          <w:sz w:val="28"/>
          <w:szCs w:val="28"/>
        </w:rPr>
        <w:t xml:space="preserve"> de haber padecido un cuadro infeccioso viral de las vías respiratorias o sistema </w:t>
      </w:r>
      <w:r>
        <w:rPr>
          <w:rFonts w:ascii="Times New Roman" w:hAnsi="Times New Roman" w:cs="Times New Roman"/>
          <w:sz w:val="28"/>
          <w:szCs w:val="28"/>
        </w:rPr>
        <w:t>gastrointestinal.</w:t>
      </w:r>
      <w:r w:rsidR="0030119E">
        <w:rPr>
          <w:rFonts w:ascii="Times New Roman" w:hAnsi="Times New Roman" w:cs="Times New Roman"/>
          <w:sz w:val="28"/>
          <w:szCs w:val="28"/>
        </w:rPr>
        <w:t xml:space="preserve"> P</w:t>
      </w:r>
      <w:r w:rsidR="007C7463" w:rsidRPr="007C2D35">
        <w:rPr>
          <w:rFonts w:ascii="Times New Roman" w:hAnsi="Times New Roman" w:cs="Times New Roman"/>
          <w:sz w:val="28"/>
          <w:szCs w:val="28"/>
        </w:rPr>
        <w:t xml:space="preserve">or un mecanismo de mimetismo molecular afecta la mielina </w:t>
      </w:r>
      <w:r w:rsidR="0030119E">
        <w:rPr>
          <w:rFonts w:ascii="Times New Roman" w:hAnsi="Times New Roman" w:cs="Times New Roman"/>
          <w:sz w:val="28"/>
          <w:szCs w:val="28"/>
        </w:rPr>
        <w:t>del SNP: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-Destrucción de la mielina de pares craneales y nervios periféricos por causada inmunológicamente. 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-Daño en la mielina, mediado humoralmente.</w:t>
      </w:r>
    </w:p>
    <w:p w:rsidR="007C7463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-Daño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axonal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variable, el cual se relacionar</w:t>
      </w:r>
      <w:r w:rsidR="0030119E">
        <w:rPr>
          <w:rFonts w:ascii="Times New Roman" w:hAnsi="Times New Roman" w:cs="Times New Roman"/>
          <w:sz w:val="28"/>
          <w:szCs w:val="28"/>
        </w:rPr>
        <w:t>a con el grado de recuperación.</w:t>
      </w:r>
    </w:p>
    <w:p w:rsidR="00AC47C1" w:rsidRPr="0030119E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C2D35">
        <w:rPr>
          <w:rFonts w:ascii="Times New Roman" w:hAnsi="Times New Roman" w:cs="Times New Roman"/>
          <w:b/>
          <w:sz w:val="28"/>
          <w:szCs w:val="28"/>
        </w:rPr>
        <w:t>Patogénesis.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En el SGB el sistema inmunológico tiene gran importancia, ya que es el que desencadena los padecimientos durante la enfermedad. Al presentarse una infección en el organismo por vías respiratorias o de tipo gastrointestinal, el sistema inmunológico forma anticuerpos los </w:t>
      </w:r>
      <w:r w:rsidRPr="007C2D35">
        <w:rPr>
          <w:rFonts w:ascii="Times New Roman" w:hAnsi="Times New Roman" w:cs="Times New Roman"/>
          <w:sz w:val="28"/>
          <w:szCs w:val="28"/>
        </w:rPr>
        <w:lastRenderedPageBreak/>
        <w:t>cuales atacaran a los agentes infecciosos que</w:t>
      </w:r>
      <w:r w:rsidR="0030119E">
        <w:rPr>
          <w:rFonts w:ascii="Times New Roman" w:hAnsi="Times New Roman" w:cs="Times New Roman"/>
          <w:sz w:val="28"/>
          <w:szCs w:val="28"/>
        </w:rPr>
        <w:t xml:space="preserve"> se encuentren en el organismo, </w:t>
      </w:r>
      <w:r w:rsidRPr="007C2D35">
        <w:rPr>
          <w:rFonts w:ascii="Times New Roman" w:hAnsi="Times New Roman" w:cs="Times New Roman"/>
          <w:sz w:val="28"/>
          <w:szCs w:val="28"/>
        </w:rPr>
        <w:t xml:space="preserve">es posible que cambie la naturaleza de las células en el sistema nervioso por lo que el sistema inmunológico las reconoce como células extrañas. También es </w:t>
      </w:r>
      <w:r w:rsidR="0030119E">
        <w:rPr>
          <w:rFonts w:ascii="Times New Roman" w:hAnsi="Times New Roman" w:cs="Times New Roman"/>
          <w:sz w:val="28"/>
          <w:szCs w:val="28"/>
        </w:rPr>
        <w:t>posible que el virus hace su</w:t>
      </w:r>
      <w:r w:rsidRPr="007C2D35">
        <w:rPr>
          <w:rFonts w:ascii="Times New Roman" w:hAnsi="Times New Roman" w:cs="Times New Roman"/>
          <w:sz w:val="28"/>
          <w:szCs w:val="28"/>
        </w:rPr>
        <w:t xml:space="preserve"> propio sistema inmunológico sea menos discriminador permitiendo a algunas células inmunológicas com</w:t>
      </w:r>
      <w:r w:rsidR="0030119E">
        <w:rPr>
          <w:rFonts w:ascii="Times New Roman" w:hAnsi="Times New Roman" w:cs="Times New Roman"/>
          <w:sz w:val="28"/>
          <w:szCs w:val="28"/>
        </w:rPr>
        <w:t>o ciertas clases de linfocitos.</w:t>
      </w:r>
    </w:p>
    <w:p w:rsidR="00286F52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El sistema inmunológico del cuerpo empieza a atacar al cuerpo mismo, esto es conocido co</w:t>
      </w:r>
      <w:r w:rsidR="0030119E">
        <w:rPr>
          <w:rFonts w:ascii="Times New Roman" w:hAnsi="Times New Roman" w:cs="Times New Roman"/>
          <w:sz w:val="28"/>
          <w:szCs w:val="28"/>
        </w:rPr>
        <w:t xml:space="preserve">mo enfermedad </w:t>
      </w:r>
      <w:proofErr w:type="spellStart"/>
      <w:r w:rsidR="0030119E">
        <w:rPr>
          <w:rFonts w:ascii="Times New Roman" w:hAnsi="Times New Roman" w:cs="Times New Roman"/>
          <w:sz w:val="28"/>
          <w:szCs w:val="28"/>
        </w:rPr>
        <w:t>autoinmunológica</w:t>
      </w:r>
      <w:proofErr w:type="spellEnd"/>
      <w:r w:rsidR="0030119E">
        <w:rPr>
          <w:rFonts w:ascii="Times New Roman" w:hAnsi="Times New Roman" w:cs="Times New Roman"/>
          <w:sz w:val="28"/>
          <w:szCs w:val="28"/>
        </w:rPr>
        <w:t xml:space="preserve">, </w:t>
      </w:r>
      <w:r w:rsidRPr="007C2D35">
        <w:rPr>
          <w:rFonts w:ascii="Times New Roman" w:hAnsi="Times New Roman" w:cs="Times New Roman"/>
          <w:sz w:val="28"/>
          <w:szCs w:val="28"/>
        </w:rPr>
        <w:t>el sistema inmunológico comienza a destruir la cobertura de la mielina que rodea a los axones de muchos nervios periféricos, o incluso a los propios axones. Como consecuencia del daño ocasionado en el recubrimiento de mielina en los nervios periféricos que ahora se han lesionado o afectados, los nervios no pueden transmitir señales eficazmente. Esto provoca que el musculo se atrofie, y comience a perder su capacidad de responder a los mensajes del cerebro, los cuales han de transportarse a través de la red nerviosa, el cerebro a su vez, recibe menos señales sensoriales del resto del cuerpo, resultando en una incapacidad de sentir las texturas, el calor, el dolor y otras sensaciones. Lo único que llega a percibir son señales inapropiadas que se presentan en parestesias de la piel o en sensaciones dolorosas. Debido a que las señales que deben recorrer brazos y piernas son de mayor longitud, son las más vulnerables a una interrupción. Esta es la razón por la cual se presentan las parestesias o sensaciones de dolor en primer lugar en las manos y en los pies al principio de la enfermedad, y empezando ahí van ascendiendo.</w:t>
      </w:r>
    </w:p>
    <w:p w:rsidR="00AC47C1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>Cuadro clínico.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El SGB daña parte de los nervios el paciente presente parestesias, debilidad muscular </w:t>
      </w:r>
      <w:r w:rsidR="00A47311">
        <w:rPr>
          <w:rFonts w:ascii="Times New Roman" w:hAnsi="Times New Roman" w:cs="Times New Roman"/>
          <w:sz w:val="28"/>
          <w:szCs w:val="28"/>
        </w:rPr>
        <w:t xml:space="preserve">y parálisis, </w:t>
      </w:r>
      <w:r w:rsidRPr="007C2D35">
        <w:rPr>
          <w:rFonts w:ascii="Times New Roman" w:hAnsi="Times New Roman" w:cs="Times New Roman"/>
          <w:sz w:val="28"/>
          <w:szCs w:val="28"/>
        </w:rPr>
        <w:t xml:space="preserve">síntomas sensitivos con debilidad, o simplemente debilidad muscular, </w:t>
      </w:r>
      <w:r w:rsidR="00A47311">
        <w:rPr>
          <w:rFonts w:ascii="Times New Roman" w:hAnsi="Times New Roman" w:cs="Times New Roman"/>
          <w:sz w:val="28"/>
          <w:szCs w:val="28"/>
        </w:rPr>
        <w:t xml:space="preserve">no pueden </w:t>
      </w:r>
      <w:r w:rsidRPr="007C2D35">
        <w:rPr>
          <w:rFonts w:ascii="Times New Roman" w:hAnsi="Times New Roman" w:cs="Times New Roman"/>
          <w:sz w:val="28"/>
          <w:szCs w:val="28"/>
        </w:rPr>
        <w:t xml:space="preserve">caminar sin asistencia, hasta  un compromiso grave donde se presenta cuadriplejia. Dentro de esta debilidad se verán afectados los músculos de los brazos, cara y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orofaríngeos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, y en casos de mayor gravedad los músculos respiratorios. De manera constante se presentara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lastRenderedPageBreak/>
        <w:t>hiporreflexia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tendinosa. El grado máximo de la enfermedad es alcanzado de l</w:t>
      </w:r>
      <w:r w:rsidR="00A47311">
        <w:rPr>
          <w:rFonts w:ascii="Times New Roman" w:hAnsi="Times New Roman" w:cs="Times New Roman"/>
          <w:sz w:val="28"/>
          <w:szCs w:val="28"/>
        </w:rPr>
        <w:t xml:space="preserve">os 10 a los 14 días </w:t>
      </w:r>
      <w:proofErr w:type="gramStart"/>
      <w:r w:rsidR="00A47311">
        <w:rPr>
          <w:rFonts w:ascii="Times New Roman" w:hAnsi="Times New Roman" w:cs="Times New Roman"/>
          <w:sz w:val="28"/>
          <w:szCs w:val="28"/>
        </w:rPr>
        <w:t>afecta</w:t>
      </w:r>
      <w:proofErr w:type="gramEnd"/>
      <w:r w:rsidRPr="007C2D35">
        <w:rPr>
          <w:rFonts w:ascii="Times New Roman" w:hAnsi="Times New Roman" w:cs="Times New Roman"/>
          <w:sz w:val="28"/>
          <w:szCs w:val="28"/>
        </w:rPr>
        <w:t xml:space="preserve"> al nivel de conciencia ni a la función cognitiva. 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En cuanto al sistema nervioso autónomo, se puede observar taquicardia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sinusal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>, bradicardia, hipertensión o hipotensión, arritmias cardiacas, rubefacción facial, diaforesis, pérdida del control de los esfínteres, retención urinaria, íleo paralítico y aumento de las secreciones pulmonares.</w:t>
      </w:r>
    </w:p>
    <w:p w:rsidR="00A92C08" w:rsidRDefault="00A4731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los</w:t>
      </w:r>
      <w:r w:rsidR="007C7463" w:rsidRPr="007C2D35">
        <w:rPr>
          <w:rFonts w:ascii="Times New Roman" w:hAnsi="Times New Roman" w:cs="Times New Roman"/>
          <w:sz w:val="28"/>
          <w:szCs w:val="28"/>
        </w:rPr>
        <w:t xml:space="preserve"> nervios craneales, y el paciente manifestara incapacidad para masticar, tragar, hablar </w:t>
      </w:r>
      <w:r>
        <w:rPr>
          <w:rFonts w:ascii="Times New Roman" w:hAnsi="Times New Roman" w:cs="Times New Roman"/>
          <w:sz w:val="28"/>
          <w:szCs w:val="28"/>
        </w:rPr>
        <w:t xml:space="preserve">y cerrar los ojos, el </w:t>
      </w:r>
      <w:r w:rsidR="007C7463" w:rsidRPr="007C2D35">
        <w:rPr>
          <w:rFonts w:ascii="Times New Roman" w:hAnsi="Times New Roman" w:cs="Times New Roman"/>
          <w:sz w:val="28"/>
          <w:szCs w:val="28"/>
        </w:rPr>
        <w:t>trastorno puede avanzar hasta una parálisis  respiratoria y muerte por insuficiencia res</w:t>
      </w:r>
      <w:r>
        <w:rPr>
          <w:rFonts w:ascii="Times New Roman" w:hAnsi="Times New Roman" w:cs="Times New Roman"/>
          <w:sz w:val="28"/>
          <w:szCs w:val="28"/>
        </w:rPr>
        <w:t xml:space="preserve">piratoria en un lapso de días. </w:t>
      </w:r>
    </w:p>
    <w:p w:rsidR="00AC47C1" w:rsidRPr="00A92C08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C2D35">
        <w:rPr>
          <w:rFonts w:ascii="Times New Roman" w:hAnsi="Times New Roman" w:cs="Times New Roman"/>
          <w:b/>
          <w:sz w:val="28"/>
          <w:szCs w:val="28"/>
        </w:rPr>
        <w:t>Diagnostico.</w:t>
      </w:r>
    </w:p>
    <w:p w:rsidR="00A92C08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Para realizar el diagnostico se debe observar el patrón de parálisis de rápida evolución en cuenta el historial o los antecedentes de cuadros infecciosos. El </w:t>
      </w:r>
      <w:r w:rsidR="00AC47C1" w:rsidRPr="007C2D35">
        <w:rPr>
          <w:rFonts w:ascii="Times New Roman" w:hAnsi="Times New Roman" w:cs="Times New Roman"/>
          <w:sz w:val="28"/>
          <w:szCs w:val="28"/>
        </w:rPr>
        <w:t>diagnósti</w:t>
      </w:r>
      <w:r w:rsidR="00AC47C1">
        <w:rPr>
          <w:rFonts w:ascii="Times New Roman" w:hAnsi="Times New Roman" w:cs="Times New Roman"/>
          <w:sz w:val="28"/>
          <w:szCs w:val="28"/>
        </w:rPr>
        <w:t>co</w:t>
      </w:r>
      <w:r w:rsidR="00A47311">
        <w:rPr>
          <w:rFonts w:ascii="Times New Roman" w:hAnsi="Times New Roman" w:cs="Times New Roman"/>
          <w:sz w:val="28"/>
          <w:szCs w:val="28"/>
        </w:rPr>
        <w:t xml:space="preserve"> es fundamentalmente clínico</w:t>
      </w:r>
      <w:r w:rsidRPr="007C2D35">
        <w:rPr>
          <w:rFonts w:ascii="Times New Roman" w:hAnsi="Times New Roman" w:cs="Times New Roman"/>
          <w:sz w:val="28"/>
          <w:szCs w:val="28"/>
        </w:rPr>
        <w:t xml:space="preserve"> y el análisis del </w:t>
      </w:r>
      <w:r w:rsidR="00AC47C1" w:rsidRPr="007C2D35">
        <w:rPr>
          <w:rFonts w:ascii="Times New Roman" w:hAnsi="Times New Roman" w:cs="Times New Roman"/>
          <w:sz w:val="28"/>
          <w:szCs w:val="28"/>
        </w:rPr>
        <w:t>líquido</w:t>
      </w:r>
      <w:r w:rsidRPr="007C2D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céfalo raquí</w:t>
      </w:r>
      <w:r w:rsidRPr="007C2D35">
        <w:rPr>
          <w:rFonts w:ascii="Times New Roman" w:hAnsi="Times New Roman" w:cs="Times New Roman"/>
          <w:sz w:val="28"/>
          <w:szCs w:val="28"/>
        </w:rPr>
        <w:t>deo.</w:t>
      </w:r>
    </w:p>
    <w:p w:rsidR="00AC47C1" w:rsidRPr="008D32AC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21A8" w:rsidRDefault="00AA21A8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Diagnóstico diferencial.</w:t>
      </w:r>
    </w:p>
    <w:p w:rsidR="00EA4DF3" w:rsidRDefault="00AA21A8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Algunas de las patologías que presentan un comienzo agudo son: la </w:t>
      </w:r>
      <w:proofErr w:type="spellStart"/>
      <w:r>
        <w:rPr>
          <w:rFonts w:ascii="Times New Roman" w:hAnsi="Times New Roman" w:cs="Times New Roman"/>
          <w:sz w:val="28"/>
          <w:szCs w:val="28"/>
        </w:rPr>
        <w:t>porfiria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aguda, difteria, y en </w:t>
      </w:r>
      <w:r w:rsidR="00D27A1C">
        <w:rPr>
          <w:rFonts w:ascii="Times New Roman" w:hAnsi="Times New Roman" w:cs="Times New Roman"/>
          <w:sz w:val="28"/>
          <w:szCs w:val="28"/>
        </w:rPr>
        <w:t xml:space="preserve">unos casos neuropatías toxicas. </w:t>
      </w:r>
      <w:r w:rsidR="001703F4">
        <w:rPr>
          <w:rFonts w:ascii="Times New Roman" w:hAnsi="Times New Roman" w:cs="Times New Roman"/>
          <w:sz w:val="28"/>
          <w:szCs w:val="28"/>
        </w:rPr>
        <w:t xml:space="preserve">Las características </w:t>
      </w:r>
      <w:proofErr w:type="spellStart"/>
      <w:r w:rsidR="001703F4">
        <w:rPr>
          <w:rFonts w:ascii="Times New Roman" w:hAnsi="Times New Roman" w:cs="Times New Roman"/>
          <w:sz w:val="28"/>
          <w:szCs w:val="28"/>
        </w:rPr>
        <w:t>electrodiagnósticas</w:t>
      </w:r>
      <w:proofErr w:type="spellEnd"/>
      <w:r w:rsidR="001703F4">
        <w:rPr>
          <w:rFonts w:ascii="Times New Roman" w:hAnsi="Times New Roman" w:cs="Times New Roman"/>
          <w:sz w:val="28"/>
          <w:szCs w:val="28"/>
        </w:rPr>
        <w:t xml:space="preserve"> de una neuropatía </w:t>
      </w:r>
      <w:proofErr w:type="spellStart"/>
      <w:r w:rsidR="001703F4">
        <w:rPr>
          <w:rFonts w:ascii="Times New Roman" w:hAnsi="Times New Roman" w:cs="Times New Roman"/>
          <w:sz w:val="28"/>
          <w:szCs w:val="28"/>
        </w:rPr>
        <w:t>axonal</w:t>
      </w:r>
      <w:proofErr w:type="spellEnd"/>
      <w:r w:rsidR="001703F4">
        <w:rPr>
          <w:rFonts w:ascii="Times New Roman" w:hAnsi="Times New Roman" w:cs="Times New Roman"/>
          <w:sz w:val="28"/>
          <w:szCs w:val="28"/>
        </w:rPr>
        <w:t xml:space="preserve"> y el líquido céfalo raquídeo (LCR) normal distinguen la neuropatía del enfermo critico de un SGB. Dentro de las patologías que se deben considerar en el </w:t>
      </w:r>
      <w:proofErr w:type="spellStart"/>
      <w:r w:rsidR="001703F4">
        <w:rPr>
          <w:rFonts w:ascii="Times New Roman" w:hAnsi="Times New Roman" w:cs="Times New Roman"/>
          <w:sz w:val="28"/>
          <w:szCs w:val="28"/>
        </w:rPr>
        <w:t>diagnostico</w:t>
      </w:r>
      <w:proofErr w:type="spellEnd"/>
      <w:r w:rsidR="001703F4">
        <w:rPr>
          <w:rFonts w:ascii="Times New Roman" w:hAnsi="Times New Roman" w:cs="Times New Roman"/>
          <w:sz w:val="28"/>
          <w:szCs w:val="28"/>
        </w:rPr>
        <w:t xml:space="preserve"> diferencial están las alteraciones metabólicas, miopatías, alteraciones de la transmisión neuromuscular, la parálisis por picadura de garrapata y el botulismo. </w:t>
      </w:r>
    </w:p>
    <w:p w:rsidR="00AC47C1" w:rsidRPr="00AA21A8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C2D35">
        <w:rPr>
          <w:rFonts w:ascii="Times New Roman" w:hAnsi="Times New Roman" w:cs="Times New Roman"/>
          <w:b/>
          <w:sz w:val="28"/>
          <w:szCs w:val="28"/>
        </w:rPr>
        <w:t>Datos de laboratorio.</w:t>
      </w:r>
    </w:p>
    <w:p w:rsidR="007C7463" w:rsidRPr="007C2D35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Uno anális</w:t>
      </w:r>
      <w:r w:rsidR="00D27A1C">
        <w:rPr>
          <w:rFonts w:ascii="Times New Roman" w:hAnsi="Times New Roman" w:cs="Times New Roman"/>
          <w:sz w:val="28"/>
          <w:szCs w:val="28"/>
        </w:rPr>
        <w:t>is del líquido cefalorraquídeo, se encuentran elevadas</w:t>
      </w:r>
      <w:r w:rsidRPr="007C2D35">
        <w:rPr>
          <w:rFonts w:ascii="Times New Roman" w:hAnsi="Times New Roman" w:cs="Times New Roman"/>
          <w:sz w:val="28"/>
          <w:szCs w:val="28"/>
        </w:rPr>
        <w:t xml:space="preserve"> las concentración alta de proteínas sin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pleocitosis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, lo que se denomina disociación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albuminocitológica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. Encontraremos también que el LCR presenta un contenido normal de células, aunque en </w:t>
      </w:r>
      <w:r w:rsidRPr="007C2D35">
        <w:rPr>
          <w:rFonts w:ascii="Times New Roman" w:hAnsi="Times New Roman" w:cs="Times New Roman"/>
          <w:sz w:val="28"/>
          <w:szCs w:val="28"/>
        </w:rPr>
        <w:lastRenderedPageBreak/>
        <w:t xml:space="preserve">algunos enfermos pacientes con SGB presentan de 10 a 100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celulas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mononucleares/µL de LCR. </w:t>
      </w:r>
    </w:p>
    <w:p w:rsidR="007C7463" w:rsidRPr="00AC47C1" w:rsidRDefault="007C7463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 xml:space="preserve">Las alteraciones en los estudios electrofisiológicos se encuentran aproximadamente en  el 90% de los casos establecidos y demuestra un cuadro evolutivo de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desmielinización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multifocal as</w:t>
      </w:r>
      <w:r w:rsidR="00D27A1C">
        <w:rPr>
          <w:rFonts w:ascii="Times New Roman" w:hAnsi="Times New Roman" w:cs="Times New Roman"/>
          <w:sz w:val="28"/>
          <w:szCs w:val="28"/>
        </w:rPr>
        <w:t xml:space="preserve">ociada a daño </w:t>
      </w:r>
      <w:proofErr w:type="spellStart"/>
      <w:r w:rsidR="00D27A1C">
        <w:rPr>
          <w:rFonts w:ascii="Times New Roman" w:hAnsi="Times New Roman" w:cs="Times New Roman"/>
          <w:sz w:val="28"/>
          <w:szCs w:val="28"/>
        </w:rPr>
        <w:t>axonal</w:t>
      </w:r>
      <w:proofErr w:type="spellEnd"/>
      <w:r w:rsidR="00D27A1C">
        <w:rPr>
          <w:rFonts w:ascii="Times New Roman" w:hAnsi="Times New Roman" w:cs="Times New Roman"/>
          <w:sz w:val="28"/>
          <w:szCs w:val="28"/>
        </w:rPr>
        <w:t xml:space="preserve"> secundario</w:t>
      </w:r>
      <w:r>
        <w:rPr>
          <w:rFonts w:ascii="Times New Roman" w:hAnsi="Times New Roman" w:cs="Times New Roman"/>
          <w:sz w:val="28"/>
          <w:szCs w:val="28"/>
        </w:rPr>
        <w:t xml:space="preserve">. Las </w:t>
      </w:r>
      <w:r w:rsidRPr="007C2D35">
        <w:rPr>
          <w:rFonts w:ascii="Times New Roman" w:hAnsi="Times New Roman" w:cs="Times New Roman"/>
          <w:sz w:val="28"/>
          <w:szCs w:val="28"/>
        </w:rPr>
        <w:t xml:space="preserve">características patológicas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electrodiagnósticadas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 son leves o inexistentes durante las fases iniciales, y van por detrás de la evolución clínica. </w:t>
      </w:r>
    </w:p>
    <w:p w:rsidR="007C7463" w:rsidRDefault="007C7463" w:rsidP="00AC47C1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935D9" w:rsidRPr="007C7463" w:rsidRDefault="00F935D9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>DAÑOS QUE SE PRESENTAN EN EL SINDROME DE GUILLAIN B</w:t>
      </w:r>
      <w:r w:rsidRPr="007C7463">
        <w:rPr>
          <w:rFonts w:ascii="Times New Roman" w:hAnsi="Times New Roman" w:cs="Times New Roman"/>
          <w:b/>
          <w:sz w:val="28"/>
          <w:szCs w:val="28"/>
        </w:rPr>
        <w:t>ARRE.</w:t>
      </w:r>
    </w:p>
    <w:p w:rsidR="00F935D9" w:rsidRPr="007C2D35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Polineuropatía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D27A1C">
        <w:rPr>
          <w:rFonts w:ascii="Times New Roman" w:hAnsi="Times New Roman" w:cs="Times New Roman"/>
          <w:sz w:val="28"/>
          <w:szCs w:val="28"/>
        </w:rPr>
        <w:t>E</w:t>
      </w:r>
      <w:r w:rsidR="00F935D9" w:rsidRPr="007C2D35">
        <w:rPr>
          <w:rFonts w:ascii="Times New Roman" w:hAnsi="Times New Roman" w:cs="Times New Roman"/>
          <w:sz w:val="28"/>
          <w:szCs w:val="28"/>
        </w:rPr>
        <w:t xml:space="preserve">s un subgrupo de </w:t>
      </w:r>
      <w:proofErr w:type="spellStart"/>
      <w:r w:rsidR="00F935D9" w:rsidRPr="007C2D35">
        <w:rPr>
          <w:rFonts w:ascii="Times New Roman" w:hAnsi="Times New Roman" w:cs="Times New Roman"/>
          <w:sz w:val="28"/>
          <w:szCs w:val="28"/>
        </w:rPr>
        <w:t>desordenes</w:t>
      </w:r>
      <w:proofErr w:type="spellEnd"/>
      <w:r w:rsidR="00F935D9" w:rsidRPr="007C2D35">
        <w:rPr>
          <w:rFonts w:ascii="Times New Roman" w:hAnsi="Times New Roman" w:cs="Times New Roman"/>
          <w:sz w:val="28"/>
          <w:szCs w:val="28"/>
        </w:rPr>
        <w:t xml:space="preserve"> de nervios periféricos que es típicamente caracterizado por ser un proceso simétrico y diseminado</w:t>
      </w:r>
      <w:r w:rsidR="00D27A1C">
        <w:rPr>
          <w:rFonts w:ascii="Times New Roman" w:hAnsi="Times New Roman" w:cs="Times New Roman"/>
          <w:sz w:val="28"/>
          <w:szCs w:val="28"/>
        </w:rPr>
        <w:t>.</w:t>
      </w:r>
    </w:p>
    <w:p w:rsidR="00F935D9" w:rsidRPr="007C2D35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Mielina </w:t>
      </w:r>
      <w:r w:rsidR="00F935D9" w:rsidRPr="007C2D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La pérdida de la mielina por enfermedades ocasiona graves trastornos del sistema nervioso, pues los impulsos eléctricos no se conducen con suficiente velocidad o se detienen en mitad de los axones. </w:t>
      </w:r>
    </w:p>
    <w:p w:rsidR="00F935D9" w:rsidRPr="007C2D35" w:rsidRDefault="00F935D9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C2D35">
        <w:rPr>
          <w:rFonts w:ascii="Times New Roman" w:hAnsi="Times New Roman" w:cs="Times New Roman"/>
          <w:b/>
          <w:sz w:val="28"/>
          <w:szCs w:val="28"/>
        </w:rPr>
        <w:t>De</w:t>
      </w:r>
      <w:r w:rsidR="00AC47C1">
        <w:rPr>
          <w:rFonts w:ascii="Times New Roman" w:hAnsi="Times New Roman" w:cs="Times New Roman"/>
          <w:b/>
          <w:sz w:val="28"/>
          <w:szCs w:val="28"/>
        </w:rPr>
        <w:t>smielinización</w:t>
      </w:r>
      <w:proofErr w:type="spellEnd"/>
      <w:r w:rsidR="00AC47C1">
        <w:rPr>
          <w:rFonts w:ascii="Times New Roman" w:hAnsi="Times New Roman" w:cs="Times New Roman"/>
          <w:b/>
          <w:sz w:val="28"/>
          <w:szCs w:val="28"/>
        </w:rPr>
        <w:t>. E</w:t>
      </w:r>
      <w:r w:rsidRPr="007C2D35">
        <w:rPr>
          <w:rFonts w:ascii="Times New Roman" w:hAnsi="Times New Roman" w:cs="Times New Roman"/>
          <w:sz w:val="28"/>
          <w:szCs w:val="28"/>
        </w:rPr>
        <w:t xml:space="preserve">s la perdida de la vaina de mielina aislante de los nervios. </w:t>
      </w:r>
    </w:p>
    <w:p w:rsidR="00682AF6" w:rsidRPr="00AC47C1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Parálisis. </w:t>
      </w:r>
      <w:r>
        <w:rPr>
          <w:rFonts w:ascii="Times New Roman" w:hAnsi="Times New Roman" w:cs="Times New Roman"/>
          <w:sz w:val="28"/>
          <w:szCs w:val="28"/>
        </w:rPr>
        <w:t>E</w:t>
      </w:r>
      <w:r w:rsidR="00F935D9" w:rsidRPr="007C2D35">
        <w:rPr>
          <w:rFonts w:ascii="Times New Roman" w:hAnsi="Times New Roman" w:cs="Times New Roman"/>
          <w:sz w:val="28"/>
          <w:szCs w:val="28"/>
        </w:rPr>
        <w:t xml:space="preserve">s una pérdida o disminución de la motricidad, o de la contractibilidad de uno o varios músculos, debido a lesiones de las vías nerviosas o de los mismos músculos. </w:t>
      </w:r>
    </w:p>
    <w:p w:rsidR="00F935D9" w:rsidRPr="007C2D35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Parálisis flácida. </w:t>
      </w:r>
      <w:r>
        <w:rPr>
          <w:rFonts w:ascii="Times New Roman" w:hAnsi="Times New Roman" w:cs="Times New Roman"/>
          <w:sz w:val="28"/>
          <w:szCs w:val="28"/>
        </w:rPr>
        <w:t>E</w:t>
      </w:r>
      <w:r w:rsidR="00D27A1C">
        <w:rPr>
          <w:rFonts w:ascii="Times New Roman" w:hAnsi="Times New Roman" w:cs="Times New Roman"/>
          <w:sz w:val="28"/>
          <w:szCs w:val="28"/>
        </w:rPr>
        <w:t xml:space="preserve">s cuando </w:t>
      </w:r>
      <w:r w:rsidR="00F935D9" w:rsidRPr="007C2D35">
        <w:rPr>
          <w:rFonts w:ascii="Times New Roman" w:hAnsi="Times New Roman" w:cs="Times New Roman"/>
          <w:sz w:val="28"/>
          <w:szCs w:val="28"/>
        </w:rPr>
        <w:t xml:space="preserve">el </w:t>
      </w:r>
      <w:r w:rsidR="00D27A1C">
        <w:rPr>
          <w:rFonts w:ascii="Times New Roman" w:hAnsi="Times New Roman" w:cs="Times New Roman"/>
          <w:sz w:val="28"/>
          <w:szCs w:val="28"/>
        </w:rPr>
        <w:t>musculo se torna laxo y blando.</w:t>
      </w:r>
    </w:p>
    <w:p w:rsidR="00F43D0E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Trastorno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autoinmunitario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E</w:t>
      </w:r>
      <w:r w:rsidR="00F935D9" w:rsidRPr="007C2D35">
        <w:rPr>
          <w:rFonts w:ascii="Times New Roman" w:hAnsi="Times New Roman" w:cs="Times New Roman"/>
          <w:sz w:val="28"/>
          <w:szCs w:val="28"/>
        </w:rPr>
        <w:t>s un trastorno donde el sistema inmunitario equivocadamente ataca y de</w:t>
      </w:r>
      <w:r w:rsidR="00D27A1C">
        <w:rPr>
          <w:rFonts w:ascii="Times New Roman" w:hAnsi="Times New Roman" w:cs="Times New Roman"/>
          <w:sz w:val="28"/>
          <w:szCs w:val="28"/>
        </w:rPr>
        <w:t>struye el tejido corporal sano.</w:t>
      </w:r>
    </w:p>
    <w:p w:rsidR="00AC47C1" w:rsidRPr="00AC47C1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3511" w:rsidRPr="007C2D35" w:rsidRDefault="00F0351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>Tratam</w:t>
      </w:r>
      <w:r w:rsidR="00D27A1C">
        <w:rPr>
          <w:rFonts w:ascii="Times New Roman" w:hAnsi="Times New Roman" w:cs="Times New Roman"/>
          <w:b/>
          <w:sz w:val="28"/>
          <w:szCs w:val="28"/>
        </w:rPr>
        <w:t>iento y atención de enfermería</w:t>
      </w:r>
      <w:r w:rsidRPr="007C2D35">
        <w:rPr>
          <w:rFonts w:ascii="Times New Roman" w:hAnsi="Times New Roman" w:cs="Times New Roman"/>
          <w:b/>
          <w:sz w:val="28"/>
          <w:szCs w:val="28"/>
        </w:rPr>
        <w:t>.</w:t>
      </w:r>
    </w:p>
    <w:p w:rsidR="00F03511" w:rsidRDefault="00F0351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Es de gran importancia que el paciente con SGB sea ingresado al hospital inmediatamente después de que se halla diagnosticado</w:t>
      </w:r>
      <w:r w:rsidR="00D27A1C">
        <w:rPr>
          <w:rFonts w:ascii="Times New Roman" w:hAnsi="Times New Roman" w:cs="Times New Roman"/>
          <w:sz w:val="28"/>
          <w:szCs w:val="28"/>
        </w:rPr>
        <w:t xml:space="preserve">, para reducir </w:t>
      </w:r>
      <w:r w:rsidRPr="007C2D35">
        <w:rPr>
          <w:rFonts w:ascii="Times New Roman" w:hAnsi="Times New Roman" w:cs="Times New Roman"/>
          <w:sz w:val="28"/>
          <w:szCs w:val="28"/>
        </w:rPr>
        <w:t>la mortalidad</w:t>
      </w:r>
      <w:r w:rsidR="00F22FC6">
        <w:rPr>
          <w:rFonts w:ascii="Times New Roman" w:hAnsi="Times New Roman" w:cs="Times New Roman"/>
          <w:sz w:val="28"/>
          <w:szCs w:val="28"/>
        </w:rPr>
        <w:t>. C</w:t>
      </w:r>
      <w:r w:rsidRPr="007C2D35">
        <w:rPr>
          <w:rFonts w:ascii="Times New Roman" w:hAnsi="Times New Roman" w:cs="Times New Roman"/>
          <w:sz w:val="28"/>
          <w:szCs w:val="28"/>
        </w:rPr>
        <w:t>ontrol de la capacidad vital, el mantenimiento del aparato cardiovascu</w:t>
      </w:r>
      <w:r w:rsidR="00F22FC6">
        <w:rPr>
          <w:rFonts w:ascii="Times New Roman" w:hAnsi="Times New Roman" w:cs="Times New Roman"/>
          <w:sz w:val="28"/>
          <w:szCs w:val="28"/>
        </w:rPr>
        <w:t xml:space="preserve">lar y la fisioterapia torácica, </w:t>
      </w:r>
      <w:r w:rsidRPr="007C2D35">
        <w:rPr>
          <w:rFonts w:ascii="Times New Roman" w:hAnsi="Times New Roman" w:cs="Times New Roman"/>
          <w:sz w:val="28"/>
          <w:szCs w:val="28"/>
        </w:rPr>
        <w:t xml:space="preserve">monitorizar por medio de </w:t>
      </w:r>
      <w:proofErr w:type="spellStart"/>
      <w:r w:rsidRPr="007C2D35">
        <w:rPr>
          <w:rFonts w:ascii="Times New Roman" w:hAnsi="Times New Roman" w:cs="Times New Roman"/>
          <w:sz w:val="28"/>
          <w:szCs w:val="28"/>
        </w:rPr>
        <w:t>pulsioximetria</w:t>
      </w:r>
      <w:proofErr w:type="spellEnd"/>
      <w:r w:rsidRPr="007C2D35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A05A47" w:rsidRPr="007C2D35" w:rsidRDefault="00A05A47" w:rsidP="00A05A47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-Mantener la individualidad de nuestro paciente: tenerle respeto como persona y pensar en cierta forma como ellos, sin olvidar el pudor humano, algo que todas las personas tenemos.</w:t>
      </w:r>
    </w:p>
    <w:p w:rsidR="00A05A47" w:rsidRPr="007C2D35" w:rsidRDefault="00A05A47" w:rsidP="00A05A47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lastRenderedPageBreak/>
        <w:t>-Mantener sus funciones fisiológicas en equilibrio: una vez ingresado el paciente, la enfermera tiene la responsabilidad de monitorear y cubrir todas sus necesidades fisiológicas con el fin de que la calidad de la estancia del cliente sea la más adecuada sin olvidar el objetivo de no llegar a complicaciones dentro de la enfermedad.</w:t>
      </w:r>
    </w:p>
    <w:p w:rsidR="00A05A47" w:rsidRPr="007C2D35" w:rsidRDefault="00A05A47" w:rsidP="00A05A47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-Protegerlo de causas externas a su enfermedad: brindarle una serie de cuidados, los cuales implican que no se presentes complicaciones ocasionadas por adquirir infecciones o males dentro de su estancia en el hospital.</w:t>
      </w:r>
    </w:p>
    <w:p w:rsidR="00A05A47" w:rsidRPr="007C2D35" w:rsidRDefault="00A05A47" w:rsidP="00A05A47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-Ayudar al paciente al retorno a su vida fuera del hospital: el objetivo fundamental de cada enfermero, brindarle un buen servicio y atención al paciente para que pueda llegar a una recuperación y así integrarse de nuevo a su vida.</w:t>
      </w:r>
    </w:p>
    <w:p w:rsidR="00A05A47" w:rsidRPr="007C2D35" w:rsidRDefault="00A05A47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Cumpliendo todos los principios mencionados, el paciente podrá alcanzar una gran calidad de atención que lo llevara a su pronta recuperación.</w:t>
      </w:r>
    </w:p>
    <w:p w:rsidR="000C6FA5" w:rsidRPr="007C2D35" w:rsidRDefault="000C6FA5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0608F" w:rsidRPr="007C2D35">
        <w:rPr>
          <w:rFonts w:ascii="Times New Roman" w:hAnsi="Times New Roman" w:cs="Times New Roman"/>
          <w:b/>
          <w:sz w:val="28"/>
          <w:szCs w:val="28"/>
        </w:rPr>
        <w:t>Plasmafére</w:t>
      </w:r>
      <w:r w:rsidRPr="007C2D35">
        <w:rPr>
          <w:rFonts w:ascii="Times New Roman" w:hAnsi="Times New Roman" w:cs="Times New Roman"/>
          <w:b/>
          <w:sz w:val="28"/>
          <w:szCs w:val="28"/>
        </w:rPr>
        <w:t>s</w:t>
      </w:r>
      <w:r w:rsidR="00CF0812">
        <w:rPr>
          <w:rFonts w:ascii="Times New Roman" w:hAnsi="Times New Roman" w:cs="Times New Roman"/>
          <w:b/>
          <w:sz w:val="28"/>
          <w:szCs w:val="28"/>
        </w:rPr>
        <w:t>is</w:t>
      </w:r>
      <w:proofErr w:type="spellEnd"/>
      <w:r w:rsidRPr="007C2D35">
        <w:rPr>
          <w:rFonts w:ascii="Times New Roman" w:hAnsi="Times New Roman" w:cs="Times New Roman"/>
          <w:b/>
          <w:sz w:val="28"/>
          <w:szCs w:val="28"/>
        </w:rPr>
        <w:t>.</w:t>
      </w:r>
    </w:p>
    <w:p w:rsidR="000C6FA5" w:rsidRPr="007C2D35" w:rsidRDefault="00A05A47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0C6FA5" w:rsidRPr="007C2D35">
        <w:rPr>
          <w:rFonts w:ascii="Times New Roman" w:hAnsi="Times New Roman" w:cs="Times New Roman"/>
          <w:sz w:val="28"/>
          <w:szCs w:val="28"/>
        </w:rPr>
        <w:t>e extrae por completo la sangre del cuerpo y se procesa de forma que los glóbulos blancos y rojos se separen del plasma. Las células de la sangre se devuelven luego al paciente sin el plasma, el cual el organismo las susti</w:t>
      </w:r>
      <w:r w:rsidR="00F22FC6">
        <w:rPr>
          <w:rFonts w:ascii="Times New Roman" w:hAnsi="Times New Roman" w:cs="Times New Roman"/>
          <w:sz w:val="28"/>
          <w:szCs w:val="28"/>
        </w:rPr>
        <w:t>tuye de una manera muy rápida. E</w:t>
      </w:r>
      <w:r w:rsidR="000C6FA5" w:rsidRPr="007C2D35">
        <w:rPr>
          <w:rFonts w:ascii="Times New Roman" w:hAnsi="Times New Roman" w:cs="Times New Roman"/>
          <w:sz w:val="28"/>
          <w:szCs w:val="28"/>
        </w:rPr>
        <w:t>limina los anticuerpos de la sangre</w:t>
      </w:r>
      <w:r w:rsidR="00F22FC6">
        <w:rPr>
          <w:rFonts w:ascii="Times New Roman" w:hAnsi="Times New Roman" w:cs="Times New Roman"/>
          <w:sz w:val="28"/>
          <w:szCs w:val="28"/>
        </w:rPr>
        <w:t>,</w:t>
      </w:r>
      <w:r w:rsidR="000C6FA5" w:rsidRPr="007C2D35">
        <w:rPr>
          <w:rFonts w:ascii="Times New Roman" w:hAnsi="Times New Roman" w:cs="Times New Roman"/>
          <w:sz w:val="28"/>
          <w:szCs w:val="28"/>
        </w:rPr>
        <w:t xml:space="preserve"> </w:t>
      </w:r>
      <w:r w:rsidR="00F22FC6">
        <w:rPr>
          <w:rFonts w:ascii="Times New Roman" w:hAnsi="Times New Roman" w:cs="Times New Roman"/>
          <w:sz w:val="28"/>
          <w:szCs w:val="28"/>
        </w:rPr>
        <w:t xml:space="preserve">se </w:t>
      </w:r>
      <w:r w:rsidR="000C6FA5" w:rsidRPr="007C2D35">
        <w:rPr>
          <w:rFonts w:ascii="Times New Roman" w:hAnsi="Times New Roman" w:cs="Times New Roman"/>
          <w:sz w:val="28"/>
          <w:szCs w:val="28"/>
        </w:rPr>
        <w:t xml:space="preserve">utiliza para eliminar toxinas o sustancias metabólicas de la sangre. </w:t>
      </w:r>
    </w:p>
    <w:p w:rsidR="000C6FA5" w:rsidRPr="007C2D35" w:rsidRDefault="000C6FA5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 xml:space="preserve"> Administración de inmunoglobulina por vía intravenosa.</w:t>
      </w:r>
    </w:p>
    <w:p w:rsidR="00845836" w:rsidRPr="007C2D35" w:rsidRDefault="00845836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2D35">
        <w:rPr>
          <w:rFonts w:ascii="Times New Roman" w:hAnsi="Times New Roman" w:cs="Times New Roman"/>
          <w:sz w:val="28"/>
          <w:szCs w:val="28"/>
        </w:rPr>
        <w:t>La terapia de inmunoglobulina se usa para tratar</w:t>
      </w:r>
      <w:r w:rsidR="00AC47C1">
        <w:rPr>
          <w:rFonts w:ascii="Times New Roman" w:hAnsi="Times New Roman" w:cs="Times New Roman"/>
          <w:sz w:val="28"/>
          <w:szCs w:val="28"/>
        </w:rPr>
        <w:t xml:space="preserve"> trastornos del sistema inmune</w:t>
      </w:r>
      <w:r w:rsidR="00F22FC6">
        <w:rPr>
          <w:rFonts w:ascii="Times New Roman" w:hAnsi="Times New Roman" w:cs="Times New Roman"/>
          <w:sz w:val="28"/>
          <w:szCs w:val="28"/>
        </w:rPr>
        <w:t xml:space="preserve">. </w:t>
      </w:r>
      <w:r w:rsidRPr="007C2D35">
        <w:rPr>
          <w:rFonts w:ascii="Times New Roman" w:hAnsi="Times New Roman" w:cs="Times New Roman"/>
          <w:sz w:val="28"/>
          <w:szCs w:val="28"/>
        </w:rPr>
        <w:t>Estos anticuerpos se agregan a una solución estéril que se administran por vía intravenosa.</w:t>
      </w:r>
      <w:r w:rsidR="002A7DE0" w:rsidRPr="007C2D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6FA5" w:rsidRPr="007C2D35" w:rsidRDefault="00F22FC6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2A7DE0" w:rsidRPr="007C2D35">
        <w:rPr>
          <w:rFonts w:ascii="Times New Roman" w:hAnsi="Times New Roman" w:cs="Times New Roman"/>
          <w:sz w:val="28"/>
          <w:szCs w:val="28"/>
        </w:rPr>
        <w:t xml:space="preserve">uidar el área donde se </w:t>
      </w:r>
      <w:r w:rsidR="00AC47C1" w:rsidRPr="007C2D35">
        <w:rPr>
          <w:rFonts w:ascii="Times New Roman" w:hAnsi="Times New Roman" w:cs="Times New Roman"/>
          <w:sz w:val="28"/>
          <w:szCs w:val="28"/>
        </w:rPr>
        <w:t>aplicó</w:t>
      </w:r>
      <w:r w:rsidR="002A7DE0" w:rsidRPr="007C2D35">
        <w:rPr>
          <w:rFonts w:ascii="Times New Roman" w:hAnsi="Times New Roman" w:cs="Times New Roman"/>
          <w:sz w:val="28"/>
          <w:szCs w:val="28"/>
        </w:rPr>
        <w:t xml:space="preserve"> la inmunoglobulina ya que puede llegar a irritarse. Se le puede aplicar medicamento tópi</w:t>
      </w:r>
      <w:r w:rsidR="00AC47C1">
        <w:rPr>
          <w:rFonts w:ascii="Times New Roman" w:hAnsi="Times New Roman" w:cs="Times New Roman"/>
          <w:sz w:val="28"/>
          <w:szCs w:val="28"/>
        </w:rPr>
        <w:t>co y limpiar el área adolorida.</w:t>
      </w:r>
    </w:p>
    <w:p w:rsidR="006B22A3" w:rsidRPr="00AC47C1" w:rsidRDefault="00F03511" w:rsidP="00AC47C1">
      <w:pPr>
        <w:pStyle w:val="Sinespaciado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Apoyo psicológico.</w:t>
      </w:r>
    </w:p>
    <w:p w:rsidR="00BD2BD0" w:rsidRPr="00AC47C1" w:rsidRDefault="00F03511" w:rsidP="00AC47C1">
      <w:pPr>
        <w:pStyle w:val="Sinespaciado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Ventilación mecánica.</w:t>
      </w:r>
    </w:p>
    <w:p w:rsidR="00050A6A" w:rsidRPr="00AC47C1" w:rsidRDefault="00456846" w:rsidP="00AC47C1">
      <w:pPr>
        <w:pStyle w:val="Sinespaciado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Dieta.</w:t>
      </w:r>
    </w:p>
    <w:p w:rsidR="003E69CD" w:rsidRPr="00AC47C1" w:rsidRDefault="00456846" w:rsidP="00AC47C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Alimentación.</w:t>
      </w:r>
    </w:p>
    <w:p w:rsidR="002F5B95" w:rsidRPr="00AC47C1" w:rsidRDefault="00804C42" w:rsidP="00AC47C1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47C1">
        <w:rPr>
          <w:rFonts w:ascii="Times New Roman" w:eastAsia="Times New Roman" w:hAnsi="Times New Roman" w:cs="Times New Roman"/>
          <w:sz w:val="28"/>
          <w:szCs w:val="28"/>
        </w:rPr>
        <w:t>Cuidados de la piel.</w:t>
      </w:r>
    </w:p>
    <w:p w:rsidR="00BD2BD0" w:rsidRPr="00AC47C1" w:rsidRDefault="00A03EAA" w:rsidP="00AC47C1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47C1">
        <w:rPr>
          <w:rFonts w:ascii="Times New Roman" w:eastAsia="Times New Roman" w:hAnsi="Times New Roman" w:cs="Times New Roman"/>
          <w:sz w:val="28"/>
          <w:szCs w:val="28"/>
        </w:rPr>
        <w:lastRenderedPageBreak/>
        <w:t>Rehabilitación.</w:t>
      </w:r>
    </w:p>
    <w:p w:rsidR="005265F8" w:rsidRPr="00AC47C1" w:rsidRDefault="00AC47C1" w:rsidP="00AC47C1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47C1">
        <w:rPr>
          <w:rFonts w:ascii="Times New Roman" w:eastAsia="Times New Roman" w:hAnsi="Times New Roman" w:cs="Times New Roman"/>
          <w:sz w:val="28"/>
          <w:szCs w:val="28"/>
        </w:rPr>
        <w:t xml:space="preserve">Fisioterapia. </w:t>
      </w:r>
    </w:p>
    <w:p w:rsidR="00AC47C1" w:rsidRPr="007C2D35" w:rsidRDefault="00AC47C1" w:rsidP="00AC47C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2D35">
        <w:rPr>
          <w:rFonts w:ascii="Times New Roman" w:hAnsi="Times New Roman" w:cs="Times New Roman"/>
          <w:b/>
          <w:sz w:val="28"/>
          <w:szCs w:val="28"/>
        </w:rPr>
        <w:t xml:space="preserve">Complicaciones más comunes </w:t>
      </w:r>
      <w:r>
        <w:rPr>
          <w:rFonts w:ascii="Times New Roman" w:hAnsi="Times New Roman" w:cs="Times New Roman"/>
          <w:b/>
          <w:sz w:val="28"/>
          <w:szCs w:val="28"/>
        </w:rPr>
        <w:t xml:space="preserve">del Síndrome de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Guillain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Barré.</w:t>
      </w:r>
    </w:p>
    <w:p w:rsidR="00AC47C1" w:rsidRPr="00AC47C1" w:rsidRDefault="00AC47C1" w:rsidP="00AC47C1">
      <w:pPr>
        <w:pStyle w:val="Sinespaciado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Fallo respiratorio.</w:t>
      </w:r>
    </w:p>
    <w:p w:rsidR="00AC47C1" w:rsidRPr="00AC47C1" w:rsidRDefault="00AC47C1" w:rsidP="00AC47C1">
      <w:pPr>
        <w:pStyle w:val="Sinespaciado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>Contracturas de las articulaciones.</w:t>
      </w:r>
    </w:p>
    <w:p w:rsidR="005265F8" w:rsidRDefault="00AC47C1" w:rsidP="00AC47C1">
      <w:pPr>
        <w:pStyle w:val="Sinespaciado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7C1">
        <w:rPr>
          <w:rFonts w:ascii="Times New Roman" w:hAnsi="Times New Roman" w:cs="Times New Roman"/>
          <w:sz w:val="28"/>
          <w:szCs w:val="28"/>
        </w:rPr>
        <w:t xml:space="preserve">Arritmias y presión arterial inestable. </w:t>
      </w:r>
    </w:p>
    <w:p w:rsidR="00AC47C1" w:rsidRPr="00AC47C1" w:rsidRDefault="00AC47C1" w:rsidP="00AC47C1">
      <w:pPr>
        <w:pStyle w:val="Sinespaciado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53BDB" w:rsidRPr="00C652FE" w:rsidRDefault="00953BDB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652F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Bibliografía.</w:t>
      </w:r>
    </w:p>
    <w:p w:rsidR="00953BDB" w:rsidRPr="005265F8" w:rsidRDefault="00953BDB" w:rsidP="00AC47C1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Walter G.  Bradley, Robert B.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Daroff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Gerald M.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Fenichel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y Joseph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Jankovic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(2005) “Neurología clínica”,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Elsevier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España.</w:t>
      </w:r>
      <w:r w:rsidR="00D64A1A"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pp. 2314-2322.</w:t>
      </w:r>
    </w:p>
    <w:p w:rsidR="00D060C5" w:rsidRPr="005265F8" w:rsidRDefault="00953BDB" w:rsidP="00AC47C1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Braunwald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Fauci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Kasper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Hauser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Longo,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Jameson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(2010) “Principios de medicina interna”</w:t>
      </w:r>
      <w:r w:rsidR="00D060C5"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McGraw-Hill Interamericana.</w:t>
      </w:r>
      <w:r w:rsidR="00D64A1A"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pp.  2933-2936.</w:t>
      </w:r>
    </w:p>
    <w:p w:rsidR="003D2421" w:rsidRPr="005265F8" w:rsidRDefault="003D2421" w:rsidP="00AC47C1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Lewis P. Rowland, (2002) “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Merrit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Neurología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”, </w:t>
      </w:r>
      <w:proofErr w:type="spellStart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McGrawHill</w:t>
      </w:r>
      <w:proofErr w:type="spellEnd"/>
      <w:r w:rsidRPr="005265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 pp. 633-640.</w:t>
      </w:r>
    </w:p>
    <w:p w:rsidR="008D32AC" w:rsidRDefault="008D32AC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1A2B69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Tablaconcuadrcula"/>
        <w:tblpPr w:leftFromText="141" w:rightFromText="141" w:vertAnchor="text" w:horzAnchor="margin" w:tblpXSpec="center" w:tblpY="-178"/>
        <w:tblW w:w="9781" w:type="dxa"/>
        <w:tblLook w:val="04A0" w:firstRow="1" w:lastRow="0" w:firstColumn="1" w:lastColumn="0" w:noHBand="0" w:noVBand="1"/>
      </w:tblPr>
      <w:tblGrid>
        <w:gridCol w:w="3102"/>
        <w:gridCol w:w="6679"/>
      </w:tblGrid>
      <w:tr w:rsidR="001A2B69" w:rsidTr="001A2B69">
        <w:tc>
          <w:tcPr>
            <w:tcW w:w="3102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b/>
                <w:sz w:val="21"/>
                <w:szCs w:val="21"/>
              </w:rPr>
            </w:pPr>
            <w:r w:rsidRPr="00EA3994">
              <w:rPr>
                <w:rFonts w:ascii="Souvenir-Light" w:hAnsi="Souvenir-Light" w:cs="Souvenir-Light"/>
                <w:b/>
                <w:sz w:val="21"/>
                <w:szCs w:val="21"/>
              </w:rPr>
              <w:t>CUIDADOS MUSCOESQUELETICOS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• Cambios posturales </w:t>
            </w:r>
            <w:proofErr w:type="spellStart"/>
            <w:r w:rsidRPr="00EA3994">
              <w:rPr>
                <w:rFonts w:ascii="Souvenir-Light" w:hAnsi="Souvenir-Light" w:cs="Souvenir-Light"/>
                <w:sz w:val="24"/>
                <w:szCs w:val="24"/>
              </w:rPr>
              <w:t>frec</w:t>
            </w:r>
            <w:proofErr w:type="spellEnd"/>
            <w:r w:rsidRPr="00EA3994">
              <w:rPr>
                <w:rFonts w:ascii="Souvenir-Light" w:hAnsi="Souvenir-Light" w:cs="Souvenir-Light"/>
                <w:sz w:val="24"/>
                <w:szCs w:val="24"/>
              </w:rPr>
              <w:t>.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Protección de zonas predispuestas a ulcerarse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Demi" w:hAnsi="Souvenir-Demi" w:cs="Souvenir-Demi"/>
                <w:b/>
                <w:bCs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Fisioterapia comodidad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ANTE EL DOLOR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Cambios posturales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Fisioterapia, colocación. de almohadas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• Apoyo, refuerzos Positivos 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Se intenta distraer al paciente para que aumente la tolerancia al dolor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Administración de morfina según prescripción médica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PSIQUIÁTRICOS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Relación de confianza cercanía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Comunicar comprensión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. • Apoyar mecanismos de  adaptación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Crear ambiente tranquilo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RESPIRATORIOS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Light" w:hAnsi="Souvenir-Light" w:cs="Souvenir-Light"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Fisioterapia respiratoria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Cambios posturales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Hidratación adecuada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. • Oxigenoterapia prescrita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DIGESTIVOS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Dieta blanda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Según tolerancia de deglución</w:t>
            </w:r>
          </w:p>
          <w:p w:rsidR="001A2B69" w:rsidRPr="00EA3994" w:rsidRDefault="001A2B69" w:rsidP="001A2B69">
            <w:pPr>
              <w:pStyle w:val="Prrafodelista"/>
              <w:numPr>
                <w:ilvl w:val="0"/>
                <w:numId w:val="20"/>
              </w:numPr>
              <w:tabs>
                <w:tab w:val="left" w:pos="190"/>
              </w:tabs>
              <w:autoSpaceDE w:val="0"/>
              <w:autoSpaceDN w:val="0"/>
              <w:adjustRightInd w:val="0"/>
              <w:ind w:left="-93" w:firstLine="28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Aporte abundante de </w:t>
            </w:r>
            <w:proofErr w:type="spellStart"/>
            <w:r w:rsidRPr="00EA3994">
              <w:rPr>
                <w:rFonts w:ascii="Souvenir-Light" w:hAnsi="Souvenir-Light" w:cs="Souvenir-Light"/>
                <w:sz w:val="24"/>
                <w:szCs w:val="24"/>
              </w:rPr>
              <w:t>liquidos</w:t>
            </w:r>
            <w:proofErr w:type="spellEnd"/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HEMATOLÓGICOS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Aumentar aporte de líquidos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Vendaje compresivo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• Pomadas </w:t>
            </w:r>
            <w:proofErr w:type="spellStart"/>
            <w:r w:rsidRPr="00EA3994">
              <w:rPr>
                <w:rFonts w:ascii="Souvenir-Light" w:hAnsi="Souvenir-Light" w:cs="Souvenir-Light"/>
                <w:sz w:val="24"/>
                <w:szCs w:val="24"/>
              </w:rPr>
              <w:t>heparinoides</w:t>
            </w:r>
            <w:proofErr w:type="spellEnd"/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Transfusiones según prescripción médica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CUTÁNEO - MUCOSOS</w:t>
            </w:r>
          </w:p>
        </w:tc>
        <w:tc>
          <w:tcPr>
            <w:tcW w:w="6679" w:type="dxa"/>
          </w:tcPr>
          <w:p w:rsidR="001A2B69" w:rsidRPr="00EA3994" w:rsidRDefault="001A2B69" w:rsidP="001A2B69">
            <w:pPr>
              <w:pStyle w:val="Prrafodelista"/>
              <w:numPr>
                <w:ilvl w:val="0"/>
                <w:numId w:val="20"/>
              </w:numPr>
              <w:tabs>
                <w:tab w:val="left" w:pos="190"/>
              </w:tabs>
              <w:autoSpaceDE w:val="0"/>
              <w:autoSpaceDN w:val="0"/>
              <w:adjustRightInd w:val="0"/>
              <w:ind w:left="48" w:firstLine="28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Cambios de </w:t>
            </w:r>
            <w:proofErr w:type="spellStart"/>
            <w:r w:rsidRPr="00EA3994">
              <w:rPr>
                <w:rFonts w:ascii="Souvenir-Light" w:hAnsi="Souvenir-Light" w:cs="Souvenir-Light"/>
                <w:sz w:val="24"/>
                <w:szCs w:val="24"/>
              </w:rPr>
              <w:t>posicion</w:t>
            </w:r>
            <w:proofErr w:type="spellEnd"/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 xml:space="preserve"> • Disminuir sequedad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Hidratación adecuada</w:t>
            </w:r>
          </w:p>
          <w:p w:rsidR="001A2B69" w:rsidRPr="00EA3994" w:rsidRDefault="001A2B69" w:rsidP="001A2B69">
            <w:pPr>
              <w:pStyle w:val="Prrafodelista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48" w:hanging="114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protectores labiales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INMUNITARIOS</w:t>
            </w:r>
          </w:p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</w:p>
        </w:tc>
        <w:tc>
          <w:tcPr>
            <w:tcW w:w="6679" w:type="dxa"/>
          </w:tcPr>
          <w:p w:rsidR="001A2B69" w:rsidRPr="00EA3994" w:rsidRDefault="001A2B69" w:rsidP="001A2B69">
            <w:pPr>
              <w:tabs>
                <w:tab w:val="left" w:pos="190"/>
              </w:tabs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Aislamiento invertido del paciente</w:t>
            </w:r>
          </w:p>
          <w:p w:rsidR="001A2B69" w:rsidRPr="00EA3994" w:rsidRDefault="001A2B69" w:rsidP="001A2B69">
            <w:pPr>
              <w:tabs>
                <w:tab w:val="left" w:pos="190"/>
              </w:tabs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Toma de muestras para cultivos de forma periódica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Dieta nutritiva y energética que mejore defensas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Control de signos y síntomas que evidencien la existencia de una infección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Utilización de medios físicos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Ingesta de líquidos adecuada</w:t>
            </w:r>
          </w:p>
          <w:p w:rsidR="001A2B69" w:rsidRPr="00EA3994" w:rsidRDefault="001A2B69" w:rsidP="001A2B69">
            <w:pPr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4"/>
                <w:szCs w:val="24"/>
              </w:rPr>
            </w:pPr>
            <w:r w:rsidRPr="00EA3994">
              <w:rPr>
                <w:rFonts w:ascii="Souvenir-Light" w:hAnsi="Souvenir-Light" w:cs="Souvenir-Light"/>
                <w:sz w:val="24"/>
                <w:szCs w:val="24"/>
              </w:rPr>
              <w:t>• Antibióticos según prescripción médica</w:t>
            </w:r>
          </w:p>
        </w:tc>
      </w:tr>
      <w:tr w:rsidR="001A2B69" w:rsidTr="001A2B69">
        <w:tc>
          <w:tcPr>
            <w:tcW w:w="3102" w:type="dxa"/>
          </w:tcPr>
          <w:p w:rsidR="001A2B69" w:rsidRDefault="001A2B69" w:rsidP="001A2B69">
            <w:pPr>
              <w:autoSpaceDE w:val="0"/>
              <w:autoSpaceDN w:val="0"/>
              <w:adjustRightInd w:val="0"/>
              <w:jc w:val="center"/>
              <w:rPr>
                <w:rFonts w:ascii="Souvenir-Demi" w:hAnsi="Souvenir-Demi" w:cs="Souvenir-Demi"/>
                <w:b/>
                <w:bCs/>
                <w:sz w:val="21"/>
                <w:szCs w:val="21"/>
              </w:rPr>
            </w:pPr>
            <w:r>
              <w:rPr>
                <w:rFonts w:ascii="Souvenir-Demi" w:hAnsi="Souvenir-Demi" w:cs="Souvenir-Demi"/>
                <w:b/>
                <w:bCs/>
                <w:sz w:val="21"/>
                <w:szCs w:val="21"/>
              </w:rPr>
              <w:t>CUIDADOS HEPATOBILIARES</w:t>
            </w:r>
          </w:p>
        </w:tc>
        <w:tc>
          <w:tcPr>
            <w:tcW w:w="6679" w:type="dxa"/>
          </w:tcPr>
          <w:p w:rsidR="001A2B69" w:rsidRDefault="001A2B69" w:rsidP="001A2B69">
            <w:pPr>
              <w:tabs>
                <w:tab w:val="left" w:pos="190"/>
              </w:tabs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1"/>
                <w:szCs w:val="21"/>
              </w:rPr>
            </w:pPr>
            <w:r>
              <w:rPr>
                <w:rFonts w:ascii="Souvenir-Light" w:hAnsi="Souvenir-Light" w:cs="Souvenir-Light"/>
                <w:sz w:val="21"/>
                <w:szCs w:val="21"/>
              </w:rPr>
              <w:t>• Cuidado en el manejo del material</w:t>
            </w:r>
          </w:p>
          <w:p w:rsidR="001A2B69" w:rsidRPr="00335321" w:rsidRDefault="001A2B69" w:rsidP="001A2B69">
            <w:pPr>
              <w:tabs>
                <w:tab w:val="left" w:pos="190"/>
              </w:tabs>
              <w:autoSpaceDE w:val="0"/>
              <w:autoSpaceDN w:val="0"/>
              <w:adjustRightInd w:val="0"/>
              <w:rPr>
                <w:rFonts w:ascii="Souvenir-Light" w:hAnsi="Souvenir-Light" w:cs="Souvenir-Light"/>
                <w:sz w:val="21"/>
                <w:szCs w:val="21"/>
              </w:rPr>
            </w:pPr>
            <w:r>
              <w:rPr>
                <w:rFonts w:ascii="Souvenir-Light" w:hAnsi="Souvenir-Light" w:cs="Souvenir-Light"/>
                <w:sz w:val="21"/>
                <w:szCs w:val="21"/>
              </w:rPr>
              <w:t>• Prevenir contagios</w:t>
            </w:r>
          </w:p>
        </w:tc>
      </w:tr>
    </w:tbl>
    <w:p w:rsidR="001A2B69" w:rsidRPr="003D2421" w:rsidRDefault="001A2B69" w:rsidP="00AC47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1A2B69" w:rsidRPr="003D2421" w:rsidSect="00AC47C1">
      <w:footerReference w:type="default" r:id="rId9"/>
      <w:pgSz w:w="12240" w:h="15840"/>
      <w:pgMar w:top="851" w:right="851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2697" w:rsidRDefault="000A2697" w:rsidP="004233E6">
      <w:pPr>
        <w:spacing w:after="0" w:line="240" w:lineRule="auto"/>
      </w:pPr>
      <w:r>
        <w:separator/>
      </w:r>
    </w:p>
  </w:endnote>
  <w:endnote w:type="continuationSeparator" w:id="0">
    <w:p w:rsidR="000A2697" w:rsidRDefault="000A2697" w:rsidP="00423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venir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ouvenir-Dem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353298"/>
      <w:docPartObj>
        <w:docPartGallery w:val="Page Numbers (Bottom of Page)"/>
        <w:docPartUnique/>
      </w:docPartObj>
    </w:sdtPr>
    <w:sdtEndPr/>
    <w:sdtContent>
      <w:p w:rsidR="00F3433C" w:rsidRDefault="00F3433C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2B6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F3433C" w:rsidRDefault="00F3433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2697" w:rsidRDefault="000A2697" w:rsidP="004233E6">
      <w:pPr>
        <w:spacing w:after="0" w:line="240" w:lineRule="auto"/>
      </w:pPr>
      <w:r>
        <w:separator/>
      </w:r>
    </w:p>
  </w:footnote>
  <w:footnote w:type="continuationSeparator" w:id="0">
    <w:p w:rsidR="000A2697" w:rsidRDefault="000A2697" w:rsidP="00423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19B9"/>
    <w:multiLevelType w:val="hybridMultilevel"/>
    <w:tmpl w:val="E8DA74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700B1A"/>
    <w:multiLevelType w:val="multilevel"/>
    <w:tmpl w:val="145C51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82A5476"/>
    <w:multiLevelType w:val="hybridMultilevel"/>
    <w:tmpl w:val="DE70F5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5D5567"/>
    <w:multiLevelType w:val="multilevel"/>
    <w:tmpl w:val="166C948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0B64324D"/>
    <w:multiLevelType w:val="multilevel"/>
    <w:tmpl w:val="ED5CA1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79F5BF9"/>
    <w:multiLevelType w:val="multilevel"/>
    <w:tmpl w:val="57245C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9213A8F"/>
    <w:multiLevelType w:val="multilevel"/>
    <w:tmpl w:val="67D0E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19660529"/>
    <w:multiLevelType w:val="hybridMultilevel"/>
    <w:tmpl w:val="CDC20DCE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DD338C"/>
    <w:multiLevelType w:val="multilevel"/>
    <w:tmpl w:val="635425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2B28697B"/>
    <w:multiLevelType w:val="hybridMultilevel"/>
    <w:tmpl w:val="CB32D3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764B8"/>
    <w:multiLevelType w:val="hybridMultilevel"/>
    <w:tmpl w:val="13D4F00A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2A53AC"/>
    <w:multiLevelType w:val="multilevel"/>
    <w:tmpl w:val="58924B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505626CE"/>
    <w:multiLevelType w:val="hybridMultilevel"/>
    <w:tmpl w:val="0DF26CF0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A63A58"/>
    <w:multiLevelType w:val="multilevel"/>
    <w:tmpl w:val="07D84E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588C4175"/>
    <w:multiLevelType w:val="multilevel"/>
    <w:tmpl w:val="E35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BB1FFB"/>
    <w:multiLevelType w:val="hybridMultilevel"/>
    <w:tmpl w:val="FCA8876A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6962EA"/>
    <w:multiLevelType w:val="hybridMultilevel"/>
    <w:tmpl w:val="1884D1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B2049F"/>
    <w:multiLevelType w:val="multilevel"/>
    <w:tmpl w:val="CF407D5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74996E0C"/>
    <w:multiLevelType w:val="hybridMultilevel"/>
    <w:tmpl w:val="E5DCC44E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4B5423"/>
    <w:multiLevelType w:val="multilevel"/>
    <w:tmpl w:val="F912A8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5"/>
  </w:num>
  <w:num w:numId="5">
    <w:abstractNumId w:val="4"/>
  </w:num>
  <w:num w:numId="6">
    <w:abstractNumId w:val="11"/>
  </w:num>
  <w:num w:numId="7">
    <w:abstractNumId w:val="1"/>
  </w:num>
  <w:num w:numId="8">
    <w:abstractNumId w:val="3"/>
  </w:num>
  <w:num w:numId="9">
    <w:abstractNumId w:val="17"/>
  </w:num>
  <w:num w:numId="10">
    <w:abstractNumId w:val="19"/>
  </w:num>
  <w:num w:numId="11">
    <w:abstractNumId w:val="7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8"/>
  </w:num>
  <w:num w:numId="17">
    <w:abstractNumId w:val="9"/>
  </w:num>
  <w:num w:numId="18">
    <w:abstractNumId w:val="2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B0F"/>
    <w:rsid w:val="00006241"/>
    <w:rsid w:val="000352AB"/>
    <w:rsid w:val="0003678D"/>
    <w:rsid w:val="00050A6A"/>
    <w:rsid w:val="00087BE4"/>
    <w:rsid w:val="000911BB"/>
    <w:rsid w:val="00095C24"/>
    <w:rsid w:val="000A2697"/>
    <w:rsid w:val="000B54D9"/>
    <w:rsid w:val="000B7BD3"/>
    <w:rsid w:val="000C6FA5"/>
    <w:rsid w:val="000F55F7"/>
    <w:rsid w:val="0010180A"/>
    <w:rsid w:val="00115309"/>
    <w:rsid w:val="00121F73"/>
    <w:rsid w:val="001244E6"/>
    <w:rsid w:val="001703F4"/>
    <w:rsid w:val="0019014C"/>
    <w:rsid w:val="00192F05"/>
    <w:rsid w:val="00193C24"/>
    <w:rsid w:val="001951F7"/>
    <w:rsid w:val="001A1CD5"/>
    <w:rsid w:val="001A2B69"/>
    <w:rsid w:val="001B6778"/>
    <w:rsid w:val="001B7DAD"/>
    <w:rsid w:val="001E3BA6"/>
    <w:rsid w:val="001F0292"/>
    <w:rsid w:val="001F448C"/>
    <w:rsid w:val="00222D10"/>
    <w:rsid w:val="00234175"/>
    <w:rsid w:val="00245478"/>
    <w:rsid w:val="00250A99"/>
    <w:rsid w:val="002525A9"/>
    <w:rsid w:val="0025308F"/>
    <w:rsid w:val="00256581"/>
    <w:rsid w:val="00263934"/>
    <w:rsid w:val="00271B20"/>
    <w:rsid w:val="00286F52"/>
    <w:rsid w:val="00295B52"/>
    <w:rsid w:val="002A56D8"/>
    <w:rsid w:val="002A7DE0"/>
    <w:rsid w:val="002B5E74"/>
    <w:rsid w:val="002F5B95"/>
    <w:rsid w:val="0030119E"/>
    <w:rsid w:val="00311F0F"/>
    <w:rsid w:val="00330764"/>
    <w:rsid w:val="00345BBA"/>
    <w:rsid w:val="00375668"/>
    <w:rsid w:val="003A1F8A"/>
    <w:rsid w:val="003B0631"/>
    <w:rsid w:val="003B185A"/>
    <w:rsid w:val="003C787C"/>
    <w:rsid w:val="003D2421"/>
    <w:rsid w:val="003D2BA3"/>
    <w:rsid w:val="003E27E3"/>
    <w:rsid w:val="003E69CD"/>
    <w:rsid w:val="004014E0"/>
    <w:rsid w:val="004177A2"/>
    <w:rsid w:val="004208AB"/>
    <w:rsid w:val="00422B10"/>
    <w:rsid w:val="004233E6"/>
    <w:rsid w:val="004420C7"/>
    <w:rsid w:val="00456846"/>
    <w:rsid w:val="00462016"/>
    <w:rsid w:val="00476B0F"/>
    <w:rsid w:val="004841DE"/>
    <w:rsid w:val="004B0CA9"/>
    <w:rsid w:val="004F301A"/>
    <w:rsid w:val="004F6881"/>
    <w:rsid w:val="00503214"/>
    <w:rsid w:val="005101A5"/>
    <w:rsid w:val="00520146"/>
    <w:rsid w:val="0052422C"/>
    <w:rsid w:val="005265F8"/>
    <w:rsid w:val="005306FD"/>
    <w:rsid w:val="00550B32"/>
    <w:rsid w:val="00597010"/>
    <w:rsid w:val="005A3CDB"/>
    <w:rsid w:val="005B7557"/>
    <w:rsid w:val="005C0B1C"/>
    <w:rsid w:val="005C510C"/>
    <w:rsid w:val="0060608F"/>
    <w:rsid w:val="0060674F"/>
    <w:rsid w:val="00613384"/>
    <w:rsid w:val="0061439C"/>
    <w:rsid w:val="00614B38"/>
    <w:rsid w:val="00620DED"/>
    <w:rsid w:val="0062543A"/>
    <w:rsid w:val="00652E7D"/>
    <w:rsid w:val="00667017"/>
    <w:rsid w:val="00682AF6"/>
    <w:rsid w:val="00697E2D"/>
    <w:rsid w:val="006B22A3"/>
    <w:rsid w:val="00737870"/>
    <w:rsid w:val="00742868"/>
    <w:rsid w:val="0074420A"/>
    <w:rsid w:val="007702D5"/>
    <w:rsid w:val="0078186A"/>
    <w:rsid w:val="007C1B6A"/>
    <w:rsid w:val="007C2D35"/>
    <w:rsid w:val="007C42F1"/>
    <w:rsid w:val="007C47A7"/>
    <w:rsid w:val="007C7463"/>
    <w:rsid w:val="007D751C"/>
    <w:rsid w:val="00804C42"/>
    <w:rsid w:val="00817D32"/>
    <w:rsid w:val="00830EBB"/>
    <w:rsid w:val="00845836"/>
    <w:rsid w:val="008462E6"/>
    <w:rsid w:val="00846444"/>
    <w:rsid w:val="008539DE"/>
    <w:rsid w:val="00855519"/>
    <w:rsid w:val="00862C66"/>
    <w:rsid w:val="0088465D"/>
    <w:rsid w:val="008C0EBC"/>
    <w:rsid w:val="008D32AC"/>
    <w:rsid w:val="008E5F3C"/>
    <w:rsid w:val="008E6F8F"/>
    <w:rsid w:val="008F0DED"/>
    <w:rsid w:val="0090482E"/>
    <w:rsid w:val="00920C66"/>
    <w:rsid w:val="0094002F"/>
    <w:rsid w:val="00941A75"/>
    <w:rsid w:val="00943B36"/>
    <w:rsid w:val="00945A49"/>
    <w:rsid w:val="00953BDB"/>
    <w:rsid w:val="00955838"/>
    <w:rsid w:val="00981088"/>
    <w:rsid w:val="0099305E"/>
    <w:rsid w:val="009A56F9"/>
    <w:rsid w:val="009B56D6"/>
    <w:rsid w:val="009B79E2"/>
    <w:rsid w:val="009E2744"/>
    <w:rsid w:val="009E41E7"/>
    <w:rsid w:val="009E67FC"/>
    <w:rsid w:val="009F611F"/>
    <w:rsid w:val="00A03EAA"/>
    <w:rsid w:val="00A05A47"/>
    <w:rsid w:val="00A05F72"/>
    <w:rsid w:val="00A06059"/>
    <w:rsid w:val="00A06A3D"/>
    <w:rsid w:val="00A217E5"/>
    <w:rsid w:val="00A30D56"/>
    <w:rsid w:val="00A47311"/>
    <w:rsid w:val="00A6219D"/>
    <w:rsid w:val="00A6269A"/>
    <w:rsid w:val="00A91DA8"/>
    <w:rsid w:val="00A92C08"/>
    <w:rsid w:val="00A9424F"/>
    <w:rsid w:val="00A9791C"/>
    <w:rsid w:val="00AA21A8"/>
    <w:rsid w:val="00AA4202"/>
    <w:rsid w:val="00AC02C1"/>
    <w:rsid w:val="00AC47C1"/>
    <w:rsid w:val="00AD1ADA"/>
    <w:rsid w:val="00AE312C"/>
    <w:rsid w:val="00AF01B8"/>
    <w:rsid w:val="00B01B94"/>
    <w:rsid w:val="00B06A3E"/>
    <w:rsid w:val="00B10E84"/>
    <w:rsid w:val="00B3059F"/>
    <w:rsid w:val="00B36CB1"/>
    <w:rsid w:val="00B47707"/>
    <w:rsid w:val="00B563FB"/>
    <w:rsid w:val="00B65BE9"/>
    <w:rsid w:val="00B74C41"/>
    <w:rsid w:val="00B756CC"/>
    <w:rsid w:val="00B7622E"/>
    <w:rsid w:val="00B81977"/>
    <w:rsid w:val="00B8528A"/>
    <w:rsid w:val="00B87E6F"/>
    <w:rsid w:val="00BC2C20"/>
    <w:rsid w:val="00BC77CE"/>
    <w:rsid w:val="00BD2BD0"/>
    <w:rsid w:val="00BF1762"/>
    <w:rsid w:val="00C0520D"/>
    <w:rsid w:val="00C20DA1"/>
    <w:rsid w:val="00C4079B"/>
    <w:rsid w:val="00C646E1"/>
    <w:rsid w:val="00C652FE"/>
    <w:rsid w:val="00C93C4A"/>
    <w:rsid w:val="00CE264A"/>
    <w:rsid w:val="00CF0812"/>
    <w:rsid w:val="00D0536B"/>
    <w:rsid w:val="00D060C5"/>
    <w:rsid w:val="00D061B5"/>
    <w:rsid w:val="00D150BD"/>
    <w:rsid w:val="00D24DDD"/>
    <w:rsid w:val="00D27A1C"/>
    <w:rsid w:val="00D32C2F"/>
    <w:rsid w:val="00D51985"/>
    <w:rsid w:val="00D64A1A"/>
    <w:rsid w:val="00D67A81"/>
    <w:rsid w:val="00D71543"/>
    <w:rsid w:val="00DA111C"/>
    <w:rsid w:val="00DE640A"/>
    <w:rsid w:val="00E00F9A"/>
    <w:rsid w:val="00E057CF"/>
    <w:rsid w:val="00E35A84"/>
    <w:rsid w:val="00E55231"/>
    <w:rsid w:val="00E87CC7"/>
    <w:rsid w:val="00E9487C"/>
    <w:rsid w:val="00EA091C"/>
    <w:rsid w:val="00EA4DF3"/>
    <w:rsid w:val="00ED63D6"/>
    <w:rsid w:val="00EE4CCC"/>
    <w:rsid w:val="00F03511"/>
    <w:rsid w:val="00F051C8"/>
    <w:rsid w:val="00F152E4"/>
    <w:rsid w:val="00F15DE8"/>
    <w:rsid w:val="00F22FC6"/>
    <w:rsid w:val="00F3075C"/>
    <w:rsid w:val="00F3433C"/>
    <w:rsid w:val="00F36E66"/>
    <w:rsid w:val="00F43C9D"/>
    <w:rsid w:val="00F43D0E"/>
    <w:rsid w:val="00F526B8"/>
    <w:rsid w:val="00F55253"/>
    <w:rsid w:val="00F61726"/>
    <w:rsid w:val="00F92457"/>
    <w:rsid w:val="00F935D9"/>
    <w:rsid w:val="00FA12D9"/>
    <w:rsid w:val="00FA71BF"/>
    <w:rsid w:val="00FD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76B0F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006241"/>
    <w:rPr>
      <w:color w:val="0000FF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4233E6"/>
  </w:style>
  <w:style w:type="paragraph" w:styleId="Encabezado">
    <w:name w:val="header"/>
    <w:basedOn w:val="Normal"/>
    <w:link w:val="EncabezadoCar"/>
    <w:uiPriority w:val="99"/>
    <w:semiHidden/>
    <w:unhideWhenUsed/>
    <w:rsid w:val="0042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33E6"/>
  </w:style>
  <w:style w:type="paragraph" w:styleId="Piedepgina">
    <w:name w:val="footer"/>
    <w:basedOn w:val="Normal"/>
    <w:link w:val="PiedepginaCar"/>
    <w:uiPriority w:val="99"/>
    <w:unhideWhenUsed/>
    <w:rsid w:val="0042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3E6"/>
  </w:style>
  <w:style w:type="paragraph" w:styleId="Prrafodelista">
    <w:name w:val="List Paragraph"/>
    <w:basedOn w:val="Normal"/>
    <w:uiPriority w:val="34"/>
    <w:qFormat/>
    <w:rsid w:val="002F5B9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7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chete-llamada">
    <w:name w:val="corchete-llamada"/>
    <w:basedOn w:val="Fuentedeprrafopredeter"/>
    <w:rsid w:val="004208AB"/>
  </w:style>
  <w:style w:type="paragraph" w:styleId="Textodeglobo">
    <w:name w:val="Balloon Text"/>
    <w:basedOn w:val="Normal"/>
    <w:link w:val="TextodegloboCar"/>
    <w:uiPriority w:val="99"/>
    <w:semiHidden/>
    <w:unhideWhenUsed/>
    <w:rsid w:val="00B85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2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A2B6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76B0F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006241"/>
    <w:rPr>
      <w:color w:val="0000FF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4233E6"/>
  </w:style>
  <w:style w:type="paragraph" w:styleId="Encabezado">
    <w:name w:val="header"/>
    <w:basedOn w:val="Normal"/>
    <w:link w:val="EncabezadoCar"/>
    <w:uiPriority w:val="99"/>
    <w:semiHidden/>
    <w:unhideWhenUsed/>
    <w:rsid w:val="0042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233E6"/>
  </w:style>
  <w:style w:type="paragraph" w:styleId="Piedepgina">
    <w:name w:val="footer"/>
    <w:basedOn w:val="Normal"/>
    <w:link w:val="PiedepginaCar"/>
    <w:uiPriority w:val="99"/>
    <w:unhideWhenUsed/>
    <w:rsid w:val="004233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3E6"/>
  </w:style>
  <w:style w:type="paragraph" w:styleId="Prrafodelista">
    <w:name w:val="List Paragraph"/>
    <w:basedOn w:val="Normal"/>
    <w:uiPriority w:val="34"/>
    <w:qFormat/>
    <w:rsid w:val="002F5B9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17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chete-llamada">
    <w:name w:val="corchete-llamada"/>
    <w:basedOn w:val="Fuentedeprrafopredeter"/>
    <w:rsid w:val="004208AB"/>
  </w:style>
  <w:style w:type="paragraph" w:styleId="Textodeglobo">
    <w:name w:val="Balloon Text"/>
    <w:basedOn w:val="Normal"/>
    <w:link w:val="TextodegloboCar"/>
    <w:uiPriority w:val="99"/>
    <w:semiHidden/>
    <w:unhideWhenUsed/>
    <w:rsid w:val="00B85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2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A2B6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0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DA7BB-6E47-4109-8FB4-E1E0EBD79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</dc:creator>
  <cp:lastModifiedBy>Esther</cp:lastModifiedBy>
  <cp:revision>3</cp:revision>
  <cp:lastPrinted>2011-05-26T16:13:00Z</cp:lastPrinted>
  <dcterms:created xsi:type="dcterms:W3CDTF">2014-04-04T11:37:00Z</dcterms:created>
  <dcterms:modified xsi:type="dcterms:W3CDTF">2014-04-04T11:40:00Z</dcterms:modified>
</cp:coreProperties>
</file>