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250"/>
          <w:sz w:val="32"/>
        </w:rPr>
        <w:t>MENOFYA UNIVERSITY</w:t>
      </w:r>
    </w:p>
    <w:p>
      <w:pPr>
        <w:jc w:val="center"/>
      </w:pPr>
      <w:r>
        <w:rPr>
          <w:b/>
          <w:sz w:val="26"/>
        </w:rPr>
        <w:t>FACULTY OF COMPUTERS AND INFORMATION</w:t>
      </w:r>
    </w:p>
    <w:p>
      <w:pPr>
        <w:jc w:val="center"/>
      </w:pPr>
      <w:r>
        <w:rPr>
          <w:b/>
          <w:sz w:val="22"/>
        </w:rPr>
        <w:t>SYSTEM ANALYSIS &amp; DESIGN PROJECT</w:t>
        <w:br/>
        <w:t>SECOND YEAR</w:t>
        <w:br/>
        <w:t>2024–2025</w:t>
      </w:r>
    </w:p>
    <w:p>
      <w:pPr>
        <w:spacing w:before="1300" w:after="160"/>
        <w:jc w:val="center"/>
      </w:pPr>
      <w:r>
        <w:rPr>
          <w:b/>
          <w:color w:val="C3232D"/>
          <w:sz w:val="46"/>
        </w:rPr>
        <w:t>SMART QUEUE MANAGEMENT SYSTEM</w:t>
      </w:r>
    </w:p>
    <w:p>
      <w:pPr>
        <w:jc w:val="center"/>
      </w:pPr>
      <w:r>
        <w:rPr>
          <w:b/>
          <w:sz w:val="24"/>
        </w:rPr>
        <w:t>Project Team</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4F81BD"/>
          </w:tcPr>
          <w:p>
            <w:pPr>
              <w:spacing w:after="20"/>
            </w:pPr>
            <w:r/>
            <w:r>
              <w:rPr>
                <w:rFonts w:ascii="Arial" w:hAnsi="Arial"/>
                <w:b/>
                <w:color w:val="FFFFFF"/>
                <w:sz w:val="20"/>
              </w:rPr>
              <w:t>No.</w:t>
            </w:r>
          </w:p>
        </w:tc>
        <w:tc>
          <w:tcPr>
            <w:tcW w:type="dxa" w:w="3312"/>
            <w:shd w:fill="4F81BD"/>
          </w:tcPr>
          <w:p>
            <w:pPr>
              <w:spacing w:after="20"/>
            </w:pPr>
            <w:r/>
            <w:r>
              <w:rPr>
                <w:rFonts w:ascii="Arial" w:hAnsi="Arial"/>
                <w:b/>
                <w:color w:val="FFFFFF"/>
                <w:sz w:val="20"/>
              </w:rPr>
              <w:t>Name</w:t>
            </w:r>
          </w:p>
        </w:tc>
        <w:tc>
          <w:tcPr>
            <w:tcW w:type="dxa" w:w="3312"/>
            <w:shd w:fill="4F81BD"/>
          </w:tcPr>
          <w:p>
            <w:pPr>
              <w:spacing w:after="20"/>
            </w:pPr>
            <w:r/>
            <w:r>
              <w:rPr>
                <w:rFonts w:ascii="Arial" w:hAnsi="Arial"/>
                <w:b/>
                <w:color w:val="FFFFFF"/>
                <w:sz w:val="20"/>
              </w:rPr>
              <w:t>Section</w:t>
            </w:r>
          </w:p>
        </w:tc>
      </w:tr>
      <w:tr>
        <w:tc>
          <w:tcPr>
            <w:tcW w:type="dxa" w:w="3312"/>
          </w:tcPr>
          <w:p>
            <w:r>
              <w:t>1</w:t>
            </w:r>
          </w:p>
        </w:tc>
        <w:tc>
          <w:tcPr>
            <w:tcW w:type="dxa" w:w="3312"/>
          </w:tcPr>
          <w:p>
            <w:r>
              <w:t>Mazen Medhat Moatamed Mahmoud</w:t>
            </w:r>
          </w:p>
        </w:tc>
        <w:tc>
          <w:tcPr>
            <w:tcW w:type="dxa" w:w="3312"/>
          </w:tcPr>
          <w:p>
            <w:r>
              <w:t>Group 2</w:t>
            </w:r>
          </w:p>
        </w:tc>
      </w:tr>
      <w:tr>
        <w:tc>
          <w:tcPr>
            <w:tcW w:type="dxa" w:w="3312"/>
          </w:tcPr>
          <w:p>
            <w:r>
              <w:t>2</w:t>
            </w:r>
          </w:p>
        </w:tc>
        <w:tc>
          <w:tcPr>
            <w:tcW w:type="dxa" w:w="3312"/>
          </w:tcPr>
          <w:p>
            <w:r>
              <w:t>Mostafa Nabil Abdel Gawad Ali</w:t>
            </w:r>
          </w:p>
        </w:tc>
        <w:tc>
          <w:tcPr>
            <w:tcW w:type="dxa" w:w="3312"/>
          </w:tcPr>
          <w:p>
            <w:r>
              <w:t>Group 2</w:t>
            </w:r>
          </w:p>
        </w:tc>
      </w:tr>
      <w:tr>
        <w:tc>
          <w:tcPr>
            <w:tcW w:type="dxa" w:w="3312"/>
          </w:tcPr>
          <w:p>
            <w:pPr>
              <w:spacing w:after="20"/>
            </w:pPr>
            <w:r/>
            <w:r>
              <w:rPr>
                <w:rFonts w:ascii="Arial" w:hAnsi="Arial"/>
                <w:b w:val="0"/>
                <w:sz w:val="20"/>
              </w:rPr>
              <w:t>3</w:t>
            </w:r>
          </w:p>
        </w:tc>
        <w:tc>
          <w:tcPr>
            <w:tcW w:type="dxa" w:w="3312"/>
          </w:tcPr>
          <w:p>
            <w:r>
              <w:t>Mohamed Adel Mohamed ghoniem</w:t>
            </w:r>
          </w:p>
        </w:tc>
        <w:tc>
          <w:tcPr>
            <w:tcW w:type="dxa" w:w="3312"/>
          </w:tcPr>
          <w:p>
            <w:r>
              <w:t>Group 2</w:t>
            </w:r>
          </w:p>
        </w:tc>
      </w:tr>
      <w:tr>
        <w:tc>
          <w:tcPr>
            <w:tcW w:type="dxa" w:w="3312"/>
          </w:tcPr>
          <w:p>
            <w:pPr>
              <w:spacing w:after="20"/>
            </w:pPr>
            <w:r/>
            <w:r>
              <w:rPr>
                <w:rFonts w:ascii="Arial" w:hAnsi="Arial"/>
                <w:b w:val="0"/>
                <w:sz w:val="20"/>
              </w:rPr>
              <w:t>4</w:t>
            </w:r>
          </w:p>
        </w:tc>
        <w:tc>
          <w:tcPr>
            <w:tcW w:type="dxa" w:w="3312"/>
          </w:tcPr>
          <w:p>
            <w:pPr>
              <w:spacing w:after="20"/>
            </w:pPr>
            <w:r/>
            <w:r>
              <w:rPr>
                <w:rFonts w:ascii="Arial" w:hAnsi="Arial"/>
                <w:b w:val="0"/>
                <w:sz w:val="20"/>
              </w:rPr>
            </w:r>
          </w:p>
        </w:tc>
        <w:tc>
          <w:tcPr>
            <w:tcW w:type="dxa" w:w="3312"/>
          </w:tcPr>
          <w:p>
            <w:pPr>
              <w:spacing w:after="20"/>
            </w:pPr>
            <w:r/>
            <w:r>
              <w:rPr>
                <w:rFonts w:ascii="Arial" w:hAnsi="Arial"/>
                <w:b w:val="0"/>
                <w:sz w:val="20"/>
              </w:rPr>
            </w:r>
          </w:p>
        </w:tc>
      </w:tr>
      <w:tr>
        <w:tc>
          <w:tcPr>
            <w:tcW w:type="dxa" w:w="3312"/>
          </w:tcPr>
          <w:p>
            <w:pPr>
              <w:spacing w:after="20"/>
            </w:pPr>
            <w:r/>
            <w:r>
              <w:rPr>
                <w:rFonts w:ascii="Arial" w:hAnsi="Arial"/>
                <w:b w:val="0"/>
                <w:sz w:val="20"/>
              </w:rPr>
              <w:t>5</w:t>
            </w:r>
          </w:p>
        </w:tc>
        <w:tc>
          <w:tcPr>
            <w:tcW w:type="dxa" w:w="3312"/>
          </w:tcPr>
          <w:p>
            <w:pPr>
              <w:spacing w:after="20"/>
            </w:pPr>
            <w:r/>
            <w:r>
              <w:rPr>
                <w:rFonts w:ascii="Arial" w:hAnsi="Arial"/>
                <w:b w:val="0"/>
                <w:sz w:val="20"/>
              </w:rPr>
            </w:r>
          </w:p>
        </w:tc>
        <w:tc>
          <w:tcPr>
            <w:tcW w:type="dxa" w:w="3312"/>
          </w:tcPr>
          <w:p>
            <w:pPr>
              <w:spacing w:after="20"/>
            </w:pPr>
            <w:r/>
            <w:r>
              <w:rPr>
                <w:rFonts w:ascii="Arial" w:hAnsi="Arial"/>
                <w:b w:val="0"/>
                <w:sz w:val="20"/>
              </w:rPr>
            </w:r>
          </w:p>
        </w:tc>
      </w:tr>
      <w:tr>
        <w:tc>
          <w:tcPr>
            <w:tcW w:type="dxa" w:w="3312"/>
          </w:tcPr>
          <w:p>
            <w:pPr>
              <w:spacing w:after="20"/>
            </w:pPr>
            <w:r/>
            <w:r>
              <w:rPr>
                <w:rFonts w:ascii="Arial" w:hAnsi="Arial"/>
                <w:b w:val="0"/>
                <w:sz w:val="20"/>
              </w:rPr>
              <w:t>6</w:t>
            </w:r>
          </w:p>
        </w:tc>
        <w:tc>
          <w:tcPr>
            <w:tcW w:type="dxa" w:w="3312"/>
          </w:tcPr>
          <w:p>
            <w:pPr>
              <w:spacing w:after="20"/>
            </w:pPr>
            <w:r/>
            <w:r>
              <w:rPr>
                <w:rFonts w:ascii="Arial" w:hAnsi="Arial"/>
                <w:b w:val="0"/>
                <w:sz w:val="20"/>
              </w:rPr>
            </w:r>
          </w:p>
        </w:tc>
        <w:tc>
          <w:tcPr>
            <w:tcW w:type="dxa" w:w="3312"/>
          </w:tcPr>
          <w:p>
            <w:pPr>
              <w:spacing w:after="20"/>
            </w:pPr>
            <w:r/>
            <w:r>
              <w:rPr>
                <w:rFonts w:ascii="Arial" w:hAnsi="Arial"/>
                <w:b w:val="0"/>
                <w:sz w:val="20"/>
              </w:rPr>
            </w:r>
          </w:p>
        </w:tc>
      </w:tr>
    </w:tbl>
    <w:p>
      <w:r/>
    </w:p>
    <w:p/>
    <w:p/>
    <w:p/>
    <w:p/>
    <w:p/>
    <w:p>
      <w:pPr>
        <w:spacing w:before="3200" w:after="400"/>
        <w:jc w:val="center"/>
      </w:pPr>
      <w:r>
        <w:rPr>
          <w:rFonts w:ascii="Georgia" w:hAnsi="Georgia"/>
          <w:b/>
          <w:color w:val="BE232D"/>
          <w:sz w:val="44"/>
        </w:rPr>
        <w:t>Planning (Project Plan)</w:t>
      </w:r>
    </w:p>
    <w:p>
      <w:r/>
    </w:p>
    <w:p>
      <w:pPr>
        <w:spacing w:before="200" w:after="360"/>
        <w:jc w:val="center"/>
      </w:pPr>
      <w:r>
        <w:rPr>
          <w:rFonts w:ascii="Arial" w:hAnsi="Arial"/>
          <w:b/>
          <w:color w:val="19375A"/>
          <w:sz w:val="34"/>
          <w:u w:val="single"/>
        </w:rPr>
        <w:t>Project Identification</w:t>
      </w:r>
    </w:p>
    <w:p>
      <w:pPr>
        <w:spacing w:before="160" w:after="80"/>
      </w:pPr>
      <w:r>
        <w:rPr>
          <w:rFonts w:ascii="Arial" w:hAnsi="Arial"/>
          <w:b/>
          <w:sz w:val="22"/>
          <w:u w:val="single"/>
        </w:rPr>
        <w:t>Project Name:</w:t>
      </w:r>
    </w:p>
    <w:p>
      <w:pPr>
        <w:ind w:left="259"/>
      </w:pPr>
      <w:r>
        <w:t>Smart Queue Management System</w:t>
      </w:r>
    </w:p>
    <w:p>
      <w:pPr>
        <w:spacing w:before="160" w:after="80"/>
      </w:pPr>
      <w:r>
        <w:rPr>
          <w:rFonts w:ascii="Arial" w:hAnsi="Arial"/>
          <w:b/>
          <w:sz w:val="22"/>
          <w:u w:val="single"/>
        </w:rPr>
        <w:t>Current Problem:</w:t>
      </w:r>
    </w:p>
    <w:p>
      <w:pPr>
        <w:spacing w:after="60"/>
        <w:ind w:left="461" w:hanging="317"/>
      </w:pPr>
      <w:r>
        <w:t>1.  Customers may find it difficult and time-consuming to locate suitable queues.</w:t>
      </w:r>
    </w:p>
    <w:p>
      <w:pPr>
        <w:spacing w:after="60"/>
        <w:ind w:left="461" w:hanging="317"/>
      </w:pPr>
      <w:r>
        <w:t>2.  Queue information is often spread across different websites, pages, and informal channels.</w:t>
      </w:r>
    </w:p>
    <w:p>
      <w:pPr>
        <w:spacing w:after="60"/>
        <w:ind w:left="461" w:hanging="317"/>
      </w:pPr>
      <w:r>
        <w:t>3.  Staff may receive queue requests through different channels, making them difficult to organize and review.</w:t>
      </w:r>
    </w:p>
    <w:p>
      <w:pPr>
        <w:spacing w:after="60"/>
        <w:ind w:left="461" w:hanging="317"/>
      </w:pPr>
      <w:r>
        <w:t>4.  Applicants may have limited visibility into the status of their submitted queue requests.</w:t>
      </w:r>
    </w:p>
    <w:p>
      <w:pPr>
        <w:spacing w:before="160" w:after="80"/>
      </w:pPr>
      <w:r>
        <w:rPr>
          <w:rFonts w:ascii="Arial" w:hAnsi="Arial"/>
          <w:b/>
          <w:sz w:val="22"/>
          <w:u w:val="single"/>
        </w:rPr>
        <w:t>Description about project:</w:t>
      </w:r>
    </w:p>
    <w:p>
      <w:pPr>
        <w:spacing w:line="269" w:lineRule="auto"/>
        <w:ind w:left="259"/>
      </w:pPr>
      <w:r>
        <w:t>The Smart Queue Management System is a web-based system that connects customers with staff in one place. Customers can create profiles, upload their CVs, search and filter queues, and apply online. Staff can create company profiles, publish queues, review queue requests, and update application statuses. An administrator manages accounts, monitors content, and maintains the system. The system is intended to make job searching and recruitment more organized, accessible, and efficient.</w:t>
      </w:r>
    </w:p>
    <w:p>
      <w:r/>
    </w:p>
    <w:p>
      <w:pPr>
        <w:spacing w:before="200" w:after="360"/>
        <w:jc w:val="center"/>
      </w:pPr>
      <w:r>
        <w:rPr>
          <w:rFonts w:ascii="Arial" w:hAnsi="Arial"/>
          <w:b/>
          <w:color w:val="19375A"/>
          <w:sz w:val="34"/>
          <w:u w:val="single"/>
        </w:rPr>
        <w:t>System Request</w:t>
      </w:r>
    </w:p>
    <w:tbl>
      <w:tblPr>
        <w:tblStyle w:val="TableGrid"/>
        <w:tblW w:type="auto" w:w="0"/>
        <w:jc w:val="center"/>
        <w:tblLook w:firstColumn="1" w:firstRow="1" w:lastColumn="0" w:lastRow="0" w:noHBand="0" w:noVBand="1" w:val="04A0"/>
      </w:tblPr>
      <w:tblGrid>
        <w:gridCol w:w="4968"/>
        <w:gridCol w:w="4968"/>
      </w:tblGrid>
      <w:tr>
        <w:tc>
          <w:tcPr>
            <w:tcW w:type="dxa" w:w="9936"/>
            <w:gridSpan w:val="2"/>
            <w:shd w:fill="4F81BD"/>
          </w:tcPr>
          <w:p>
            <w:pPr>
              <w:spacing w:after="20"/>
            </w:pPr>
            <w:r/>
            <w:r>
              <w:rPr>
                <w:rFonts w:ascii="Arial" w:hAnsi="Arial"/>
                <w:b/>
                <w:color w:val="FFFFFF"/>
                <w:sz w:val="22"/>
              </w:rPr>
              <w:t>System Request—Smart Queue Management System</w:t>
            </w:r>
          </w:p>
          <w:p>
            <w:pPr>
              <w:spacing w:after="20"/>
            </w:pPr>
            <w:r/>
            <w:r>
              <w:rPr>
                <w:rFonts w:ascii="Arial" w:hAnsi="Arial"/>
                <w:b/>
                <w:color w:val="FFFFFF"/>
                <w:sz w:val="22"/>
              </w:rPr>
            </w:r>
          </w:p>
        </w:tc>
      </w:tr>
      <w:tr>
        <w:tc>
          <w:tcPr>
            <w:tcW w:type="dxa" w:w="2376"/>
            <w:shd w:fill="D6E4F0"/>
            <w:vAlign w:val="center"/>
          </w:tcPr>
          <w:p>
            <w:pPr>
              <w:spacing w:after="20"/>
            </w:pPr>
            <w:r/>
            <w:r>
              <w:rPr>
                <w:rFonts w:ascii="Arial" w:hAnsi="Arial"/>
                <w:b/>
                <w:color w:val="1E3755"/>
                <w:sz w:val="20"/>
              </w:rPr>
              <w:t>Project Sponsor</w:t>
            </w:r>
          </w:p>
        </w:tc>
        <w:tc>
          <w:tcPr>
            <w:tcW w:type="dxa" w:w="7632"/>
            <w:vAlign w:val="center"/>
          </w:tcPr>
          <w:p>
            <w:pPr>
              <w:spacing w:after="20"/>
            </w:pPr>
            <w:r/>
            <w:r>
              <w:rPr>
                <w:rFonts w:ascii="Arial" w:hAnsi="Arial"/>
                <w:b w:val="0"/>
                <w:sz w:val="19"/>
              </w:rPr>
              <w:t>Project sponsor: To be confirmed by the project team / course supervisor.</w:t>
            </w:r>
          </w:p>
        </w:tc>
      </w:tr>
      <w:tr>
        <w:tc>
          <w:tcPr>
            <w:tcW w:type="dxa" w:w="2376"/>
            <w:shd w:fill="D6E4F0"/>
            <w:vAlign w:val="center"/>
          </w:tcPr>
          <w:p>
            <w:pPr>
              <w:spacing w:after="20"/>
            </w:pPr>
            <w:r>
              <w:t>Business Need</w:t>
            </w:r>
            <w:r>
              <w:rPr>
                <w:rFonts w:ascii="Arial" w:hAnsi="Arial"/>
                <w:b/>
                <w:color w:val="1E3755"/>
                <w:sz w:val="20"/>
              </w:rPr>
            </w:r>
          </w:p>
        </w:tc>
        <w:tc>
          <w:tcPr>
            <w:tcW w:type="dxa" w:w="7632"/>
            <w:vAlign w:val="center"/>
          </w:tcPr>
          <w:p>
            <w:pPr>
              <w:spacing w:after="20"/>
            </w:pPr>
            <w:r>
              <w:t>1. Provide an organized way for customers to join and follow service queues.</w:t>
            </w:r>
            <w:r>
              <w:rPr>
                <w:rFonts w:ascii="Arial" w:hAnsi="Arial"/>
                <w:b w:val="0"/>
                <w:sz w:val="19"/>
              </w:rPr>
            </w:r>
          </w:p>
          <w:p>
            <w:pPr>
              <w:spacing w:after="20"/>
            </w:pPr>
            <w:r>
              <w:rPr>
                <w:rFonts w:ascii="Arial" w:hAnsi="Arial"/>
                <w:b w:val="0"/>
                <w:sz w:val="19"/>
              </w:rPr>
              <w:t>2. Help staff manage customers and service counters more efficiently.</w:t>
            </w:r>
          </w:p>
          <w:p>
            <w:pPr>
              <w:spacing w:after="20"/>
            </w:pPr>
            <w:r>
              <w:rPr>
                <w:rFonts w:ascii="Arial" w:hAnsi="Arial"/>
                <w:b w:val="0"/>
                <w:sz w:val="19"/>
              </w:rPr>
              <w:t>3. Reduce crowded, paper-based, and manual queue handling.</w:t>
            </w:r>
          </w:p>
          <w:p>
            <w:pPr>
              <w:spacing w:after="20"/>
            </w:pPr>
            <w:r>
              <w:rPr>
                <w:rFonts w:ascii="Arial" w:hAnsi="Arial"/>
                <w:b w:val="0"/>
                <w:sz w:val="19"/>
              </w:rPr>
              <w:t>4. Improve communication and visibility of queue progress.</w:t>
            </w:r>
          </w:p>
        </w:tc>
      </w:tr>
      <w:tr>
        <w:tc>
          <w:tcPr>
            <w:tcW w:type="dxa" w:w="2376"/>
            <w:shd w:fill="D6E4F0"/>
            <w:vAlign w:val="center"/>
          </w:tcPr>
          <w:p>
            <w:pPr>
              <w:spacing w:after="20"/>
            </w:pPr>
            <w:r>
              <w:t>Business Requirements</w:t>
            </w:r>
            <w:r>
              <w:rPr>
                <w:rFonts w:ascii="Arial" w:hAnsi="Arial"/>
                <w:b/>
                <w:color w:val="1E3755"/>
                <w:sz w:val="20"/>
              </w:rPr>
            </w:r>
          </w:p>
        </w:tc>
        <w:tc>
          <w:tcPr>
            <w:tcW w:type="dxa" w:w="7632"/>
            <w:vAlign w:val="center"/>
          </w:tcPr>
          <w:p>
            <w:pPr>
              <w:spacing w:after="20"/>
            </w:pPr>
            <w:r>
              <w:t>1. Customer and staff registration and login.</w:t>
            </w:r>
            <w:r>
              <w:rPr>
                <w:rFonts w:ascii="Arial" w:hAnsi="Arial"/>
                <w:b w:val="0"/>
                <w:sz w:val="19"/>
              </w:rPr>
            </w:r>
          </w:p>
          <w:p>
            <w:pPr>
              <w:spacing w:after="20"/>
            </w:pPr>
            <w:r>
              <w:rPr>
                <w:rFonts w:ascii="Arial" w:hAnsi="Arial"/>
                <w:b w:val="0"/>
                <w:sz w:val="19"/>
              </w:rPr>
              <w:t>2. Customer queue-number generation and tracking.</w:t>
            </w:r>
          </w:p>
          <w:p>
            <w:pPr>
              <w:spacing w:after="20"/>
            </w:pPr>
            <w:r>
              <w:rPr>
                <w:rFonts w:ascii="Arial" w:hAnsi="Arial"/>
                <w:b w:val="0"/>
                <w:sz w:val="19"/>
              </w:rPr>
              <w:t>3. Staff/service-counter profiles and counter management.</w:t>
            </w:r>
          </w:p>
          <w:p>
            <w:pPr>
              <w:spacing w:after="20"/>
            </w:pPr>
            <w:r>
              <w:rPr>
                <w:rFonts w:ascii="Arial" w:hAnsi="Arial"/>
                <w:b w:val="0"/>
                <w:sz w:val="19"/>
              </w:rPr>
              <w:t>4. Queue display and filtering by service or counter.</w:t>
            </w:r>
          </w:p>
          <w:p>
            <w:pPr>
              <w:spacing w:after="20"/>
            </w:pPr>
            <w:r>
              <w:rPr>
                <w:rFonts w:ascii="Arial" w:hAnsi="Arial"/>
                <w:b w:val="0"/>
                <w:sz w:val="19"/>
              </w:rPr>
              <w:t>5. Calling the next customer and updating queue status.</w:t>
            </w:r>
          </w:p>
          <w:p>
            <w:pPr>
              <w:spacing w:after="20"/>
            </w:pPr>
            <w:r>
              <w:rPr>
                <w:rFonts w:ascii="Arial" w:hAnsi="Arial"/>
                <w:b w:val="0"/>
                <w:sz w:val="19"/>
              </w:rPr>
              <w:t>6. Administrative tools for managing users, counters, queues, and settings.</w:t>
            </w:r>
          </w:p>
        </w:tc>
      </w:tr>
      <w:tr>
        <w:tc>
          <w:tcPr>
            <w:tcW w:type="dxa" w:w="2376"/>
            <w:shd w:fill="D6E4F0"/>
            <w:vAlign w:val="center"/>
          </w:tcPr>
          <w:p>
            <w:pPr>
              <w:spacing w:after="20"/>
            </w:pPr>
            <w:r>
              <w:t>Business Value</w:t>
            </w:r>
            <w:r>
              <w:rPr>
                <w:rFonts w:ascii="Arial" w:hAnsi="Arial"/>
                <w:b/>
                <w:color w:val="1E3755"/>
                <w:sz w:val="20"/>
              </w:rPr>
            </w:r>
          </w:p>
        </w:tc>
        <w:tc>
          <w:tcPr>
            <w:tcW w:type="dxa" w:w="7632"/>
            <w:vAlign w:val="center"/>
          </w:tcPr>
          <w:p>
            <w:pPr>
              <w:spacing w:after="20"/>
            </w:pPr>
            <w:r>
              <w:t>1. Save time for customers and staff.</w:t>
            </w:r>
            <w:r>
              <w:rPr>
                <w:rFonts w:ascii="Arial" w:hAnsi="Arial"/>
                <w:b w:val="0"/>
                <w:sz w:val="19"/>
              </w:rPr>
            </w:r>
          </w:p>
          <w:p>
            <w:pPr>
              <w:spacing w:after="20"/>
            </w:pPr>
            <w:r>
              <w:rPr>
                <w:rFonts w:ascii="Arial" w:hAnsi="Arial"/>
                <w:b w:val="0"/>
                <w:sz w:val="19"/>
              </w:rPr>
              <w:t>2. Reduce waiting confusion and crowding.</w:t>
            </w:r>
          </w:p>
          <w:p>
            <w:pPr>
              <w:spacing w:after="20"/>
            </w:pPr>
            <w:r>
              <w:rPr>
                <w:rFonts w:ascii="Arial" w:hAnsi="Arial"/>
                <w:b w:val="0"/>
                <w:sz w:val="19"/>
              </w:rPr>
              <w:t>3. Organize customer flow and service counters.</w:t>
            </w:r>
          </w:p>
          <w:p>
            <w:pPr>
              <w:spacing w:after="20"/>
            </w:pPr>
            <w:r>
              <w:rPr>
                <w:rFonts w:ascii="Arial" w:hAnsi="Arial"/>
                <w:b w:val="0"/>
                <w:sz w:val="19"/>
              </w:rPr>
              <w:t>4. Reduce repetitive manual work and paperwork.</w:t>
            </w:r>
          </w:p>
          <w:p>
            <w:pPr>
              <w:spacing w:after="20"/>
            </w:pPr>
            <w:r>
              <w:rPr>
                <w:rFonts w:ascii="Arial" w:hAnsi="Arial"/>
                <w:b w:val="0"/>
                <w:sz w:val="19"/>
              </w:rPr>
              <w:t>5. Support clearer communication and queue tracking.</w:t>
            </w:r>
          </w:p>
        </w:tc>
      </w:tr>
      <w:tr>
        <w:tc>
          <w:tcPr>
            <w:tcW w:type="dxa" w:w="2376"/>
            <w:shd w:fill="D6E4F0"/>
            <w:vAlign w:val="center"/>
          </w:tcPr>
          <w:p>
            <w:pPr>
              <w:spacing w:after="20"/>
            </w:pPr>
            <w:r>
              <w:t>Special Issues or Constraints</w:t>
            </w:r>
            <w:r>
              <w:rPr>
                <w:rFonts w:ascii="Arial" w:hAnsi="Arial"/>
                <w:b/>
                <w:color w:val="1E3755"/>
                <w:sz w:val="20"/>
              </w:rPr>
            </w:r>
          </w:p>
        </w:tc>
        <w:tc>
          <w:tcPr>
            <w:tcW w:type="dxa" w:w="7632"/>
            <w:vAlign w:val="center"/>
          </w:tcPr>
          <w:p>
            <w:pPr>
              <w:spacing w:after="20"/>
            </w:pPr>
            <w:r>
              <w:t>1. Project scope, schedule, and team responsibilities must be agreed upon.</w:t>
            </w:r>
            <w:r>
              <w:rPr>
                <w:rFonts w:ascii="Arial" w:hAnsi="Arial"/>
                <w:b w:val="0"/>
                <w:sz w:val="19"/>
              </w:rPr>
            </w:r>
          </w:p>
          <w:p>
            <w:pPr>
              <w:spacing w:after="20"/>
            </w:pPr>
            <w:r>
              <w:rPr>
                <w:rFonts w:ascii="Arial" w:hAnsi="Arial"/>
                <w:b w:val="0"/>
                <w:sz w:val="19"/>
              </w:rPr>
              <w:t>2. Customer and staff data must be protected with appropriate access controls.</w:t>
            </w:r>
          </w:p>
          <w:p>
            <w:pPr>
              <w:spacing w:after="20"/>
            </w:pPr>
            <w:r>
              <w:rPr>
                <w:rFonts w:ascii="Arial" w:hAnsi="Arial"/>
                <w:b w:val="0"/>
                <w:sz w:val="19"/>
              </w:rPr>
              <w:t>3. The system depends on reliable network access and suitable hosting or local infrastructure.</w:t>
            </w:r>
          </w:p>
          <w:p>
            <w:pPr>
              <w:spacing w:after="20"/>
            </w:pPr>
            <w:r>
              <w:rPr>
                <w:rFonts w:ascii="Arial" w:hAnsi="Arial"/>
                <w:b w:val="0"/>
                <w:sz w:val="19"/>
              </w:rPr>
              <w:t>4. The interface should work on common phones, tablets, and computers.</w:t>
            </w:r>
          </w:p>
          <w:p>
            <w:pPr>
              <w:spacing w:after="20"/>
            </w:pPr>
            <w:r>
              <w:rPr>
                <w:rFonts w:ascii="Arial" w:hAnsi="Arial"/>
                <w:b w:val="0"/>
                <w:sz w:val="19"/>
              </w:rPr>
              <w:t>5. Queue settings, service counters, and user accounts require ongoing maintenance.</w:t>
            </w:r>
          </w:p>
        </w:tc>
      </w:tr>
    </w:tbl>
    <w:p>
      <w:r/>
    </w:p>
    <w:p>
      <w:pPr>
        <w:spacing w:before="200" w:after="360"/>
        <w:jc w:val="center"/>
      </w:pPr>
      <w:r>
        <w:rPr>
          <w:rFonts w:ascii="Arial" w:hAnsi="Arial"/>
          <w:b/>
          <w:color w:val="19375A"/>
          <w:sz w:val="34"/>
          <w:u w:val="single"/>
        </w:rPr>
        <w:t>Feasibility Analysis</w:t>
      </w:r>
    </w:p>
    <w:p>
      <w:pPr>
        <w:spacing w:before="160" w:after="80"/>
      </w:pPr>
      <w:r>
        <w:rPr>
          <w:rFonts w:ascii="Arial" w:hAnsi="Arial"/>
          <w:b/>
          <w:sz w:val="22"/>
          <w:u w:val="single"/>
        </w:rPr>
        <w:t>Alternative Solutions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4F81BD"/>
          </w:tcPr>
          <w:p>
            <w:pPr>
              <w:spacing w:after="20"/>
            </w:pPr>
            <w:r/>
            <w:r>
              <w:rPr>
                <w:rFonts w:ascii="Arial" w:hAnsi="Arial"/>
                <w:b/>
                <w:color w:val="FFFFFF"/>
                <w:sz w:val="16"/>
              </w:rPr>
              <w:t>Alternative</w:t>
            </w:r>
          </w:p>
        </w:tc>
        <w:tc>
          <w:tcPr>
            <w:tcW w:type="dxa" w:w="3312"/>
            <w:shd w:fill="4F81BD"/>
          </w:tcPr>
          <w:p>
            <w:pPr>
              <w:spacing w:after="20"/>
            </w:pPr>
            <w:r/>
            <w:r>
              <w:rPr>
                <w:rFonts w:ascii="Arial" w:hAnsi="Arial"/>
                <w:b/>
                <w:color w:val="FFFFFF"/>
                <w:sz w:val="16"/>
              </w:rPr>
              <w:t>Description</w:t>
            </w:r>
          </w:p>
        </w:tc>
        <w:tc>
          <w:tcPr>
            <w:tcW w:type="dxa" w:w="3312"/>
            <w:shd w:fill="4F81BD"/>
          </w:tcPr>
          <w:p>
            <w:pPr>
              <w:spacing w:after="20"/>
            </w:pPr>
            <w:r/>
            <w:r>
              <w:rPr>
                <w:rFonts w:ascii="Arial" w:hAnsi="Arial"/>
                <w:b/>
                <w:color w:val="FFFFFF"/>
                <w:sz w:val="16"/>
              </w:rPr>
              <w:t>Initial assessment</w:t>
            </w:r>
          </w:p>
        </w:tc>
      </w:tr>
      <w:tr>
        <w:tc>
          <w:tcPr>
            <w:tcW w:type="dxa" w:w="3312"/>
          </w:tcPr>
          <w:p>
            <w:pPr>
              <w:spacing w:after="20"/>
            </w:pPr>
            <w:r/>
            <w:r>
              <w:rPr>
                <w:rFonts w:ascii="Arial" w:hAnsi="Arial"/>
                <w:b w:val="0"/>
                <w:sz w:val="16"/>
              </w:rPr>
              <w:t>1. Current/manual approach</w:t>
            </w:r>
          </w:p>
        </w:tc>
        <w:tc>
          <w:tcPr>
            <w:tcW w:type="dxa" w:w="3312"/>
          </w:tcPr>
          <w:p>
            <w:pPr>
              <w:spacing w:after="20"/>
            </w:pPr>
            <w:r/>
            <w:r>
              <w:rPr>
                <w:rFonts w:ascii="Arial" w:hAnsi="Arial"/>
                <w:b w:val="0"/>
                <w:sz w:val="16"/>
              </w:rPr>
              <w:t>Applicants search across separate sources; staff manage queue requests manually.</w:t>
            </w:r>
          </w:p>
        </w:tc>
        <w:tc>
          <w:tcPr>
            <w:tcW w:type="dxa" w:w="3312"/>
          </w:tcPr>
          <w:p>
            <w:pPr>
              <w:spacing w:after="20"/>
            </w:pPr>
            <w:r/>
            <w:r>
              <w:rPr>
                <w:rFonts w:ascii="Arial" w:hAnsi="Arial"/>
                <w:b w:val="0"/>
                <w:sz w:val="16"/>
              </w:rPr>
              <w:t>Low setup cost, but fragmented and time-consuming.</w:t>
            </w:r>
          </w:p>
        </w:tc>
      </w:tr>
      <w:tr>
        <w:tc>
          <w:tcPr>
            <w:tcW w:type="dxa" w:w="3312"/>
          </w:tcPr>
          <w:p>
            <w:pPr>
              <w:spacing w:after="20"/>
            </w:pPr>
            <w:r/>
            <w:r>
              <w:rPr>
                <w:rFonts w:ascii="Arial" w:hAnsi="Arial"/>
                <w:b w:val="0"/>
                <w:sz w:val="16"/>
              </w:rPr>
              <w:t>2. Basic queue website</w:t>
            </w:r>
          </w:p>
        </w:tc>
        <w:tc>
          <w:tcPr>
            <w:tcW w:type="dxa" w:w="3312"/>
          </w:tcPr>
          <w:p>
            <w:pPr>
              <w:spacing w:after="20"/>
            </w:pPr>
            <w:r/>
            <w:r>
              <w:rPr>
                <w:rFonts w:ascii="Arial" w:hAnsi="Arial"/>
                <w:b w:val="0"/>
                <w:sz w:val="16"/>
              </w:rPr>
              <w:t>A website lists queues, but queue requests and employer workflows are limited.</w:t>
            </w:r>
          </w:p>
        </w:tc>
        <w:tc>
          <w:tcPr>
            <w:tcW w:type="dxa" w:w="3312"/>
          </w:tcPr>
          <w:p>
            <w:pPr>
              <w:spacing w:after="20"/>
            </w:pPr>
            <w:r/>
            <w:r>
              <w:rPr>
                <w:rFonts w:ascii="Arial" w:hAnsi="Arial"/>
                <w:b w:val="0"/>
                <w:sz w:val="16"/>
              </w:rPr>
              <w:t>Moderate effort; improves visibility but offers limited tracking.</w:t>
            </w:r>
          </w:p>
        </w:tc>
      </w:tr>
      <w:tr>
        <w:tc>
          <w:tcPr>
            <w:tcW w:type="dxa" w:w="3312"/>
          </w:tcPr>
          <w:p>
            <w:pPr>
              <w:spacing w:after="20"/>
            </w:pPr>
            <w:r/>
            <w:r>
              <w:rPr>
                <w:rFonts w:ascii="Arial" w:hAnsi="Arial"/>
                <w:b w:val="0"/>
                <w:sz w:val="16"/>
              </w:rPr>
              <w:t>3. Smart Queue Management System</w:t>
            </w:r>
          </w:p>
        </w:tc>
        <w:tc>
          <w:tcPr>
            <w:tcW w:type="dxa" w:w="3312"/>
          </w:tcPr>
          <w:p>
            <w:pPr>
              <w:spacing w:after="20"/>
            </w:pPr>
            <w:r/>
            <w:r>
              <w:rPr>
                <w:rFonts w:ascii="Arial" w:hAnsi="Arial"/>
                <w:b w:val="0"/>
                <w:sz w:val="16"/>
              </w:rPr>
              <w:t>A shared system with user accounts, queue search, online queue requests, and administration.</w:t>
            </w:r>
          </w:p>
        </w:tc>
        <w:tc>
          <w:tcPr>
            <w:tcW w:type="dxa" w:w="3312"/>
          </w:tcPr>
          <w:p>
            <w:pPr>
              <w:spacing w:after="20"/>
            </w:pPr>
            <w:r/>
            <w:r>
              <w:rPr>
                <w:rFonts w:ascii="Arial" w:hAnsi="Arial"/>
                <w:b w:val="0"/>
                <w:sz w:val="16"/>
              </w:rPr>
              <w:t>Recommended concept; broader benefits, with greater development and security needs.</w:t>
            </w:r>
          </w:p>
        </w:tc>
      </w:tr>
    </w:tbl>
    <w:p>
      <w:pPr>
        <w:spacing w:before="160" w:after="80"/>
      </w:pPr>
      <w:r>
        <w:rPr>
          <w:rFonts w:ascii="Arial" w:hAnsi="Arial"/>
          <w:b/>
          <w:sz w:val="22"/>
          <w:u w:val="single"/>
        </w:rPr>
        <w:t>Technical Feasibility</w:t>
      </w:r>
    </w:p>
    <w:p>
      <w:r>
        <w:t>The system can be developed as a responsive web application using common web technologies, a database, and a hosting service. Development can be completed with available student tools and standard browsers. The team must plan secure login, file upload, backups, and access permissions.</w:t>
      </w:r>
    </w:p>
    <w:p>
      <w:pPr>
        <w:spacing w:before="160" w:after="80"/>
      </w:pPr>
      <w:r>
        <w:rPr>
          <w:rFonts w:ascii="Arial" w:hAnsi="Arial"/>
          <w:b/>
          <w:sz w:val="22"/>
          <w:u w:val="single"/>
        </w:rPr>
        <w:t>Economic Feasibility</w:t>
      </w:r>
    </w:p>
    <w:p>
      <w:r>
        <w:t>The project is suitable for a student prototype because it can begin with free or low-cost development tools and limited hosting. Main possible costs include domain/hosting, internet access, and future maintenance. Expected benefits include reduced manual effort, easier queue distribution, and better application organization. Actual costs and financial benefits should be estimated in the accompanying Excel feasibility sheet.</w:t>
      </w:r>
    </w:p>
    <w:p>
      <w:pPr>
        <w:spacing w:before="160" w:after="80"/>
      </w:pPr>
      <w:r>
        <w:rPr>
          <w:rFonts w:ascii="Arial" w:hAnsi="Arial"/>
          <w:b/>
          <w:sz w:val="22"/>
          <w:u w:val="single"/>
        </w:rPr>
        <w:t>Operational Feasibility</w:t>
      </w:r>
    </w:p>
    <w:p>
      <w:r>
        <w:t>The system supports familiar tasks such as creating an account, searching, publishing queues, and submitting queue requests. A simple interface and brief user guidance can help customers and staff adopt it. An administrator will be needed to review reported content, manage accounts, and handle basic support.</w:t>
      </w:r>
    </w:p>
    <w:p>
      <w:pPr>
        <w:spacing w:before="160" w:after="80"/>
      </w:pPr>
      <w:r>
        <w:rPr>
          <w:rFonts w:ascii="Arial" w:hAnsi="Arial"/>
          <w:b/>
          <w:sz w:val="22"/>
          <w:u w:val="single"/>
        </w:rPr>
        <w:t>Schedule Feasibility</w:t>
      </w:r>
    </w:p>
    <w:p>
      <w:r>
        <w:t>A working academic prototype appears achievable if the team limits the first release to core features and divides work clearly. The proposed schedule on the next page is an initial estimate and should be adjusted to the course deadline, team availability, and supervisor feedback.</w:t>
      </w:r>
    </w:p>
    <w:p>
      <w:r/>
    </w:p>
    <w:p>
      <w:pPr>
        <w:spacing w:before="200" w:after="360"/>
        <w:jc w:val="center"/>
      </w:pPr>
      <w:r>
        <w:rPr>
          <w:rFonts w:ascii="Arial" w:hAnsi="Arial"/>
          <w:b/>
          <w:color w:val="19375A"/>
          <w:sz w:val="34"/>
          <w:u w:val="single"/>
        </w:rPr>
        <w:t>Time Estimation</w:t>
      </w:r>
    </w:p>
    <w:p>
      <w:r>
        <w:t>The following is a preliminary schedule for the first academic prototype. The percentages follow the planning model used in the sample project.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shd w:fill="4F81BD"/>
          </w:tcPr>
          <w:p>
            <w:pPr>
              <w:spacing w:after="20"/>
            </w:pPr>
            <w:r/>
            <w:r>
              <w:rPr>
                <w:rFonts w:ascii="Arial" w:hAnsi="Arial"/>
                <w:b/>
                <w:color w:val="FFFFFF"/>
                <w:sz w:val="18"/>
              </w:rPr>
            </w:r>
          </w:p>
        </w:tc>
        <w:tc>
          <w:tcPr>
            <w:tcW w:type="dxa" w:w="1987"/>
            <w:shd w:fill="4F81BD"/>
          </w:tcPr>
          <w:p>
            <w:pPr>
              <w:spacing w:after="20"/>
            </w:pPr>
            <w:r/>
            <w:r>
              <w:rPr>
                <w:rFonts w:ascii="Arial" w:hAnsi="Arial"/>
                <w:b/>
                <w:color w:val="FFFFFF"/>
                <w:sz w:val="18"/>
              </w:rPr>
              <w:t>Planning</w:t>
            </w:r>
          </w:p>
        </w:tc>
        <w:tc>
          <w:tcPr>
            <w:tcW w:type="dxa" w:w="1987"/>
            <w:shd w:fill="4F81BD"/>
          </w:tcPr>
          <w:p>
            <w:pPr>
              <w:spacing w:after="20"/>
            </w:pPr>
            <w:r/>
            <w:r>
              <w:rPr>
                <w:rFonts w:ascii="Arial" w:hAnsi="Arial"/>
                <w:b/>
                <w:color w:val="FFFFFF"/>
                <w:sz w:val="18"/>
              </w:rPr>
              <w:t>Analysis</w:t>
            </w:r>
          </w:p>
        </w:tc>
        <w:tc>
          <w:tcPr>
            <w:tcW w:type="dxa" w:w="1987"/>
            <w:shd w:fill="4F81BD"/>
          </w:tcPr>
          <w:p>
            <w:pPr>
              <w:spacing w:after="20"/>
            </w:pPr>
            <w:r/>
            <w:r>
              <w:rPr>
                <w:rFonts w:ascii="Arial" w:hAnsi="Arial"/>
                <w:b/>
                <w:color w:val="FFFFFF"/>
                <w:sz w:val="18"/>
              </w:rPr>
              <w:t>Design</w:t>
            </w:r>
          </w:p>
        </w:tc>
        <w:tc>
          <w:tcPr>
            <w:tcW w:type="dxa" w:w="1987"/>
            <w:shd w:fill="4F81BD"/>
          </w:tcPr>
          <w:p>
            <w:pPr>
              <w:spacing w:after="20"/>
            </w:pPr>
            <w:r/>
            <w:r>
              <w:rPr>
                <w:rFonts w:ascii="Arial" w:hAnsi="Arial"/>
                <w:b/>
                <w:color w:val="FFFFFF"/>
                <w:sz w:val="18"/>
              </w:rPr>
              <w:t>Implementation</w:t>
            </w:r>
          </w:p>
        </w:tc>
      </w:tr>
      <w:tr>
        <w:tc>
          <w:tcPr>
            <w:tcW w:type="dxa" w:w="1987"/>
            <w:shd w:fill="D6E4F0"/>
          </w:tcPr>
          <w:p>
            <w:pPr>
              <w:spacing w:after="20"/>
            </w:pPr>
            <w:r/>
            <w:r>
              <w:rPr>
                <w:rFonts w:ascii="Arial" w:hAnsi="Arial"/>
                <w:b/>
                <w:sz w:val="18"/>
              </w:rPr>
              <w:t>Standard percentages</w:t>
            </w:r>
          </w:p>
        </w:tc>
        <w:tc>
          <w:tcPr>
            <w:tcW w:type="dxa" w:w="1987"/>
            <w:shd w:fill="D6E4F0"/>
          </w:tcPr>
          <w:p>
            <w:pPr>
              <w:spacing w:after="20"/>
            </w:pPr>
            <w:r/>
            <w:r>
              <w:rPr>
                <w:rFonts w:ascii="Arial" w:hAnsi="Arial"/>
                <w:b w:val="0"/>
                <w:sz w:val="18"/>
              </w:rPr>
              <w:t>15%</w:t>
            </w:r>
          </w:p>
        </w:tc>
        <w:tc>
          <w:tcPr>
            <w:tcW w:type="dxa" w:w="1987"/>
            <w:shd w:fill="D6E4F0"/>
          </w:tcPr>
          <w:p>
            <w:pPr>
              <w:spacing w:after="20"/>
            </w:pPr>
            <w:r/>
            <w:r>
              <w:rPr>
                <w:rFonts w:ascii="Arial" w:hAnsi="Arial"/>
                <w:b w:val="0"/>
                <w:sz w:val="18"/>
              </w:rPr>
              <w:t>20%</w:t>
            </w:r>
          </w:p>
        </w:tc>
        <w:tc>
          <w:tcPr>
            <w:tcW w:type="dxa" w:w="1987"/>
            <w:shd w:fill="D6E4F0"/>
          </w:tcPr>
          <w:p>
            <w:pPr>
              <w:spacing w:after="20"/>
            </w:pPr>
            <w:r/>
            <w:r>
              <w:rPr>
                <w:rFonts w:ascii="Arial" w:hAnsi="Arial"/>
                <w:b w:val="0"/>
                <w:sz w:val="18"/>
              </w:rPr>
              <w:t>35%</w:t>
            </w:r>
          </w:p>
        </w:tc>
        <w:tc>
          <w:tcPr>
            <w:tcW w:type="dxa" w:w="1987"/>
            <w:shd w:fill="D6E4F0"/>
          </w:tcPr>
          <w:p>
            <w:pPr>
              <w:spacing w:after="20"/>
            </w:pPr>
            <w:r/>
            <w:r>
              <w:rPr>
                <w:rFonts w:ascii="Arial" w:hAnsi="Arial"/>
                <w:b w:val="0"/>
                <w:sz w:val="18"/>
              </w:rPr>
              <w:t>30%</w:t>
            </w:r>
          </w:p>
        </w:tc>
      </w:tr>
      <w:tr>
        <w:tc>
          <w:tcPr>
            <w:tcW w:type="dxa" w:w="1987"/>
            <w:shd w:fill="EAF0F6"/>
          </w:tcPr>
          <w:p>
            <w:pPr>
              <w:spacing w:after="20"/>
            </w:pPr>
            <w:r/>
            <w:r>
              <w:rPr>
                <w:rFonts w:ascii="Arial" w:hAnsi="Arial"/>
                <w:b/>
                <w:sz w:val="18"/>
              </w:rPr>
              <w:t>Estimated time</w:t>
            </w:r>
          </w:p>
        </w:tc>
        <w:tc>
          <w:tcPr>
            <w:tcW w:type="dxa" w:w="1987"/>
            <w:shd w:fill="EAF0F6"/>
          </w:tcPr>
          <w:p>
            <w:pPr>
              <w:spacing w:after="20"/>
            </w:pPr>
            <w:r/>
            <w:r>
              <w:rPr>
                <w:rFonts w:ascii="Arial" w:hAnsi="Arial"/>
                <w:b w:val="0"/>
                <w:sz w:val="18"/>
              </w:rPr>
              <w:t>3 days</w:t>
            </w:r>
          </w:p>
        </w:tc>
        <w:tc>
          <w:tcPr>
            <w:tcW w:type="dxa" w:w="1987"/>
            <w:shd w:fill="EAF0F6"/>
          </w:tcPr>
          <w:p>
            <w:pPr>
              <w:spacing w:after="20"/>
            </w:pPr>
            <w:r/>
            <w:r>
              <w:rPr>
                <w:rFonts w:ascii="Arial" w:hAnsi="Arial"/>
                <w:b w:val="0"/>
                <w:sz w:val="18"/>
              </w:rPr>
              <w:t>4 days</w:t>
            </w:r>
          </w:p>
        </w:tc>
        <w:tc>
          <w:tcPr>
            <w:tcW w:type="dxa" w:w="1987"/>
            <w:shd w:fill="EAF0F6"/>
          </w:tcPr>
          <w:p>
            <w:pPr>
              <w:spacing w:after="20"/>
            </w:pPr>
            <w:r/>
            <w:r>
              <w:rPr>
                <w:rFonts w:ascii="Arial" w:hAnsi="Arial"/>
                <w:b w:val="0"/>
                <w:sz w:val="18"/>
              </w:rPr>
              <w:t>7 days</w:t>
            </w:r>
          </w:p>
        </w:tc>
        <w:tc>
          <w:tcPr>
            <w:tcW w:type="dxa" w:w="1987"/>
            <w:shd w:fill="EAF0F6"/>
          </w:tcPr>
          <w:p>
            <w:pPr>
              <w:spacing w:after="20"/>
            </w:pPr>
            <w:r/>
            <w:r>
              <w:rPr>
                <w:rFonts w:ascii="Arial" w:hAnsi="Arial"/>
                <w:b w:val="0"/>
                <w:sz w:val="18"/>
              </w:rPr>
              <w:t>6 days</w:t>
            </w:r>
          </w:p>
        </w:tc>
      </w:tr>
    </w:tbl>
    <w:p>
      <w:pPr>
        <w:spacing w:before="360"/>
      </w:pPr>
      <w:r>
        <w:rPr>
          <w:b/>
        </w:rPr>
        <w:t xml:space="preserve">Total estimated duration: </w:t>
      </w:r>
      <w:r>
        <w:t>20 working days</w:t>
      </w:r>
    </w:p>
    <w:p>
      <w:r>
        <w:t>Note: This estimate is illustrative. The team should replace it with the agreed task owners and actual course deadline once confirmed.</w:t>
      </w:r>
    </w:p>
    <w:sectPr w:rsidR="00FC693F" w:rsidRPr="0006063C" w:rsidSect="00034616">
      <w:headerReference w:type="default" r:id="rId9"/>
      <w:footerReference w:type="default" r:id="rId10"/>
      <w:pgSz w:w="12240" w:h="15840"/>
      <w:pgMar w:top="1037" w:right="1152" w:bottom="1037"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color w:val="2323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