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Default Extension="odttf" ContentType="application/vnd.openxmlformats-officedocument.obfuscatedFont"/>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600" w:after="280"/>
        <w:jc w:val="left"/>
      </w:pPr>
      <w:r>
        <w:drawing>
          <wp:inline xmlns:a="http://schemas.openxmlformats.org/drawingml/2006/main" xmlns:pic="http://schemas.openxmlformats.org/drawingml/2006/picture">
            <wp:extent cx="713232" cy="713232"/>
            <wp:docPr id="1" name="Picture 1" title="Nabda primary Al-Nuqta logo" descr="Teal squircle containing a white clinical arc and heartbeat with a Gold nuqta above it."/>
            <wp:cNvGraphicFramePr>
              <a:graphicFrameLocks noChangeAspect="1"/>
            </wp:cNvGraphicFramePr>
            <a:graphic>
              <a:graphicData uri="http://schemas.openxmlformats.org/drawingml/2006/picture">
                <pic:pic>
                  <pic:nvPicPr>
                    <pic:cNvPr id="0" name="nabda-primary-logo.png"/>
                    <pic:cNvPicPr/>
                  </pic:nvPicPr>
                  <pic:blipFill>
                    <a:blip r:embed="rId11"/>
                    <a:stretch>
                      <a:fillRect/>
                    </a:stretch>
                  </pic:blipFill>
                  <pic:spPr>
                    <a:xfrm>
                      <a:off x="0" y="0"/>
                      <a:ext cx="713232" cy="713232"/>
                    </a:xfrm>
                    <a:prstGeom prst="rect"/>
                  </pic:spPr>
                </pic:pic>
              </a:graphicData>
            </a:graphic>
          </wp:inline>
        </w:drawing>
      </w:r>
    </w:p>
    <w:p>
      <w:pPr>
        <w:widowControl/>
        <w:spacing w:before="560" w:after="160"/>
      </w:pPr>
      <w:r>
        <w:rPr>
          <w:rFonts w:ascii="IBM Plex Mono" w:hAnsi="IBM Plex Mono" w:cs="IBM Plex Mono" w:eastAsia="IBM Plex Mono"/>
          <w:b/>
          <w:color w:val="0E7C74"/>
          <w:sz w:val="18"/>
        </w:rPr>
        <w:t>CLINICAL SYSTEMS DESIGN MANUAL</w:t>
      </w:r>
    </w:p>
    <w:p>
      <w:pPr>
        <w:pStyle w:val="Title"/>
        <w:widowControl/>
      </w:pPr>
      <w:r>
        <w:t>Nabda (نبضة)</w:t>
      </w:r>
    </w:p>
    <w:p>
      <w:pPr>
        <w:pStyle w:val="Subtitle"/>
        <w:widowControl/>
      </w:pPr>
      <w:r>
        <w:t>UI/UX Design Specification &amp; Research Manual</w:t>
      </w:r>
    </w:p>
    <w:p>
      <w:pPr>
        <w:widowControl/>
        <w:spacing w:after="560"/>
      </w:pPr>
      <w:r>
        <w:rPr>
          <w:rFonts w:ascii="Readex Pro" w:hAnsi="Readex Pro" w:cs="Readex Pro" w:eastAsia="Readex Pro"/>
          <w:b/>
          <w:color w:val="12305C"/>
          <w:sz w:val="24"/>
        </w:rPr>
        <w:t>Pulse MVP · Clinical-grade interaction architecture · Brand refresh 1.1</w:t>
      </w:r>
    </w:p>
    <w:p>
      <w:pPr>
        <w:pStyle w:val="NabdaCallout"/>
        <w:shd w:fill="FFF0CE"/>
        <w:widowControl/>
        <w:pBdr>
          <w:left w:val="single" w:sz="18" w:space="10" w:color="8A5E10"/>
        </w:pBdr>
      </w:pPr>
      <w:r>
        <w:rPr>
          <w:rFonts w:ascii="IBM Plex Sans Arabic" w:hAnsi="IBM Plex Sans Arabic" w:cs="IBM Plex Sans Arabic" w:eastAsia="IBM Plex Sans Arabic"/>
          <w:color w:val="04191A"/>
          <w:sz w:val="20"/>
        </w:rPr>
        <w:t>Clinical safety position. Pulse assists; authorized clinicians decide. Consent, provenance, review, and audit are visible system states.</w:t>
      </w:r>
    </w:p>
    <w:p>
      <w:pPr>
        <w:widowControl/>
        <w:spacing w:after="60"/>
      </w:pPr>
      <w:r>
        <w:rPr>
          <w:rFonts w:ascii="IBM Plex Mono" w:hAnsi="IBM Plex Mono" w:cs="IBM Plex Mono" w:eastAsia="IBM Plex Mono"/>
          <w:b/>
          <w:color w:val="0E7C74"/>
          <w:sz w:val="16"/>
        </w:rPr>
        <w:t xml:space="preserve">STATUS  </w:t>
      </w:r>
      <w:r>
        <w:rPr>
          <w:rFonts w:ascii="IBM Plex Sans Arabic" w:hAnsi="IBM Plex Sans Arabic" w:cs="IBM Plex Sans Arabic" w:eastAsia="IBM Plex Sans Arabic"/>
          <w:color w:val="3F5E5C"/>
          <w:sz w:val="18"/>
        </w:rPr>
        <w:t>Production-ready MVP design baseline</w:t>
      </w:r>
    </w:p>
    <w:p>
      <w:pPr>
        <w:widowControl/>
        <w:spacing w:after="60"/>
      </w:pPr>
      <w:r>
        <w:rPr>
          <w:rFonts w:ascii="IBM Plex Mono" w:hAnsi="IBM Plex Mono" w:cs="IBM Plex Mono" w:eastAsia="IBM Plex Mono"/>
          <w:b/>
          <w:color w:val="0E7C74"/>
          <w:sz w:val="16"/>
        </w:rPr>
        <w:t xml:space="preserve">AUDIENCE  </w:t>
      </w:r>
      <w:r>
        <w:rPr>
          <w:rFonts w:ascii="IBM Plex Sans Arabic" w:hAnsi="IBM Plex Sans Arabic" w:cs="IBM Plex Sans Arabic" w:eastAsia="IBM Plex Sans Arabic"/>
          <w:color w:val="3F5E5C"/>
          <w:sz w:val="18"/>
        </w:rPr>
        <w:t>Product · Research · Design · Engineering · QA · Clinical safety · Operations</w:t>
      </w:r>
    </w:p>
    <w:p>
      <w:pPr>
        <w:widowControl/>
        <w:spacing w:after="60"/>
      </w:pPr>
      <w:r>
        <w:rPr>
          <w:rFonts w:ascii="IBM Plex Mono" w:hAnsi="IBM Plex Mono" w:cs="IBM Plex Mono" w:eastAsia="IBM Plex Mono"/>
          <w:b/>
          <w:color w:val="0E7C74"/>
          <w:sz w:val="16"/>
        </w:rPr>
        <w:t xml:space="preserve">PREPARED  </w:t>
      </w:r>
      <w:r>
        <w:rPr>
          <w:rFonts w:ascii="IBM Plex Sans Arabic" w:hAnsi="IBM Plex Sans Arabic" w:cs="IBM Plex Sans Arabic" w:eastAsia="IBM Plex Sans Arabic"/>
          <w:color w:val="3F5E5C"/>
          <w:sz w:val="18"/>
        </w:rPr>
        <w:t>24 August 2026 · Cairo, Egypt</w:t>
      </w:r>
    </w:p>
    <w:p>
      <w:pPr>
        <w:widowControl/>
        <w:spacing w:after="60"/>
      </w:pPr>
      <w:r>
        <w:rPr>
          <w:rFonts w:ascii="IBM Plex Mono" w:hAnsi="IBM Plex Mono" w:cs="IBM Plex Mono" w:eastAsia="IBM Plex Mono"/>
          <w:b/>
          <w:color w:val="0E7C74"/>
          <w:sz w:val="16"/>
        </w:rPr>
        <w:t xml:space="preserve">BRAND  </w:t>
      </w:r>
      <w:r>
        <w:rPr>
          <w:rFonts w:ascii="IBM Plex Sans Arabic" w:hAnsi="IBM Plex Sans Arabic" w:cs="IBM Plex Sans Arabic" w:eastAsia="IBM Plex Sans Arabic"/>
          <w:color w:val="3F5E5C"/>
          <w:sz w:val="18"/>
        </w:rPr>
        <w:t>Al-Nuqta · Readex Pro · IBM Plex Sans Arabic · IBM Plex Mono · Paper / Teal / Pulse Gold</w:t>
      </w:r>
    </w:p>
    <w:p>
      <w:pPr>
        <w:widowControl/>
        <w:spacing w:before="280" w:after="0"/>
      </w:pPr>
      <w:r>
        <w:drawing>
          <wp:inline xmlns:a="http://schemas.openxmlformats.org/drawingml/2006/main" xmlns:pic="http://schemas.openxmlformats.org/drawingml/2006/picture">
            <wp:extent cx="5486400" cy="243840"/>
            <wp:docPr id="2" name="Picture 2" title="Nabda interval motif" descr="A long teal line with exactly one heartbeat."/>
            <wp:cNvGraphicFramePr>
              <a:graphicFrameLocks noChangeAspect="1"/>
            </wp:cNvGraphicFramePr>
            <a:graphic>
              <a:graphicData uri="http://schemas.openxmlformats.org/drawingml/2006/picture">
                <pic:pic>
                  <pic:nvPicPr>
                    <pic:cNvPr id="0" name="nabda-interval-motif.png"/>
                    <pic:cNvPicPr/>
                  </pic:nvPicPr>
                  <pic:blipFill>
                    <a:blip r:embed="rId12"/>
                    <a:stretch>
                      <a:fillRect/>
                    </a:stretch>
                  </pic:blipFill>
                  <pic:spPr>
                    <a:xfrm>
                      <a:off x="0" y="0"/>
                      <a:ext cx="5486400" cy="243840"/>
                    </a:xfrm>
                    <a:prstGeom prst="rect"/>
                  </pic:spPr>
                </pic:pic>
              </a:graphicData>
            </a:graphic>
          </wp:inline>
        </w:drawing>
      </w:r>
    </w:p>
    <w:p>
      <w:pPr>
        <w:widowControl/>
      </w:pPr>
      <w:r>
        <w:br w:type="page"/>
      </w:r>
    </w:p>
    <w:p>
      <w:pPr>
        <w:pStyle w:val="Heading1"/>
        <w:pageBreakBefore w:val="0"/>
        <w:widowControl/>
      </w:pPr>
      <w:r>
        <w:t>Contents</w:t>
      </w:r>
    </w:p>
    <w:p>
      <w:pPr>
        <w:widowControl/>
        <w:numPr>
          <w:ilvl w:val="0"/>
          <w:numId w:val="12"/>
        </w:numPr>
      </w:pPr>
      <w:r>
        <w:rPr>
          <w:rFonts w:ascii="IBM Plex Sans Arabic" w:hAnsi="IBM Plex Sans Arabic" w:cs="IBM Plex Sans Arabic" w:eastAsia="IBM Plex Sans Arabic"/>
          <w:color w:val="04191A"/>
          <w:sz w:val="20"/>
        </w:rPr>
        <w:t>Executive Summary &amp; Clinical UX Ethos</w:t>
      </w:r>
    </w:p>
    <w:p>
      <w:pPr>
        <w:widowControl/>
        <w:numPr>
          <w:ilvl w:val="0"/>
          <w:numId w:val="12"/>
        </w:numPr>
      </w:pPr>
      <w:r>
        <w:rPr>
          <w:rFonts w:ascii="IBM Plex Sans Arabic" w:hAnsi="IBM Plex Sans Arabic" w:cs="IBM Plex Sans Arabic" w:eastAsia="IBM Plex Sans Arabic"/>
          <w:color w:val="04191A"/>
          <w:sz w:val="20"/>
        </w:rPr>
        <w:t>Comprehensive UX Research Overview &amp; Status Checklist</w:t>
      </w:r>
    </w:p>
    <w:p>
      <w:pPr>
        <w:widowControl/>
        <w:numPr>
          <w:ilvl w:val="0"/>
          <w:numId w:val="12"/>
        </w:numPr>
      </w:pPr>
      <w:r>
        <w:rPr>
          <w:rFonts w:ascii="IBM Plex Sans Arabic" w:hAnsi="IBM Plex Sans Arabic" w:cs="IBM Plex Sans Arabic" w:eastAsia="IBM Plex Sans Arabic"/>
          <w:color w:val="04191A"/>
          <w:sz w:val="20"/>
        </w:rPr>
        <w:t>Master Brand &amp; Design System Guide</w:t>
      </w:r>
    </w:p>
    <w:p>
      <w:pPr>
        <w:widowControl/>
        <w:numPr>
          <w:ilvl w:val="0"/>
          <w:numId w:val="12"/>
        </w:numPr>
      </w:pPr>
      <w:r>
        <w:rPr>
          <w:rFonts w:ascii="IBM Plex Sans Arabic" w:hAnsi="IBM Plex Sans Arabic" w:cs="IBM Plex Sans Arabic" w:eastAsia="IBM Plex Sans Arabic"/>
          <w:color w:val="04191A"/>
          <w:sz w:val="20"/>
        </w:rPr>
        <w:t>Role-Based Workspaces &amp; Detailed UI Specifications</w:t>
      </w:r>
    </w:p>
    <w:p>
      <w:pPr>
        <w:widowControl/>
        <w:numPr>
          <w:ilvl w:val="0"/>
          <w:numId w:val="12"/>
        </w:numPr>
      </w:pPr>
      <w:r>
        <w:rPr>
          <w:rFonts w:ascii="IBM Plex Sans Arabic" w:hAnsi="IBM Plex Sans Arabic" w:cs="IBM Plex Sans Arabic" w:eastAsia="IBM Plex Sans Arabic"/>
          <w:color w:val="04191A"/>
          <w:sz w:val="20"/>
        </w:rPr>
        <w:t>Detailed Feature Implementation &amp; Micro-Interaction Guide</w:t>
      </w:r>
    </w:p>
    <w:p>
      <w:pPr>
        <w:widowControl/>
        <w:numPr>
          <w:ilvl w:val="0"/>
          <w:numId w:val="12"/>
        </w:numPr>
      </w:pPr>
      <w:r>
        <w:rPr>
          <w:rFonts w:ascii="IBM Plex Sans Arabic" w:hAnsi="IBM Plex Sans Arabic" w:cs="IBM Plex Sans Arabic" w:eastAsia="IBM Plex Sans Arabic"/>
          <w:color w:val="04191A"/>
          <w:sz w:val="20"/>
        </w:rPr>
        <w:t>Scope Matrix &amp; Implementation Roadmap</w:t>
      </w:r>
    </w:p>
    <w:p>
      <w:pPr>
        <w:widowControl/>
        <w:numPr>
          <w:ilvl w:val="0"/>
          <w:numId w:val="12"/>
        </w:numPr>
      </w:pPr>
      <w:r>
        <w:rPr>
          <w:rFonts w:ascii="IBM Plex Sans Arabic" w:hAnsi="IBM Plex Sans Arabic" w:cs="IBM Plex Sans Arabic" w:eastAsia="IBM Plex Sans Arabic"/>
          <w:color w:val="04191A"/>
          <w:sz w:val="20"/>
        </w:rPr>
        <w:t>Microsoft Word Export Optimization Guidelines</w:t>
      </w:r>
    </w:p>
    <w:p>
      <w:pPr>
        <w:widowControl/>
        <w:numPr>
          <w:ilvl w:val="0"/>
          <w:numId w:val="12"/>
        </w:numPr>
      </w:pPr>
      <w:r>
        <w:rPr>
          <w:rFonts w:ascii="IBM Plex Sans Arabic" w:hAnsi="IBM Plex Sans Arabic" w:cs="IBM Plex Sans Arabic" w:eastAsia="IBM Plex Sans Arabic"/>
          <w:color w:val="04191A"/>
          <w:sz w:val="20"/>
        </w:rPr>
        <w:t>Appendices: acceptance criteria, analytics, glossary, and sources</w:t>
      </w:r>
    </w:p>
    <w:p>
      <w:pPr>
        <w:pStyle w:val="Heading1"/>
        <w:widowControl/>
      </w:pPr>
      <w:r>
        <w:t>1. Executive Summary &amp; Clinical UX Ethos</w:t>
      </w:r>
    </w:p>
    <w:p>
      <w:pPr>
        <w:pStyle w:val="Heading2"/>
        <w:widowControl/>
      </w:pPr>
      <w:r>
        <w:t>1.1 Product proposition</w:t>
      </w:r>
    </w:p>
    <w:p>
      <w:pPr>
        <w:widowControl/>
      </w:pPr>
      <w:r>
        <w:rPr>
          <w:rFonts w:ascii="IBM Plex Sans Arabic" w:hAnsi="IBM Plex Sans Arabic" w:cs="IBM Plex Sans Arabic" w:eastAsia="IBM Plex Sans Arabic"/>
          <w:color w:val="04191A"/>
          <w:sz w:val="20"/>
        </w:rPr>
        <w:t xml:space="preserve">Nabda (نبضة) is an AI-assisted clinic management system for small and medium clinics in Egypt and the Arab region. Its navigation model is the </w:t>
      </w:r>
      <w:r>
        <w:rPr>
          <w:rFonts w:ascii="IBM Plex Sans Arabic" w:hAnsi="IBM Plex Sans Arabic" w:cs="IBM Plex Sans Arabic" w:eastAsia="IBM Plex Sans Arabic"/>
          <w:b/>
          <w:color w:val="04191A"/>
          <w:sz w:val="20"/>
        </w:rPr>
        <w:t>patient aggregate</w:t>
      </w:r>
      <w:r>
        <w:rPr>
          <w:rFonts w:ascii="IBM Plex Sans Arabic" w:hAnsi="IBM Plex Sans Arabic" w:cs="IBM Plex Sans Arabic" w:eastAsia="IBM Plex Sans Arabic"/>
          <w:color w:val="04191A"/>
          <w:sz w:val="20"/>
        </w:rPr>
        <w:t>: appointments, encounters, recordings, transcript versions, prescriptions, billing records, consent records, messages, and audit events resolve to one patient identity. Users should never need to reconstruct a patient story by searching disconnected modules.</w:t>
      </w:r>
    </w:p>
    <w:p>
      <w:pPr>
        <w:widowControl/>
      </w:pPr>
      <w:r>
        <w:rPr>
          <w:rFonts w:ascii="IBM Plex Sans Arabic" w:hAnsi="IBM Plex Sans Arabic" w:cs="IBM Plex Sans Arabic" w:eastAsia="IBM Plex Sans Arabic"/>
          <w:color w:val="04191A"/>
          <w:sz w:val="20"/>
        </w:rPr>
        <w:t>Pulse is an integrated clinical and operational assistant. It supports consented transcription, structured extraction, approved clinic FAQ retrieval, appointment constraint collection, and human handoff. Pulse must always disclose its automated state, show evidence and uncertainty, operate only through allow-listed application actions, and yield to authorized humans.</w:t>
      </w:r>
    </w:p>
    <w:p>
      <w:pPr>
        <w:pStyle w:val="Heading3"/>
        <w:widowControl/>
      </w:pPr>
      <w:r>
        <w:t>1.1.1 Design outcome</w:t>
      </w:r>
    </w:p>
    <w:p>
      <w:pPr>
        <w:widowControl/>
      </w:pPr>
      <w:r>
        <w:rPr>
          <w:rFonts w:ascii="IBM Plex Sans Arabic" w:hAnsi="IBM Plex Sans Arabic" w:cs="IBM Plex Sans Arabic" w:eastAsia="IBM Plex Sans Arabic"/>
          <w:color w:val="04191A"/>
          <w:sz w:val="20"/>
        </w:rPr>
        <w:t>The MVP shall feel calm under pressure, fast for repetitive work, explicit at safety boundaries, bilingual without visual hierarchy loss, and resilient to weak connectivity. A successful experience is not merely a completed task; it is a completed task with the correct patient, authorized actor, visible system state, recoverable failure, and auditable outcome.</w:t>
      </w:r>
    </w:p>
    <w:p>
      <w:pPr>
        <w:pStyle w:val="Heading2"/>
        <w:widowControl/>
      </w:pPr>
      <w:r>
        <w:t>1.2 Clinical UX principles</w:t>
      </w:r>
    </w:p>
    <w:p>
      <w:pPr>
        <w:widowControl/>
        <w:numPr>
          <w:ilvl w:val="0"/>
          <w:numId w:val="13"/>
        </w:numPr>
      </w:pPr>
      <w:r>
        <w:rPr>
          <w:rFonts w:ascii="IBM Plex Sans Arabic" w:hAnsi="IBM Plex Sans Arabic" w:cs="IBM Plex Sans Arabic" w:eastAsia="IBM Plex Sans Arabic"/>
          <w:b/>
          <w:color w:val="04191A"/>
          <w:sz w:val="20"/>
        </w:rPr>
        <w:t>Patient aggregate first.</w:t>
      </w:r>
      <w:r>
        <w:rPr>
          <w:rFonts w:ascii="IBM Plex Sans Arabic" w:hAnsi="IBM Plex Sans Arabic" w:cs="IBM Plex Sans Arabic" w:eastAsia="IBM Plex Sans Arabic"/>
          <w:color w:val="04191A"/>
          <w:sz w:val="20"/>
        </w:rPr>
        <w:t xml:space="preserve"> Every clinical or administrative object exposes patient identity, encounter context, clinic scope, and source. Global search resolves to a patient before actions are offered.</w:t>
      </w:r>
    </w:p>
    <w:p>
      <w:pPr>
        <w:widowControl/>
        <w:numPr>
          <w:ilvl w:val="0"/>
          <w:numId w:val="13"/>
        </w:numPr>
      </w:pPr>
      <w:r>
        <w:rPr>
          <w:rFonts w:ascii="IBM Plex Sans Arabic" w:hAnsi="IBM Plex Sans Arabic" w:cs="IBM Plex Sans Arabic" w:eastAsia="IBM Plex Sans Arabic"/>
          <w:b/>
          <w:color w:val="04191A"/>
          <w:sz w:val="20"/>
        </w:rPr>
        <w:t>Zero unauthorized clinical automation.</w:t>
      </w:r>
      <w:r>
        <w:rPr>
          <w:rFonts w:ascii="IBM Plex Sans Arabic" w:hAnsi="IBM Plex Sans Arabic" w:cs="IBM Plex Sans Arabic" w:eastAsia="IBM Plex Sans Arabic"/>
          <w:color w:val="04191A"/>
          <w:sz w:val="20"/>
        </w:rPr>
        <w:t xml:space="preserve"> Pulse may suggest, extract, normalize, or prepare. It may not diagnose, prescribe, sign, silently change records, or execute a clinical decision.</w:t>
      </w:r>
    </w:p>
    <w:p>
      <w:pPr>
        <w:widowControl/>
        <w:numPr>
          <w:ilvl w:val="0"/>
          <w:numId w:val="13"/>
        </w:numPr>
      </w:pPr>
      <w:r>
        <w:rPr>
          <w:rFonts w:ascii="IBM Plex Sans Arabic" w:hAnsi="IBM Plex Sans Arabic" w:cs="IBM Plex Sans Arabic" w:eastAsia="IBM Plex Sans Arabic"/>
          <w:b/>
          <w:color w:val="04191A"/>
          <w:sz w:val="20"/>
        </w:rPr>
        <w:t>Clinician in the loop.</w:t>
      </w:r>
      <w:r>
        <w:rPr>
          <w:rFonts w:ascii="IBM Plex Sans Arabic" w:hAnsi="IBM Plex Sans Arabic" w:cs="IBM Plex Sans Arabic" w:eastAsia="IBM Plex Sans Arabic"/>
          <w:color w:val="04191A"/>
          <w:sz w:val="20"/>
        </w:rPr>
        <w:t xml:space="preserve"> Raw evidence, normalized output, confidence, validation issues, and edits remain visible until an authorized clinician signs a version.</w:t>
      </w:r>
    </w:p>
    <w:p>
      <w:pPr>
        <w:widowControl/>
        <w:numPr>
          <w:ilvl w:val="0"/>
          <w:numId w:val="13"/>
        </w:numPr>
      </w:pPr>
      <w:r>
        <w:rPr>
          <w:rFonts w:ascii="IBM Plex Sans Arabic" w:hAnsi="IBM Plex Sans Arabic" w:cs="IBM Plex Sans Arabic" w:eastAsia="IBM Plex Sans Arabic"/>
          <w:b/>
          <w:color w:val="04191A"/>
          <w:sz w:val="20"/>
        </w:rPr>
        <w:t>Consent is a live state.</w:t>
      </w:r>
      <w:r>
        <w:rPr>
          <w:rFonts w:ascii="IBM Plex Sans Arabic" w:hAnsi="IBM Plex Sans Arabic" w:cs="IBM Plex Sans Arabic" w:eastAsia="IBM Plex Sans Arabic"/>
          <w:color w:val="04191A"/>
          <w:sz w:val="20"/>
        </w:rPr>
        <w:t xml:space="preserve"> Recording controls are unavailable without valid consent. Revocation stops capture and follows the configured retention/deletion workflow.</w:t>
      </w:r>
    </w:p>
    <w:p>
      <w:pPr>
        <w:widowControl/>
        <w:numPr>
          <w:ilvl w:val="0"/>
          <w:numId w:val="13"/>
        </w:numPr>
      </w:pPr>
      <w:r>
        <w:rPr>
          <w:rFonts w:ascii="IBM Plex Sans Arabic" w:hAnsi="IBM Plex Sans Arabic" w:cs="IBM Plex Sans Arabic" w:eastAsia="IBM Plex Sans Arabic"/>
          <w:b/>
          <w:color w:val="04191A"/>
          <w:sz w:val="20"/>
        </w:rPr>
        <w:t>Truth has provenance.</w:t>
      </w:r>
      <w:r>
        <w:rPr>
          <w:rFonts w:ascii="IBM Plex Sans Arabic" w:hAnsi="IBM Plex Sans Arabic" w:cs="IBM Plex Sans Arabic" w:eastAsia="IBM Plex Sans Arabic"/>
          <w:color w:val="04191A"/>
          <w:sz w:val="20"/>
        </w:rPr>
        <w:t xml:space="preserve"> The UI distinguishes patient speech, clinician speech, machine transcript, model extraction, clinician edit, and signed record.</w:t>
      </w:r>
    </w:p>
    <w:p>
      <w:pPr>
        <w:widowControl/>
        <w:numPr>
          <w:ilvl w:val="0"/>
          <w:numId w:val="13"/>
        </w:numPr>
      </w:pPr>
      <w:r>
        <w:rPr>
          <w:rFonts w:ascii="IBM Plex Sans Arabic" w:hAnsi="IBM Plex Sans Arabic" w:cs="IBM Plex Sans Arabic" w:eastAsia="IBM Plex Sans Arabic"/>
          <w:b/>
          <w:color w:val="04191A"/>
          <w:sz w:val="20"/>
        </w:rPr>
        <w:t>Commit before confirmation.</w:t>
      </w:r>
      <w:r>
        <w:rPr>
          <w:rFonts w:ascii="IBM Plex Sans Arabic" w:hAnsi="IBM Plex Sans Arabic" w:cs="IBM Plex Sans Arabic" w:eastAsia="IBM Plex Sans Arabic"/>
          <w:color w:val="04191A"/>
          <w:sz w:val="20"/>
        </w:rPr>
        <w:t xml:space="preserve"> Appointment success is shown only after the scheduling service commits. Optimistic UI may show a temporary hold, never a false confirmation.</w:t>
      </w:r>
    </w:p>
    <w:p>
      <w:pPr>
        <w:widowControl/>
        <w:numPr>
          <w:ilvl w:val="0"/>
          <w:numId w:val="13"/>
        </w:numPr>
      </w:pPr>
      <w:r>
        <w:rPr>
          <w:rFonts w:ascii="IBM Plex Sans Arabic" w:hAnsi="IBM Plex Sans Arabic" w:cs="IBM Plex Sans Arabic" w:eastAsia="IBM Plex Sans Arabic"/>
          <w:b/>
          <w:color w:val="04191A"/>
          <w:sz w:val="20"/>
        </w:rPr>
        <w:t>Psychological safety.</w:t>
      </w:r>
      <w:r>
        <w:rPr>
          <w:rFonts w:ascii="IBM Plex Sans Arabic" w:hAnsi="IBM Plex Sans Arabic" w:cs="IBM Plex Sans Arabic" w:eastAsia="IBM Plex Sans Arabic"/>
          <w:color w:val="04191A"/>
          <w:sz w:val="20"/>
        </w:rPr>
        <w:t xml:space="preserve"> Use neutral language, progressive disclosure, stable layouts, undo where legally permitted, and non-blaming recovery copy. Do not use alarmist motion or celebratory effects in clinical flows.</w:t>
      </w:r>
    </w:p>
    <w:p>
      <w:pPr>
        <w:widowControl/>
        <w:numPr>
          <w:ilvl w:val="0"/>
          <w:numId w:val="13"/>
        </w:numPr>
      </w:pPr>
      <w:r>
        <w:rPr>
          <w:rFonts w:ascii="IBM Plex Sans Arabic" w:hAnsi="IBM Plex Sans Arabic" w:cs="IBM Plex Sans Arabic" w:eastAsia="IBM Plex Sans Arabic"/>
          <w:b/>
          <w:color w:val="04191A"/>
          <w:sz w:val="20"/>
        </w:rPr>
        <w:t>Human takeover is unmistakable.</w:t>
      </w:r>
      <w:r>
        <w:rPr>
          <w:rFonts w:ascii="IBM Plex Sans Arabic" w:hAnsi="IBM Plex Sans Arabic" w:cs="IBM Plex Sans Arabic" w:eastAsia="IBM Plex Sans Arabic"/>
          <w:color w:val="04191A"/>
          <w:sz w:val="20"/>
        </w:rPr>
        <w:t xml:space="preserve"> Handoff removes Gold/Pulse styling and replaces it with named staff identity, Teal actions, and Lapis institutional chrome.</w:t>
      </w:r>
    </w:p>
    <w:p>
      <w:pPr>
        <w:widowControl/>
        <w:numPr>
          <w:ilvl w:val="0"/>
          <w:numId w:val="13"/>
        </w:numPr>
      </w:pPr>
      <w:r>
        <w:rPr>
          <w:rFonts w:ascii="IBM Plex Sans Arabic" w:hAnsi="IBM Plex Sans Arabic" w:cs="IBM Plex Sans Arabic" w:eastAsia="IBM Plex Sans Arabic"/>
          <w:b/>
          <w:color w:val="04191A"/>
          <w:sz w:val="20"/>
        </w:rPr>
        <w:t>Bilingual parity.</w:t>
      </w:r>
      <w:r>
        <w:rPr>
          <w:rFonts w:ascii="IBM Plex Sans Arabic" w:hAnsi="IBM Plex Sans Arabic" w:cs="IBM Plex Sans Arabic" w:eastAsia="IBM Plex Sans Arabic"/>
          <w:color w:val="04191A"/>
          <w:sz w:val="20"/>
        </w:rPr>
        <w:t xml:space="preserve"> Arabic is first-class, not a translation layer. RTL and LTR layouts are mirrored structurally; codes, dosages, prices, IDs, and timestamps remain isolated LTR.</w:t>
      </w:r>
    </w:p>
    <w:p>
      <w:pPr>
        <w:widowControl/>
        <w:numPr>
          <w:ilvl w:val="0"/>
          <w:numId w:val="13"/>
        </w:numPr>
      </w:pPr>
      <w:r>
        <w:rPr>
          <w:rFonts w:ascii="IBM Plex Sans Arabic" w:hAnsi="IBM Plex Sans Arabic" w:cs="IBM Plex Sans Arabic" w:eastAsia="IBM Plex Sans Arabic"/>
          <w:b/>
          <w:color w:val="04191A"/>
          <w:sz w:val="20"/>
        </w:rPr>
        <w:t>Accessible by default.</w:t>
      </w:r>
      <w:r>
        <w:rPr>
          <w:rFonts w:ascii="IBM Plex Sans Arabic" w:hAnsi="IBM Plex Sans Arabic" w:cs="IBM Plex Sans Arabic" w:eastAsia="IBM Plex Sans Arabic"/>
          <w:color w:val="04191A"/>
          <w:sz w:val="20"/>
        </w:rPr>
        <w:t xml:space="preserve"> Keyboard, touch, screen reader, zoom, reduced motion, contrast, and non-color status cues are release gates.</w:t>
      </w:r>
    </w:p>
    <w:p>
      <w:pPr>
        <w:pStyle w:val="Heading2"/>
        <w:widowControl/>
      </w:pPr>
      <w:r>
        <w:t>1.3 Human-factors risk controls</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1700"/>
        <w:gridCol w:w="2450"/>
        <w:gridCol w:w="2450"/>
        <w:gridCol w:w="2760"/>
      </w:tblGrid>
      <w:tr>
        <w:trPr>
          <w:tblHeader w:val="true"/>
          <w:cantSplit/>
        </w:trPr>
        <w:tc>
          <w:tcPr>
            <w:tcW w:type="dxa" w:w="17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Hazard</w:t>
            </w:r>
          </w:p>
        </w:tc>
        <w:tc>
          <w:tcPr>
            <w:tcW w:type="dxa" w:w="2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Likely UX failure</w:t>
            </w:r>
          </w:p>
        </w:tc>
        <w:tc>
          <w:tcPr>
            <w:tcW w:type="dxa" w:w="2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Required design control</w:t>
            </w:r>
          </w:p>
        </w:tc>
        <w:tc>
          <w:tcPr>
            <w:tcW w:type="dxa" w:w="27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Verification</w:t>
            </w:r>
          </w:p>
        </w:tc>
      </w:tr>
      <w:tr>
        <w:trPr>
          <w:cantSplit/>
        </w:trPr>
        <w:tc>
          <w:tcPr>
            <w:tcW w:type="dxa" w:w="17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Wrong patient</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Similar names or stale tab context</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Persistent identity banner; DOB/phone disambiguation; context confirmation before sign/save</w:t>
            </w:r>
          </w:p>
        </w:tc>
        <w:tc>
          <w:tcPr>
            <w:tcW w:type="dxa" w:w="27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Usability test with duplicate names; E2E wrong-context test</w:t>
            </w:r>
          </w:p>
        </w:tc>
      </w:tr>
      <w:tr>
        <w:trPr>
          <w:cantSplit/>
        </w:trPr>
        <w:tc>
          <w:tcPr>
            <w:tcW w:type="dxa" w:w="17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 without consent</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Hidden or expired consent</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Consent gate; persistent badge; blocked Record control; revocation stop state</w:t>
            </w:r>
          </w:p>
        </w:tc>
        <w:tc>
          <w:tcPr>
            <w:tcW w:type="dxa" w:w="27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State-machine and audit-log test</w:t>
            </w:r>
          </w:p>
        </w:tc>
      </w:tr>
      <w:tr>
        <w:trPr>
          <w:cantSplit/>
        </w:trPr>
        <w:tc>
          <w:tcPr>
            <w:tcW w:type="dxa" w:w="17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Automation bias</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Normalized medication appears authoritative</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Raw/normalized side-by-side view; Gold AI label; confidence and source links; required review checklist</w:t>
            </w:r>
          </w:p>
        </w:tc>
        <w:tc>
          <w:tcPr>
            <w:tcW w:type="dxa" w:w="27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Clinician comprehension and edit-distance study</w:t>
            </w:r>
          </w:p>
        </w:tc>
      </w:tr>
      <w:tr>
        <w:trPr>
          <w:cantSplit/>
        </w:trPr>
        <w:tc>
          <w:tcPr>
            <w:tcW w:type="dxa" w:w="17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Dose transcription error</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Low-confidence number or unit</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Token-level uncertainty, LTR isolation, range/unit validation, forced acknowledgment</w:t>
            </w:r>
          </w:p>
        </w:tc>
        <w:tc>
          <w:tcPr>
            <w:tcW w:type="dxa" w:w="27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Arabic/English noisy-audio benchmark</w:t>
            </w:r>
          </w:p>
        </w:tc>
      </w:tr>
      <w:tr>
        <w:trPr>
          <w:cantSplit/>
        </w:trPr>
        <w:tc>
          <w:tcPr>
            <w:tcW w:type="dxa" w:w="17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Duplicate booking</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Retry after timeout</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Slot hold, idempotency key, authoritative commit state, duplicate-safe recovery</w:t>
            </w:r>
          </w:p>
        </w:tc>
        <w:tc>
          <w:tcPr>
            <w:tcW w:type="dxa" w:w="27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Network interruption E2E test</w:t>
            </w:r>
          </w:p>
        </w:tc>
      </w:tr>
      <w:tr>
        <w:trPr>
          <w:cantSplit/>
        </w:trPr>
        <w:tc>
          <w:tcPr>
            <w:tcW w:type="dxa" w:w="17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Hidden critical symptom</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Chat continues routine triage</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Emergency keyword path stops bot triage and presents configured emergency action</w:t>
            </w:r>
          </w:p>
        </w:tc>
        <w:tc>
          <w:tcPr>
            <w:tcW w:type="dxa" w:w="27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Red-team phrase suite in both languages</w:t>
            </w:r>
          </w:p>
        </w:tc>
      </w:tr>
      <w:tr>
        <w:trPr>
          <w:cantSplit/>
        </w:trPr>
        <w:tc>
          <w:tcPr>
            <w:tcW w:type="dxa" w:w="17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Queue mis-ordering</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Drag-only reordering or ambiguous time</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Reorder menu and keyboard controls; arrival timestamps; reason capture</w:t>
            </w:r>
          </w:p>
        </w:tc>
        <w:tc>
          <w:tcPr>
            <w:tcW w:type="dxa" w:w="27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Keyboard and multi-user concurrency test</w:t>
            </w:r>
          </w:p>
        </w:tc>
      </w:tr>
      <w:tr>
        <w:trPr>
          <w:cantSplit/>
        </w:trPr>
        <w:tc>
          <w:tcPr>
            <w:tcW w:type="dxa" w:w="17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Cross-tenant exposure</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Developer assumes broad access</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Clinic scope always visible; least-privilege views; audited break-glass pattern if enabled</w:t>
            </w:r>
          </w:p>
        </w:tc>
        <w:tc>
          <w:tcPr>
            <w:tcW w:type="dxa" w:w="27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Authorization matrix and IDOR testing</w:t>
            </w:r>
          </w:p>
        </w:tc>
      </w:tr>
    </w:tbl>
    <w:p>
      <w:pPr>
        <w:widowControl/>
        <w:spacing w:after="40"/>
      </w:pPr>
    </w:p>
    <w:p>
      <w:pPr>
        <w:pStyle w:val="Heading2"/>
        <w:pageBreakBefore/>
        <w:widowControl/>
      </w:pPr>
      <w:r>
        <w:t>1.4 Experience measures</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200"/>
        <w:gridCol w:w="3500"/>
        <w:gridCol w:w="3660"/>
      </w:tblGrid>
      <w:tr>
        <w:trPr>
          <w:tblHeader w:val="true"/>
          <w:cantSplit/>
        </w:trPr>
        <w:tc>
          <w:tcPr>
            <w:tcW w:type="dxa" w:w="22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Outcome</w:t>
            </w:r>
          </w:p>
        </w:tc>
        <w:tc>
          <w:tcPr>
            <w:tcW w:type="dxa" w:w="3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MVP measure</w:t>
            </w:r>
          </w:p>
        </w:tc>
        <w:tc>
          <w:tcPr>
            <w:tcW w:type="dxa" w:w="36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Suggested acceptance target</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Patient identification</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Search-to-correct-patient time and mis-selection rate</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Median under 15 seconds; zero uncorrected wrong-patient actions in validation</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Booking speed</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Start-to-committed-booking time</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Reception median under 60 seconds for known patient</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 readiness</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Consent-to-recording-start time</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Median under 10 seconds after explicit consent</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Prescription review</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Extraction-ready-to-approved time and edit distance</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Establish baseline in pilot; improve without reducing correction rate</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Accessibility</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Automated and manual defects</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Zero critical/high defects in supported flows</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AI calibration</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Confidence versus human correction</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Reliability curve reported by language/noise cohort; no single global score alone</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Recovery</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Retry success without duplicate action</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100% duplicate-safe in defined interruption scenarios</w:t>
            </w:r>
          </w:p>
        </w:tc>
      </w:tr>
    </w:tbl>
    <w:p>
      <w:pPr>
        <w:widowControl/>
        <w:spacing w:after="40"/>
      </w:pPr>
    </w:p>
    <w:p>
      <w:pPr>
        <w:pStyle w:val="Heading1"/>
        <w:widowControl/>
      </w:pPr>
      <w:r>
        <w:t>2. Comprehensive UX Research Overview &amp; Status Checklist</w:t>
      </w:r>
    </w:p>
    <w:p>
      <w:pPr>
        <w:pStyle w:val="Heading2"/>
        <w:widowControl/>
      </w:pPr>
      <w:r>
        <w:t>2.1 Research framing</w:t>
      </w:r>
    </w:p>
    <w:p>
      <w:pPr>
        <w:widowControl/>
      </w:pPr>
      <w:r>
        <w:rPr>
          <w:rFonts w:ascii="IBM Plex Sans Arabic" w:hAnsi="IBM Plex Sans Arabic" w:cs="IBM Plex Sans Arabic" w:eastAsia="IBM Plex Sans Arabic"/>
          <w:color w:val="04191A"/>
          <w:sz w:val="20"/>
        </w:rPr>
        <w:t xml:space="preserve">This manual distinguishes </w:t>
      </w:r>
      <w:r>
        <w:rPr>
          <w:rFonts w:ascii="IBM Plex Sans Arabic" w:hAnsi="IBM Plex Sans Arabic" w:cs="IBM Plex Sans Arabic" w:eastAsia="IBM Plex Sans Arabic"/>
          <w:b/>
          <w:color w:val="04191A"/>
          <w:sz w:val="20"/>
        </w:rPr>
        <w:t>requirements synthesis</w:t>
      </w:r>
      <w:r>
        <w:rPr>
          <w:rFonts w:ascii="IBM Plex Sans Arabic" w:hAnsi="IBM Plex Sans Arabic" w:cs="IBM Plex Sans Arabic" w:eastAsia="IBM Plex Sans Arabic"/>
          <w:color w:val="04191A"/>
          <w:sz w:val="20"/>
        </w:rPr>
        <w:t xml:space="preserve"> from </w:t>
      </w:r>
      <w:r>
        <w:rPr>
          <w:rFonts w:ascii="IBM Plex Sans Arabic" w:hAnsi="IBM Plex Sans Arabic" w:cs="IBM Plex Sans Arabic" w:eastAsia="IBM Plex Sans Arabic"/>
          <w:b/>
          <w:color w:val="04191A"/>
          <w:sz w:val="20"/>
        </w:rPr>
        <w:t>field evidence</w:t>
      </w:r>
      <w:r>
        <w:rPr>
          <w:rFonts w:ascii="IBM Plex Sans Arabic" w:hAnsi="IBM Plex Sans Arabic" w:cs="IBM Plex Sans Arabic" w:eastAsia="IBM Plex Sans Arabic"/>
          <w:color w:val="04191A"/>
          <w:sz w:val="20"/>
        </w:rPr>
        <w:t>. Product and brand documents provide a strong design hypothesis, but they do not prove usability, clinical safety, dialect performance, or accessibility with target users. “Done” below means an artifact is sufficiently defined for design/engineering use; it does not imply a completed clinical study unless evidence is named.</w:t>
      </w:r>
    </w:p>
    <w:p>
      <w:pPr>
        <w:pStyle w:val="Heading2"/>
        <w:widowControl/>
      </w:pPr>
      <w:r>
        <w:t>2.2 Target archetypes</w:t>
      </w:r>
    </w:p>
    <w:p>
      <w:pPr>
        <w:pStyle w:val="Heading3"/>
        <w:widowControl/>
      </w:pPr>
      <w:r>
        <w:t>2.2.1 Doctor / clinic administrator</w:t>
      </w:r>
    </w:p>
    <w:p>
      <w:pPr>
        <w:widowControl/>
      </w:pPr>
      <w:r>
        <w:rPr>
          <w:rFonts w:ascii="IBM Plex Sans Arabic" w:hAnsi="IBM Plex Sans Arabic" w:cs="IBM Plex Sans Arabic" w:eastAsia="IBM Plex Sans Arabic"/>
          <w:color w:val="04191A"/>
          <w:sz w:val="20"/>
        </w:rPr>
        <w:t>Egyptian and Arab-region clinicians working across rapid consultations, interruptions, bilingual medical vocabulary, incomplete histories, and variable device quality. Research must sample solo practitioners, multi-doctor clinics, different specialties, varying digital confidence, and both keyboard-heavy and mobile/tablet behavior.</w:t>
      </w:r>
    </w:p>
    <w:p>
      <w:pPr>
        <w:pStyle w:val="Heading3"/>
        <w:widowControl/>
      </w:pPr>
      <w:r>
        <w:t>2.2.2 Receptionist / register operator</w:t>
      </w:r>
    </w:p>
    <w:p>
      <w:pPr>
        <w:widowControl/>
      </w:pPr>
      <w:r>
        <w:rPr>
          <w:rFonts w:ascii="IBM Plex Sans Arabic" w:hAnsi="IBM Plex Sans Arabic" w:cs="IBM Plex Sans Arabic" w:eastAsia="IBM Plex Sans Arabic"/>
          <w:color w:val="04191A"/>
          <w:sz w:val="20"/>
        </w:rPr>
        <w:t>Front-desk staff who answer phones, manage walk-ins, coordinate rooms, handle multiple doctors, explain fees, resolve conflicts, and switch between Arabic and English names or medical terms. Their primary needs are speed, predictable keyboard flows, conflict visibility, and safe recovery.</w:t>
      </w:r>
    </w:p>
    <w:p>
      <w:pPr>
        <w:pStyle w:val="Heading3"/>
        <w:widowControl/>
      </w:pPr>
      <w:r>
        <w:t>2.2.3 Patient</w:t>
      </w:r>
    </w:p>
    <w:p>
      <w:pPr>
        <w:widowControl/>
      </w:pPr>
      <w:r>
        <w:rPr>
          <w:rFonts w:ascii="IBM Plex Sans Arabic" w:hAnsi="IBM Plex Sans Arabic" w:cs="IBM Plex Sans Arabic" w:eastAsia="IBM Plex Sans Arabic"/>
          <w:color w:val="04191A"/>
          <w:sz w:val="20"/>
        </w:rPr>
        <w:t>Arabic-first and English-first adults, caregivers booking for dependents, older adults, people with low health literacy, screen-reader and motor-access users, and users on low-bandwidth mobile connections. Research must include privacy expectations and prescription comprehension, not only booking conversion.</w:t>
      </w:r>
    </w:p>
    <w:p>
      <w:pPr>
        <w:pStyle w:val="Heading3"/>
        <w:widowControl/>
      </w:pPr>
      <w:r>
        <w:t>2.2.4 Developer / system operations administrator</w:t>
      </w:r>
    </w:p>
    <w:p>
      <w:pPr>
        <w:widowControl/>
      </w:pPr>
      <w:r>
        <w:rPr>
          <w:rFonts w:ascii="IBM Plex Sans Arabic" w:hAnsi="IBM Plex Sans Arabic" w:cs="IBM Plex Sans Arabic" w:eastAsia="IBM Plex Sans Arabic"/>
          <w:color w:val="04191A"/>
          <w:sz w:val="20"/>
        </w:rPr>
        <w:t>Platform operators responsible for tenant provisioning, configuration, prompt/model versions, observability, provider failover, and audit inspection. Access must be operationally powerful without implying unrestricted clinical-record visibility.</w:t>
      </w:r>
    </w:p>
    <w:p>
      <w:pPr>
        <w:pStyle w:val="Heading2"/>
        <w:widowControl/>
      </w:pPr>
      <w:r>
        <w:t>2.3 Methodology</w:t>
      </w:r>
    </w:p>
    <w:p>
      <w:pPr>
        <w:widowControl/>
        <w:numPr>
          <w:ilvl w:val="0"/>
          <w:numId w:val="14"/>
        </w:numPr>
      </w:pPr>
      <w:r>
        <w:rPr>
          <w:rFonts w:ascii="IBM Plex Sans Arabic" w:hAnsi="IBM Plex Sans Arabic" w:cs="IBM Plex Sans Arabic" w:eastAsia="IBM Plex Sans Arabic"/>
          <w:b/>
          <w:color w:val="04191A"/>
          <w:sz w:val="20"/>
        </w:rPr>
        <w:t>Contextual inquiry:</w:t>
      </w:r>
      <w:r>
        <w:rPr>
          <w:rFonts w:ascii="IBM Plex Sans Arabic" w:hAnsi="IBM Plex Sans Arabic" w:cs="IBM Plex Sans Arabic" w:eastAsia="IBM Plex Sans Arabic"/>
          <w:color w:val="04191A"/>
          <w:sz w:val="20"/>
        </w:rPr>
        <w:t xml:space="preserve"> Observe booking, arrival, consultation setup, consent, documentation, and handoff in representative clinics. Record interruptions and workarounds without capturing PHI in research notes.</w:t>
      </w:r>
    </w:p>
    <w:p>
      <w:pPr>
        <w:widowControl/>
        <w:numPr>
          <w:ilvl w:val="0"/>
          <w:numId w:val="14"/>
        </w:numPr>
      </w:pPr>
      <w:r>
        <w:rPr>
          <w:rFonts w:ascii="IBM Plex Sans Arabic" w:hAnsi="IBM Plex Sans Arabic" w:cs="IBM Plex Sans Arabic" w:eastAsia="IBM Plex Sans Arabic"/>
          <w:b/>
          <w:color w:val="04191A"/>
          <w:sz w:val="20"/>
        </w:rPr>
        <w:t>Semi-structured interviews:</w:t>
      </w:r>
      <w:r>
        <w:rPr>
          <w:rFonts w:ascii="IBM Plex Sans Arabic" w:hAnsi="IBM Plex Sans Arabic" w:cs="IBM Plex Sans Arabic" w:eastAsia="IBM Plex Sans Arabic"/>
          <w:color w:val="04191A"/>
          <w:sz w:val="20"/>
        </w:rPr>
        <w:t xml:space="preserve"> 8–12 participants per operational role for first saturation pass; purposively sample specialties, clinic sizes, locations, and experience levels.</w:t>
      </w:r>
    </w:p>
    <w:p>
      <w:pPr>
        <w:widowControl/>
        <w:numPr>
          <w:ilvl w:val="0"/>
          <w:numId w:val="14"/>
        </w:numPr>
      </w:pPr>
      <w:r>
        <w:rPr>
          <w:rFonts w:ascii="IBM Plex Sans Arabic" w:hAnsi="IBM Plex Sans Arabic" w:cs="IBM Plex Sans Arabic" w:eastAsia="IBM Plex Sans Arabic"/>
          <w:b/>
          <w:color w:val="04191A"/>
          <w:sz w:val="20"/>
        </w:rPr>
        <w:t>Task-based usability:</w:t>
      </w:r>
      <w:r>
        <w:rPr>
          <w:rFonts w:ascii="IBM Plex Sans Arabic" w:hAnsi="IBM Plex Sans Arabic" w:cs="IBM Plex Sans Arabic" w:eastAsia="IBM Plex Sans Arabic"/>
          <w:color w:val="04191A"/>
          <w:sz w:val="20"/>
        </w:rPr>
        <w:t xml:space="preserve"> Test realistic scenarios with seeded synthetic patients. Measure completion, time, errors, assistance, confidence, and recovery.</w:t>
      </w:r>
    </w:p>
    <w:p>
      <w:pPr>
        <w:widowControl/>
        <w:numPr>
          <w:ilvl w:val="0"/>
          <w:numId w:val="14"/>
        </w:numPr>
      </w:pPr>
      <w:r>
        <w:rPr>
          <w:rFonts w:ascii="IBM Plex Sans Arabic" w:hAnsi="IBM Plex Sans Arabic" w:cs="IBM Plex Sans Arabic" w:eastAsia="IBM Plex Sans Arabic"/>
          <w:b/>
          <w:color w:val="04191A"/>
          <w:sz w:val="20"/>
        </w:rPr>
        <w:t>Bilingual code-switch study:</w:t>
      </w:r>
      <w:r>
        <w:rPr>
          <w:rFonts w:ascii="IBM Plex Sans Arabic" w:hAnsi="IBM Plex Sans Arabic" w:cs="IBM Plex Sans Arabic" w:eastAsia="IBM Plex Sans Arabic"/>
          <w:color w:val="04191A"/>
          <w:sz w:val="20"/>
        </w:rPr>
        <w:t xml:space="preserve"> Use Egyptian Arabic utterances containing English drug names, abbreviations, Latin digits, Arabic-Indic digits, and colloquial temporal phrases.</w:t>
      </w:r>
    </w:p>
    <w:p>
      <w:pPr>
        <w:widowControl/>
        <w:numPr>
          <w:ilvl w:val="0"/>
          <w:numId w:val="14"/>
        </w:numPr>
      </w:pPr>
      <w:r>
        <w:rPr>
          <w:rFonts w:ascii="IBM Plex Sans Arabic" w:hAnsi="IBM Plex Sans Arabic" w:cs="IBM Plex Sans Arabic" w:eastAsia="IBM Plex Sans Arabic"/>
          <w:b/>
          <w:color w:val="04191A"/>
          <w:sz w:val="20"/>
        </w:rPr>
        <w:t>Acoustic benchmark:</w:t>
      </w:r>
      <w:r>
        <w:rPr>
          <w:rFonts w:ascii="IBM Plex Sans Arabic" w:hAnsi="IBM Plex Sans Arabic" w:cs="IBM Plex Sans Arabic" w:eastAsia="IBM Plex Sans Arabic"/>
          <w:color w:val="04191A"/>
          <w:sz w:val="20"/>
        </w:rPr>
        <w:t xml:space="preserve"> Consent-based recordings across quiet rooms, fans, street noise, overlapping speech, masks, low-cost microphones, and intermittent connectivity. Report WER plus medication/entity accuracy and speaker-attribution accuracy.</w:t>
      </w:r>
    </w:p>
    <w:p>
      <w:pPr>
        <w:widowControl/>
        <w:numPr>
          <w:ilvl w:val="0"/>
          <w:numId w:val="14"/>
        </w:numPr>
      </w:pPr>
      <w:r>
        <w:rPr>
          <w:rFonts w:ascii="IBM Plex Sans Arabic" w:hAnsi="IBM Plex Sans Arabic" w:cs="IBM Plex Sans Arabic" w:eastAsia="IBM Plex Sans Arabic"/>
          <w:b/>
          <w:color w:val="04191A"/>
          <w:sz w:val="20"/>
        </w:rPr>
        <w:t>Accessibility evaluation:</w:t>
      </w:r>
      <w:r>
        <w:rPr>
          <w:rFonts w:ascii="IBM Plex Sans Arabic" w:hAnsi="IBM Plex Sans Arabic" w:cs="IBM Plex Sans Arabic" w:eastAsia="IBM Plex Sans Arabic"/>
          <w:color w:val="04191A"/>
          <w:sz w:val="20"/>
        </w:rPr>
        <w:t xml:space="preserve"> Automated checks, keyboard-only review, 200%/400% zoom, screen reader passes, reduced motion, high contrast, and representative disabled participants.</w:t>
      </w:r>
    </w:p>
    <w:p>
      <w:pPr>
        <w:widowControl/>
        <w:numPr>
          <w:ilvl w:val="0"/>
          <w:numId w:val="14"/>
        </w:numPr>
      </w:pPr>
      <w:r>
        <w:rPr>
          <w:rFonts w:ascii="IBM Plex Sans Arabic" w:hAnsi="IBM Plex Sans Arabic" w:cs="IBM Plex Sans Arabic" w:eastAsia="IBM Plex Sans Arabic"/>
          <w:b/>
          <w:color w:val="04191A"/>
          <w:sz w:val="20"/>
        </w:rPr>
        <w:t>Diary/pilot study:</w:t>
      </w:r>
      <w:r>
        <w:rPr>
          <w:rFonts w:ascii="IBM Plex Sans Arabic" w:hAnsi="IBM Plex Sans Arabic" w:cs="IBM Plex Sans Arabic" w:eastAsia="IBM Plex Sans Arabic"/>
          <w:color w:val="04191A"/>
          <w:sz w:val="20"/>
        </w:rPr>
        <w:t xml:space="preserve"> Two-to-four-week clinic pilot tracking fatigue, correction burden, handoffs, retry incidents, and near misses.</w:t>
      </w:r>
    </w:p>
    <w:p>
      <w:pPr>
        <w:widowControl/>
        <w:numPr>
          <w:ilvl w:val="0"/>
          <w:numId w:val="14"/>
        </w:numPr>
      </w:pPr>
      <w:r>
        <w:rPr>
          <w:rFonts w:ascii="IBM Plex Sans Arabic" w:hAnsi="IBM Plex Sans Arabic" w:cs="IBM Plex Sans Arabic" w:eastAsia="IBM Plex Sans Arabic"/>
          <w:b/>
          <w:color w:val="04191A"/>
          <w:sz w:val="20"/>
        </w:rPr>
        <w:t>Clinical safety review:</w:t>
      </w:r>
      <w:r>
        <w:rPr>
          <w:rFonts w:ascii="IBM Plex Sans Arabic" w:hAnsi="IBM Plex Sans Arabic" w:cs="IBM Plex Sans Arabic" w:eastAsia="IBM Plex Sans Arabic"/>
          <w:color w:val="04191A"/>
          <w:sz w:val="20"/>
        </w:rPr>
        <w:t xml:space="preserve"> Multidisciplinary hazard analysis with clinicians, patient safety, security, legal/privacy, and engineering owners.</w:t>
      </w:r>
    </w:p>
    <w:p>
      <w:pPr>
        <w:pStyle w:val="Heading2"/>
        <w:widowControl/>
      </w:pPr>
      <w:r>
        <w:t>2.4 Research status and backlog checklist</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3400"/>
        <w:gridCol w:w="5960"/>
      </w:tblGrid>
      <w:tr>
        <w:trPr>
          <w:tblHeader w:val="true"/>
          <w:cantSplit/>
        </w:trPr>
        <w:tc>
          <w:tcPr>
            <w:tcW w:type="dxa" w:w="34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Status (Done / In Progress / Deferred)</w:t>
            </w:r>
          </w:p>
        </w:tc>
        <w:tc>
          <w:tcPr>
            <w:tcW w:type="dxa" w:w="59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Research Area / User Deliverable</w:t>
            </w:r>
          </w:p>
        </w:tc>
      </w:tr>
      <w:tr>
        <w:trPr>
          <w:cantSplit/>
        </w:trPr>
        <w:tc>
          <w:tcPr>
            <w:tcW w:type="dxa" w:w="34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Done</w:t>
            </w:r>
          </w:p>
        </w:tc>
        <w:tc>
          <w:tcPr>
            <w:tcW w:type="dxa" w:w="59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Product-foundation synthesis: patient aggregate, role boundaries, consent gates, commit-before-confirmation, clinician approval, and auditable versions captured as design requirements.</w:t>
            </w:r>
          </w:p>
        </w:tc>
      </w:tr>
      <w:tr>
        <w:trPr>
          <w:cantSplit/>
        </w:trPr>
        <w:tc>
          <w:tcPr>
            <w:tcW w:type="dxa" w:w="34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Done</w:t>
            </w:r>
          </w:p>
        </w:tc>
        <w:tc>
          <w:tcPr>
            <w:tcW w:type="dxa" w:w="59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Brand and bilingual design synthesis: latest Figma export, Al-Nuqta primary mark, Readex Pro + IBM Plex Sans Arabic + IBM Plex Mono, RTL-first layout, and Pulse-only Gold semantics reconciled.</w:t>
            </w:r>
          </w:p>
        </w:tc>
      </w:tr>
      <w:tr>
        <w:trPr>
          <w:cantSplit/>
        </w:trPr>
        <w:tc>
          <w:tcPr>
            <w:tcW w:type="dxa" w:w="34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Done</w:t>
            </w:r>
          </w:p>
        </w:tc>
        <w:tc>
          <w:tcPr>
            <w:tcW w:type="dxa" w:w="59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Expert heuristic review framework and clinical UX hazard register defined in this manual.</w:t>
            </w:r>
          </w:p>
        </w:tc>
      </w:tr>
      <w:tr>
        <w:trPr>
          <w:cantSplit/>
        </w:trPr>
        <w:tc>
          <w:tcPr>
            <w:tcW w:type="dxa" w:w="34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 Progress</w:t>
            </w:r>
          </w:p>
        </w:tc>
        <w:tc>
          <w:tcPr>
            <w:tcW w:type="dxa" w:w="59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Doctor clinical recording fatigue and approval ergonomics: contextual inquiry, pause/resume behavior, interruption recovery, and review-time benchmark.</w:t>
            </w:r>
          </w:p>
        </w:tc>
      </w:tr>
      <w:tr>
        <w:trPr>
          <w:cantSplit/>
        </w:trPr>
        <w:tc>
          <w:tcPr>
            <w:tcW w:type="dxa" w:w="34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 Progress</w:t>
            </w:r>
          </w:p>
        </w:tc>
        <w:tc>
          <w:tcPr>
            <w:tcW w:type="dxa" w:w="59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Receptionist multi-doctor booking speed and conflict resolution: keyboard-first scheduling tests, slot-hold comprehension, and concurrent-edit scenarios.</w:t>
            </w:r>
          </w:p>
        </w:tc>
      </w:tr>
      <w:tr>
        <w:trPr>
          <w:cantSplit/>
        </w:trPr>
        <w:tc>
          <w:tcPr>
            <w:tcW w:type="dxa" w:w="34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 Progress</w:t>
            </w:r>
          </w:p>
        </w:tc>
        <w:tc>
          <w:tcPr>
            <w:tcW w:type="dxa" w:w="59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Patient appointment discovery, transparent pricing, and prescription comprehension across literacy, age, disability, and mobile-network cohorts.</w:t>
            </w:r>
          </w:p>
        </w:tc>
      </w:tr>
      <w:tr>
        <w:trPr>
          <w:cantSplit/>
        </w:trPr>
        <w:tc>
          <w:tcPr>
            <w:tcW w:type="dxa" w:w="34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 Progress</w:t>
            </w:r>
          </w:p>
        </w:tc>
        <w:tc>
          <w:tcPr>
            <w:tcW w:type="dxa" w:w="59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Developer tenant provisioning and prompt-version monitoring: least-privilege information architecture, alert triage, rollback, and audit usability.</w:t>
            </w:r>
          </w:p>
        </w:tc>
      </w:tr>
      <w:tr>
        <w:trPr>
          <w:cantSplit/>
        </w:trPr>
        <w:tc>
          <w:tcPr>
            <w:tcW w:type="dxa" w:w="34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 Progress</w:t>
            </w:r>
          </w:p>
        </w:tc>
        <w:tc>
          <w:tcPr>
            <w:tcW w:type="dxa" w:w="59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Egyptian Arabic acoustic dialect testing and doctor-patient dialogue code-switching, stratified by noise, specialty, device, speaker, and terminology.</w:t>
            </w:r>
          </w:p>
        </w:tc>
      </w:tr>
      <w:tr>
        <w:trPr>
          <w:cantSplit/>
        </w:trPr>
        <w:tc>
          <w:tcPr>
            <w:tcW w:type="dxa" w:w="34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 Progress</w:t>
            </w:r>
          </w:p>
        </w:tc>
        <w:tc>
          <w:tcPr>
            <w:tcW w:type="dxa" w:w="59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Emergency-language recognition and safe escalation copy review with locally authorized clinical/legal stakeholders.</w:t>
            </w:r>
          </w:p>
        </w:tc>
      </w:tr>
      <w:tr>
        <w:trPr>
          <w:cantSplit/>
        </w:trPr>
        <w:tc>
          <w:tcPr>
            <w:tcW w:type="dxa" w:w="34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 Progress</w:t>
            </w:r>
          </w:p>
        </w:tc>
        <w:tc>
          <w:tcPr>
            <w:tcW w:type="dxa" w:w="59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Accessibility validation with screen-reader, keyboard, low-vision, and motor-access participants in Arabic and English.</w:t>
            </w:r>
          </w:p>
        </w:tc>
      </w:tr>
      <w:tr>
        <w:trPr>
          <w:cantSplit/>
        </w:trPr>
        <w:tc>
          <w:tcPr>
            <w:tcW w:type="dxa" w:w="34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Deferred</w:t>
            </w:r>
          </w:p>
        </w:tc>
        <w:tc>
          <w:tcPr>
            <w:tcW w:type="dxa" w:w="59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Longitudinal multi-clinic workflow research until multi-clinic tenancy enters funded scope.</w:t>
            </w:r>
          </w:p>
        </w:tc>
      </w:tr>
      <w:tr>
        <w:trPr>
          <w:cantSplit/>
        </w:trPr>
        <w:tc>
          <w:tcPr>
            <w:tcW w:type="dxa" w:w="34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Deferred</w:t>
            </w:r>
          </w:p>
        </w:tc>
        <w:tc>
          <w:tcPr>
            <w:tcW w:type="dxa" w:w="59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Custom on-premises speech-model fine-tuning research until provider benchmark and deployment economics justify it.</w:t>
            </w:r>
          </w:p>
        </w:tc>
      </w:tr>
    </w:tbl>
    <w:p>
      <w:pPr>
        <w:widowControl/>
        <w:spacing w:after="40"/>
      </w:pPr>
    </w:p>
    <w:p>
      <w:pPr>
        <w:pStyle w:val="Heading2"/>
        <w:widowControl/>
      </w:pPr>
      <w:r>
        <w:t>2.5 Study protocol and evidence repository</w:t>
      </w:r>
    </w:p>
    <w:p>
      <w:pPr>
        <w:widowControl/>
      </w:pPr>
      <w:r>
        <w:rPr>
          <w:rFonts w:ascii="IBM Plex Sans Arabic" w:hAnsi="IBM Plex Sans Arabic" w:cs="IBM Plex Sans Arabic" w:eastAsia="IBM Plex Sans Arabic"/>
          <w:color w:val="04191A"/>
          <w:sz w:val="20"/>
        </w:rPr>
        <w:t>Each study shall define research question, cohort, inclusion/exclusion, consent, synthetic-versus-real data boundary, moderator guide, task script, success measure, safety stop rule, compensation, data retention, and responsible owner. Store de-identified findings by role and workflow. Every design decision should link to one of: observed evidence, standard, product invariant, clinical safety control, or explicitly labeled hypothesis.</w:t>
      </w:r>
    </w:p>
    <w:p>
      <w:pPr>
        <w:pStyle w:val="Heading3"/>
        <w:widowControl/>
      </w:pPr>
      <w:r>
        <w:t>2.5.1 Core task scenarios</w:t>
      </w:r>
    </w:p>
    <w:p>
      <w:pPr>
        <w:widowControl/>
        <w:numPr>
          <w:ilvl w:val="0"/>
          <w:numId w:val="10"/>
        </w:numPr>
      </w:pPr>
      <w:r>
        <w:rPr>
          <w:rFonts w:ascii="IBM Plex Sans Arabic" w:hAnsi="IBM Plex Sans Arabic" w:cs="IBM Plex Sans Arabic" w:eastAsia="IBM Plex Sans Arabic"/>
          <w:color w:val="04191A"/>
          <w:sz w:val="20"/>
        </w:rPr>
        <w:t>Doctor: find the correct patient among similar names; obtain consent; recover a paused upload; correct a low-confidence dose; compare raw evidence; approve and sign a prescription version.</w:t>
      </w:r>
    </w:p>
    <w:p>
      <w:pPr>
        <w:widowControl/>
        <w:numPr>
          <w:ilvl w:val="0"/>
          <w:numId w:val="10"/>
        </w:numPr>
      </w:pPr>
      <w:r>
        <w:rPr>
          <w:rFonts w:ascii="IBM Plex Sans Arabic" w:hAnsi="IBM Plex Sans Arabic" w:cs="IBM Plex Sans Arabic" w:eastAsia="IBM Plex Sans Arabic"/>
          <w:color w:val="04191A"/>
          <w:sz w:val="20"/>
        </w:rPr>
        <w:t>Receptionist: book across three doctors; explain price; resolve a slot taken during confirmation; move a patient in queue without dragging; hand off a Pulse conversation.</w:t>
      </w:r>
    </w:p>
    <w:p>
      <w:pPr>
        <w:widowControl/>
        <w:numPr>
          <w:ilvl w:val="0"/>
          <w:numId w:val="10"/>
        </w:numPr>
      </w:pPr>
      <w:r>
        <w:rPr>
          <w:rFonts w:ascii="IBM Plex Sans Arabic" w:hAnsi="IBM Plex Sans Arabic" w:cs="IBM Plex Sans Arabic" w:eastAsia="IBM Plex Sans Arabic"/>
          <w:color w:val="04191A"/>
          <w:sz w:val="20"/>
        </w:rPr>
        <w:t>Patient: book by symptom constraint without receiving diagnosis; understand total price; review bilingual medication instructions; respond to an emergency escalation.</w:t>
      </w:r>
    </w:p>
    <w:p>
      <w:pPr>
        <w:widowControl/>
        <w:numPr>
          <w:ilvl w:val="0"/>
          <w:numId w:val="10"/>
        </w:numPr>
      </w:pPr>
      <w:r>
        <w:rPr>
          <w:rFonts w:ascii="IBM Plex Sans Arabic" w:hAnsi="IBM Plex Sans Arabic" w:cs="IBM Plex Sans Arabic" w:eastAsia="IBM Plex Sans Arabic"/>
          <w:color w:val="04191A"/>
          <w:sz w:val="20"/>
        </w:rPr>
        <w:t>Developer: create a clinic-scoped role; inspect a failed pipeline job without PHI leakage; compare prompt versions; initiate and reverse an adapter failover.</w:t>
      </w:r>
    </w:p>
    <w:p>
      <w:pPr>
        <w:pStyle w:val="Heading2"/>
        <w:widowControl/>
      </w:pPr>
      <w:r>
        <w:t>2.6 Metrics and analysis</w:t>
      </w:r>
    </w:p>
    <w:p>
      <w:pPr>
        <w:widowControl/>
      </w:pPr>
      <w:r>
        <w:rPr>
          <w:rFonts w:ascii="IBM Plex Sans Arabic" w:hAnsi="IBM Plex Sans Arabic" w:cs="IBM Plex Sans Arabic" w:eastAsia="IBM Plex Sans Arabic"/>
          <w:color w:val="04191A"/>
          <w:sz w:val="20"/>
        </w:rPr>
        <w:t>Report task completion, critical error, time on task, first-click/first-focus success, navigation reversals, help requests, abandonment, confidence, NASA-TLX or an equivalent workload measure for staff, and comprehension checks for patients. For AI-assisted review, include precision/recall by medication field, correction rate, edit distance, false certainty, and calibration. Segment every material result by language mode, device, noise class, clinic role, and accessibility need; never average away a high-risk subgroup.</w:t>
      </w:r>
    </w:p>
    <w:p>
      <w:pPr>
        <w:pStyle w:val="Heading1"/>
        <w:widowControl/>
      </w:pPr>
      <w:r>
        <w:t>3. Master Brand &amp; Design System Guide</w:t>
      </w:r>
    </w:p>
    <w:p>
      <w:pPr>
        <w:pStyle w:val="Heading2"/>
        <w:widowControl/>
      </w:pPr>
      <w:r>
        <w:t>3.1 Brand identity and Al-Nuqta logo system</w:t>
      </w:r>
    </w:p>
    <w:p>
      <w:pPr>
        <w:widowControl/>
      </w:pPr>
      <w:r>
        <w:rPr>
          <w:rFonts w:ascii="IBM Plex Sans Arabic" w:hAnsi="IBM Plex Sans Arabic" w:cs="IBM Plex Sans Arabic" w:eastAsia="IBM Plex Sans Arabic"/>
          <w:color w:val="04191A"/>
          <w:sz w:val="20"/>
        </w:rPr>
        <w:t>Al-Nuqta is the primary Nabda mark: the dot of the Arabic ن carries a single heartbeat. The primary color application is the approved teal 23.5% squircle tile with a white clinical arc, white heartbeat, and Gold nuqta. It is a fixed brand asset; do not redraw it from memory. The mark communicates a calm clinical platform animated by one precise pulse of intelligence.</w:t>
      </w:r>
    </w:p>
    <w:p>
      <w:pPr>
        <w:pStyle w:val="Heading3"/>
        <w:widowControl/>
      </w:pPr>
      <w:r>
        <w:t>3.1.1 Usage rules</w:t>
      </w:r>
    </w:p>
    <w:p>
      <w:pPr>
        <w:widowControl/>
        <w:numPr>
          <w:ilvl w:val="0"/>
          <w:numId w:val="10"/>
        </w:numPr>
      </w:pPr>
      <w:r>
        <w:rPr>
          <w:rFonts w:ascii="IBM Plex Sans Arabic" w:hAnsi="IBM Plex Sans Arabic" w:cs="IBM Plex Sans Arabic" w:eastAsia="IBM Plex Sans Arabic"/>
          <w:color w:val="04191A"/>
          <w:sz w:val="20"/>
        </w:rPr>
        <w:t xml:space="preserve">Use the supplied </w:t>
      </w:r>
      <w:r>
        <w:rPr>
          <w:rFonts w:ascii="IBM Plex Mono" w:hAnsi="IBM Plex Mono" w:cs="IBM Plex Mono" w:eastAsia="IBM Plex Mono"/>
          <w:color w:val="063A38"/>
          <w:sz w:val="18"/>
        </w:rPr>
        <w:t>PRIMARY</w:t>
      </w:r>
      <w:r>
        <w:rPr>
          <w:rFonts w:ascii="IBM Plex Sans Arabic" w:hAnsi="IBM Plex Sans Arabic" w:cs="IBM Plex Sans Arabic" w:eastAsia="IBM Plex Sans Arabic"/>
          <w:color w:val="04191A"/>
          <w:sz w:val="20"/>
        </w:rPr>
        <w:t xml:space="preserve"> artwork without recoloring, rebuilding, cropping into a different radius, or separating its component shapes.</w:t>
      </w:r>
    </w:p>
    <w:p>
      <w:pPr>
        <w:widowControl/>
        <w:numPr>
          <w:ilvl w:val="0"/>
          <w:numId w:val="10"/>
        </w:numPr>
      </w:pPr>
      <w:r>
        <w:rPr>
          <w:rFonts w:ascii="IBM Plex Sans Arabic" w:hAnsi="IBM Plex Sans Arabic" w:cs="IBM Plex Sans Arabic" w:eastAsia="IBM Plex Sans Arabic"/>
          <w:color w:val="04191A"/>
          <w:sz w:val="20"/>
        </w:rPr>
        <w:t xml:space="preserve">Preserve clear space of at least one nuqta diameter around the mark; document covers and presentation title pages should use at least </w:t>
      </w:r>
      <w:r>
        <w:rPr>
          <w:rFonts w:ascii="IBM Plex Mono" w:hAnsi="IBM Plex Mono" w:cs="IBM Plex Mono" w:eastAsia="IBM Plex Mono"/>
          <w:color w:val="063A38"/>
          <w:sz w:val="18"/>
        </w:rPr>
        <w:t>0.35 in</w:t>
      </w:r>
      <w:r>
        <w:rPr>
          <w:rFonts w:ascii="IBM Plex Sans Arabic" w:hAnsi="IBM Plex Sans Arabic" w:cs="IBM Plex Sans Arabic" w:eastAsia="IBM Plex Sans Arabic"/>
          <w:color w:val="04191A"/>
          <w:sz w:val="20"/>
        </w:rPr>
        <w:t xml:space="preserve"> of unobstructed space at normal Office scale.</w:t>
      </w:r>
    </w:p>
    <w:p>
      <w:pPr>
        <w:widowControl/>
        <w:numPr>
          <w:ilvl w:val="0"/>
          <w:numId w:val="10"/>
        </w:numPr>
      </w:pPr>
      <w:r>
        <w:rPr>
          <w:rFonts w:ascii="IBM Plex Sans Arabic" w:hAnsi="IBM Plex Sans Arabic" w:cs="IBM Plex Sans Arabic" w:eastAsia="IBM Plex Sans Arabic"/>
          <w:color w:val="04191A"/>
          <w:sz w:val="20"/>
        </w:rPr>
        <w:t xml:space="preserve">At </w:t>
      </w:r>
      <w:r>
        <w:rPr>
          <w:rFonts w:ascii="IBM Plex Mono" w:hAnsi="IBM Plex Mono" w:cs="IBM Plex Mono" w:eastAsia="IBM Plex Mono"/>
          <w:color w:val="063A38"/>
          <w:sz w:val="18"/>
        </w:rPr>
        <w:t>24 px</w:t>
      </w:r>
      <w:r>
        <w:rPr>
          <w:rFonts w:ascii="IBM Plex Sans Arabic" w:hAnsi="IBM Plex Sans Arabic" w:cs="IBM Plex Sans Arabic" w:eastAsia="IBM Plex Sans Arabic"/>
          <w:color w:val="04191A"/>
          <w:sz w:val="20"/>
        </w:rPr>
        <w:t xml:space="preserve"> and above, use the full Al-Nuqta heartbeat. Below </w:t>
      </w:r>
      <w:r>
        <w:rPr>
          <w:rFonts w:ascii="IBM Plex Mono" w:hAnsi="IBM Plex Mono" w:cs="IBM Plex Mono" w:eastAsia="IBM Plex Mono"/>
          <w:color w:val="063A38"/>
          <w:sz w:val="18"/>
        </w:rPr>
        <w:t>24 px</w:t>
      </w:r>
      <w:r>
        <w:rPr>
          <w:rFonts w:ascii="IBM Plex Sans Arabic" w:hAnsi="IBM Plex Sans Arabic" w:cs="IBM Plex Sans Arabic" w:eastAsia="IBM Plex Sans Arabic"/>
          <w:color w:val="04191A"/>
          <w:sz w:val="20"/>
        </w:rPr>
        <w:t>, use the approved reduced mark: the heartbeat drops while the dot remains. Do not create an intermediate simplification.</w:t>
      </w:r>
    </w:p>
    <w:p>
      <w:pPr>
        <w:widowControl/>
        <w:numPr>
          <w:ilvl w:val="0"/>
          <w:numId w:val="10"/>
        </w:numPr>
      </w:pPr>
      <w:r>
        <w:rPr>
          <w:rFonts w:ascii="IBM Plex Sans Arabic" w:hAnsi="IBM Plex Sans Arabic" w:cs="IBM Plex Sans Arabic" w:eastAsia="IBM Plex Sans Arabic"/>
          <w:color w:val="04191A"/>
          <w:sz w:val="20"/>
        </w:rPr>
        <w:t>The wordmark is set in Readex Pro and must never be reset in another face. Do not mirror the lockup in RTL; mirror surrounding layout, while keeping the mark and wordmark geometry unchanged.</w:t>
      </w:r>
    </w:p>
    <w:p>
      <w:pPr>
        <w:widowControl/>
        <w:numPr>
          <w:ilvl w:val="0"/>
          <w:numId w:val="10"/>
        </w:numPr>
      </w:pPr>
      <w:r>
        <w:rPr>
          <w:rFonts w:ascii="IBM Plex Sans Arabic" w:hAnsi="IBM Plex Sans Arabic" w:cs="IBM Plex Sans Arabic" w:eastAsia="IBM Plex Sans Arabic"/>
          <w:color w:val="04191A"/>
          <w:sz w:val="20"/>
        </w:rPr>
        <w:t xml:space="preserve">Use the teal </w:t>
      </w:r>
      <w:r>
        <w:rPr>
          <w:rFonts w:ascii="IBM Plex Mono" w:hAnsi="IBM Plex Mono" w:cs="IBM Plex Mono" w:eastAsia="IBM Plex Mono"/>
          <w:color w:val="063A38"/>
          <w:sz w:val="18"/>
        </w:rPr>
        <w:t>PRIMARY</w:t>
      </w:r>
      <w:r>
        <w:rPr>
          <w:rFonts w:ascii="IBM Plex Sans Arabic" w:hAnsi="IBM Plex Sans Arabic" w:cs="IBM Plex Sans Arabic" w:eastAsia="IBM Plex Sans Arabic"/>
          <w:color w:val="04191A"/>
          <w:sz w:val="20"/>
        </w:rPr>
        <w:t xml:space="preserve"> app tile by default. </w:t>
      </w:r>
      <w:r>
        <w:rPr>
          <w:rFonts w:ascii="IBM Plex Mono" w:hAnsi="IBM Plex Mono" w:cs="IBM Plex Mono" w:eastAsia="IBM Plex Mono"/>
          <w:color w:val="063A38"/>
          <w:sz w:val="18"/>
        </w:rPr>
        <w:t>INK</w:t>
      </w:r>
      <w:r>
        <w:rPr>
          <w:rFonts w:ascii="IBM Plex Sans Arabic" w:hAnsi="IBM Plex Sans Arabic" w:cs="IBM Plex Sans Arabic" w:eastAsia="IBM Plex Sans Arabic"/>
          <w:color w:val="04191A"/>
          <w:sz w:val="20"/>
        </w:rPr>
        <w:t xml:space="preserve">, </w:t>
      </w:r>
      <w:r>
        <w:rPr>
          <w:rFonts w:ascii="IBM Plex Mono" w:hAnsi="IBM Plex Mono" w:cs="IBM Plex Mono" w:eastAsia="IBM Plex Mono"/>
          <w:color w:val="063A38"/>
          <w:sz w:val="18"/>
        </w:rPr>
        <w:t>PAPER</w:t>
      </w:r>
      <w:r>
        <w:rPr>
          <w:rFonts w:ascii="IBM Plex Sans Arabic" w:hAnsi="IBM Plex Sans Arabic" w:cs="IBM Plex Sans Arabic" w:eastAsia="IBM Plex Sans Arabic"/>
          <w:color w:val="04191A"/>
          <w:sz w:val="20"/>
        </w:rPr>
        <w:t xml:space="preserve">, </w:t>
      </w:r>
      <w:r>
        <w:rPr>
          <w:rFonts w:ascii="IBM Plex Mono" w:hAnsi="IBM Plex Mono" w:cs="IBM Plex Mono" w:eastAsia="IBM Plex Mono"/>
          <w:color w:val="063A38"/>
          <w:sz w:val="18"/>
        </w:rPr>
        <w:t>PULSE</w:t>
      </w:r>
      <w:r>
        <w:rPr>
          <w:rFonts w:ascii="IBM Plex Sans Arabic" w:hAnsi="IBM Plex Sans Arabic" w:cs="IBM Plex Sans Arabic" w:eastAsia="IBM Plex Sans Arabic"/>
          <w:color w:val="04191A"/>
          <w:sz w:val="20"/>
        </w:rPr>
        <w:t xml:space="preserve">, and </w:t>
      </w:r>
      <w:r>
        <w:rPr>
          <w:rFonts w:ascii="IBM Plex Mono" w:hAnsi="IBM Plex Mono" w:cs="IBM Plex Mono" w:eastAsia="IBM Plex Mono"/>
          <w:color w:val="063A38"/>
          <w:sz w:val="18"/>
        </w:rPr>
        <w:t>MONO</w:t>
      </w:r>
      <w:r>
        <w:rPr>
          <w:rFonts w:ascii="IBM Plex Sans Arabic" w:hAnsi="IBM Plex Sans Arabic" w:cs="IBM Plex Sans Arabic" w:eastAsia="IBM Plex Sans Arabic"/>
          <w:color w:val="04191A"/>
          <w:sz w:val="20"/>
        </w:rPr>
        <w:t xml:space="preserve"> tiles are controlled variants; the Pulse tile is the only one permitted to emit light.</w:t>
      </w:r>
    </w:p>
    <w:p>
      <w:pPr>
        <w:widowControl/>
        <w:numPr>
          <w:ilvl w:val="0"/>
          <w:numId w:val="10"/>
        </w:numPr>
      </w:pPr>
      <w:r>
        <w:rPr>
          <w:rFonts w:ascii="IBM Plex Sans Arabic" w:hAnsi="IBM Plex Sans Arabic" w:cs="IBM Plex Sans Arabic" w:eastAsia="IBM Plex Sans Arabic"/>
          <w:color w:val="04191A"/>
          <w:sz w:val="20"/>
        </w:rPr>
        <w:t>Never skew, rotate, outline, stretch, add effects, recolor both elements as one hue, or place the mark on a low-contrast or visually noisy ground.</w:t>
      </w:r>
    </w:p>
    <w:p>
      <w:pPr>
        <w:widowControl/>
        <w:numPr>
          <w:ilvl w:val="0"/>
          <w:numId w:val="10"/>
        </w:numPr>
      </w:pPr>
      <w:r>
        <w:rPr>
          <w:rFonts w:ascii="IBM Plex Sans Arabic" w:hAnsi="IBM Plex Sans Arabic" w:cs="IBM Plex Sans Arabic" w:eastAsia="IBM Plex Sans Arabic"/>
          <w:color w:val="04191A"/>
          <w:sz w:val="20"/>
        </w:rPr>
        <w:t>The interval motif is a long flat line with exactly one beat. Never use a repeating waveform, which reads as emergency monitoring rather than calm platform identity.</w:t>
      </w:r>
    </w:p>
    <w:p>
      <w:pPr>
        <w:pStyle w:val="Heading2"/>
        <w:widowControl/>
      </w:pPr>
      <w:r>
        <w:t>3.2 Semantic color tokens</w:t>
      </w:r>
    </w:p>
    <w:p>
      <w:pPr>
        <w:widowControl/>
      </w:pPr>
      <w:r>
        <w:rPr>
          <w:rFonts w:ascii="IBM Plex Sans Arabic" w:hAnsi="IBM Plex Sans Arabic" w:cs="IBM Plex Sans Arabic" w:eastAsia="IBM Plex Sans Arabic"/>
          <w:color w:val="04191A"/>
          <w:sz w:val="20"/>
        </w:rPr>
        <w:t>Contrast ratios are nominal WCAG relative-luminance ratios for the specified foreground against the named background. Ratios must be re-tested when colors, opacity, font size, or compositing change.</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000"/>
        <w:gridCol w:w="1450"/>
        <w:gridCol w:w="1500"/>
        <w:gridCol w:w="2050"/>
        <w:gridCol w:w="2360"/>
      </w:tblGrid>
      <w:tr>
        <w:trPr>
          <w:tblHeader w:val="true"/>
          <w:cantSplit/>
        </w:trPr>
        <w:tc>
          <w:tcPr>
            <w:tcW w:type="dxa" w:w="20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Token Name</w:t>
            </w:r>
          </w:p>
        </w:tc>
        <w:tc>
          <w:tcPr>
            <w:tcW w:type="dxa" w:w="1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Light Mode Hex</w:t>
            </w:r>
          </w:p>
        </w:tc>
        <w:tc>
          <w:tcPr>
            <w:tcW w:type="dxa" w:w="1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Dark Mode Hex</w:t>
            </w:r>
          </w:p>
        </w:tc>
        <w:tc>
          <w:tcPr>
            <w:tcW w:type="dxa" w:w="20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Contrast Ratio (vs Background)</w:t>
            </w:r>
          </w:p>
        </w:tc>
        <w:tc>
          <w:tcPr>
            <w:tcW w:type="dxa" w:w="23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Semantic Purpose</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color.canvas</w:t>
            </w:r>
          </w:p>
        </w:tc>
        <w:tc>
          <w:tcPr>
            <w:tcW w:type="dxa" w:w="145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#F4F8F7</w:t>
            </w:r>
          </w:p>
        </w:tc>
        <w:tc>
          <w:tcPr>
            <w:tcW w:type="dxa" w:w="15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#04191A</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Ink/Paper 16.92:1; Paper/Ink 16.92:1</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Primary ground; approximately 62% of a typical screen</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color.surface</w:t>
            </w:r>
          </w:p>
        </w:tc>
        <w:tc>
          <w:tcPr>
            <w:tcW w:type="dxa" w:w="145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#FFFFFF</w:t>
            </w:r>
          </w:p>
        </w:tc>
        <w:tc>
          <w:tcPr>
            <w:tcW w:type="dxa" w:w="15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#063A38</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Ink/white 18.12:1; Paper/Deep 11.75:1</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Cards, dialogs, detail panes</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color.surface.subtle</w:t>
            </w:r>
          </w:p>
        </w:tc>
        <w:tc>
          <w:tcPr>
            <w:tcW w:type="dxa" w:w="145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#E3EEEC</w:t>
            </w:r>
          </w:p>
        </w:tc>
        <w:tc>
          <w:tcPr>
            <w:tcW w:type="dxa" w:w="15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#063A38</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Ink/Mist 15.28:1; Mint/Deep 7.77:1</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Secondary ground; approximately 22% of a typical screen</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color.border</w:t>
            </w:r>
          </w:p>
        </w:tc>
        <w:tc>
          <w:tcPr>
            <w:tcW w:type="dxa" w:w="145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#C9DAD7</w:t>
            </w:r>
          </w:p>
        </w:tc>
        <w:tc>
          <w:tcPr>
            <w:tcW w:type="dxa" w:w="15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#2F625E</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Decorative only; pair with text/icon</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Dividers, input and table borders</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color.text.primary</w:t>
            </w:r>
          </w:p>
        </w:tc>
        <w:tc>
          <w:tcPr>
            <w:tcW w:type="dxa" w:w="145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#04191A</w:t>
            </w:r>
          </w:p>
        </w:tc>
        <w:tc>
          <w:tcPr>
            <w:tcW w:type="dxa" w:w="15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#F4F8F7</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16.92:1 on Paper; 16.92:1 on Ink</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Primary text</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color.text.secondary</w:t>
            </w:r>
          </w:p>
        </w:tc>
        <w:tc>
          <w:tcPr>
            <w:tcW w:type="dxa" w:w="145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#3F5E5C</w:t>
            </w:r>
          </w:p>
        </w:tc>
        <w:tc>
          <w:tcPr>
            <w:tcW w:type="dxa" w:w="15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#BBD5D0</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Re-test in context</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Supporting text and metadata</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color.brand.teal</w:t>
            </w:r>
          </w:p>
        </w:tc>
        <w:tc>
          <w:tcPr>
            <w:tcW w:type="dxa" w:w="145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#0E7C74</w:t>
            </w:r>
          </w:p>
        </w:tc>
        <w:tc>
          <w:tcPr>
            <w:tcW w:type="dxa" w:w="15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#8FD9CD</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White/Teal 5.06:1; Mint/Deep 7.77:1</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Primary action, active state, brand anchor; Teal never glows</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color.brand.faience</w:t>
            </w:r>
          </w:p>
        </w:tc>
        <w:tc>
          <w:tcPr>
            <w:tcW w:type="dxa" w:w="145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#3FB6A8</w:t>
            </w:r>
          </w:p>
        </w:tc>
        <w:tc>
          <w:tcPr>
            <w:tcW w:type="dxa" w:w="15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#8FD9CD</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Faience/Ink 7.31:1</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Secondary brand accent and illustration</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color.brand.deep</w:t>
            </w:r>
          </w:p>
        </w:tc>
        <w:tc>
          <w:tcPr>
            <w:tcW w:type="dxa" w:w="145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#063A38</w:t>
            </w:r>
          </w:p>
        </w:tc>
        <w:tc>
          <w:tcPr>
            <w:tcW w:type="dxa" w:w="15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#04191A</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Paper/Deep 11.75:1</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Dark platform bands and contained surfaces</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color.brand.lapis</w:t>
            </w:r>
          </w:p>
        </w:tc>
        <w:tc>
          <w:tcPr>
            <w:tcW w:type="dxa" w:w="145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#12305C</w:t>
            </w:r>
          </w:p>
        </w:tc>
        <w:tc>
          <w:tcPr>
            <w:tcW w:type="dxa" w:w="15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#D8E5F4</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Lapis/Paper 12.24:1</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Data, administration, and institutional accent only</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color.pulse.graphic</w:t>
            </w:r>
          </w:p>
        </w:tc>
        <w:tc>
          <w:tcPr>
            <w:tcW w:type="dxa" w:w="145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#E5A93C</w:t>
            </w:r>
          </w:p>
        </w:tc>
        <w:tc>
          <w:tcPr>
            <w:tcW w:type="dxa" w:w="15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#F6D08A</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Gold is graphic-only on light; Gold/Deep 6.03:1</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Nuqta, AI avatar, processing graphic; Pulse only</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color.pulse.text</w:t>
            </w:r>
          </w:p>
        </w:tc>
        <w:tc>
          <w:tcPr>
            <w:tcW w:type="dxa" w:w="145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#8A5E10</w:t>
            </w:r>
          </w:p>
        </w:tc>
        <w:tc>
          <w:tcPr>
            <w:tcW w:type="dxa" w:w="15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#F6D08A</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Gold Deep/Paper 5.32:1; Glow/Ink 12.34:1</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Pulse labels and confidence text</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color.pulse.tint</w:t>
            </w:r>
          </w:p>
        </w:tc>
        <w:tc>
          <w:tcPr>
            <w:tcW w:type="dxa" w:w="145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#FFF0CE</w:t>
            </w:r>
          </w:p>
        </w:tc>
        <w:tc>
          <w:tcPr>
            <w:tcW w:type="dxa" w:w="15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#3B2D12</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Use Gold Deep on light tint</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Pulse suggestion background only</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color.status.success</w:t>
            </w:r>
          </w:p>
        </w:tc>
        <w:tc>
          <w:tcPr>
            <w:tcW w:type="dxa" w:w="145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#0E7C74</w:t>
            </w:r>
          </w:p>
        </w:tc>
        <w:tc>
          <w:tcPr>
            <w:tcW w:type="dxa" w:w="15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#8FD9CD</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White/Teal 5.06:1; Mint/Deep 7.77:1</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Confirmed/available; include icon and text</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color.status.warning</w:t>
            </w:r>
          </w:p>
        </w:tc>
        <w:tc>
          <w:tcPr>
            <w:tcW w:type="dxa" w:w="145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#8A5E10</w:t>
            </w:r>
          </w:p>
        </w:tc>
        <w:tc>
          <w:tcPr>
            <w:tcW w:type="dxa" w:w="1500"/>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#F6D08A</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Gold Deep/Paper 5.32:1; Glow/Ink 12.34:1</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Operational warning, not generic AI decoration</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color.status.error</w:t>
            </w:r>
          </w:p>
        </w:tc>
        <w:tc>
          <w:tcPr>
            <w:tcW w:type="dxa" w:w="145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#BE4224</w:t>
            </w:r>
          </w:p>
        </w:tc>
        <w:tc>
          <w:tcPr>
            <w:tcW w:type="dxa" w:w="1500"/>
            <w:shd w:fill="FFFFFF"/>
            <w:tcMar>
              <w:top w:w="100" w:type="dxa"/>
              <w:start w:w="120" w:type="dxa"/>
              <w:bottom w:w="100" w:type="dxa"/>
              <w:end w:w="120" w:type="dxa"/>
            </w:tcMar>
            <w:vAlign w:val="center"/>
          </w:tcPr>
          <w:p>
            <w:pPr>
              <w:spacing w:after="0" w:line="269" w:lineRule="auto"/>
            </w:pPr>
            <w:r>
              <w:rPr>
                <w:rFonts w:ascii="IBM Plex Mono" w:hAnsi="IBM Plex Mono" w:cs="IBM Plex Mono" w:eastAsia="IBM Plex Mono"/>
                <w:color w:val="063A38"/>
                <w:sz w:val="16"/>
              </w:rPr>
              <w:t>#F08A6B</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Carnelian/Paper 4.91:1</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Destructive, failed, unsafe, validation error</w:t>
            </w:r>
          </w:p>
        </w:tc>
      </w:tr>
    </w:tbl>
    <w:p>
      <w:pPr>
        <w:widowControl/>
        <w:spacing w:after="40"/>
      </w:pPr>
    </w:p>
    <w:p>
      <w:pPr>
        <w:widowControl/>
      </w:pPr>
      <w:r>
        <w:rPr>
          <w:rFonts w:ascii="IBM Plex Sans Arabic" w:hAnsi="IBM Plex Sans Arabic" w:cs="IBM Plex Sans Arabic" w:eastAsia="IBM Plex Sans Arabic"/>
          <w:b/>
          <w:color w:val="04191A"/>
          <w:sz w:val="20"/>
        </w:rPr>
        <w:t>Distribution and enforcement:</w:t>
      </w:r>
      <w:r>
        <w:rPr>
          <w:rFonts w:ascii="IBM Plex Sans Arabic" w:hAnsi="IBM Plex Sans Arabic" w:cs="IBM Plex Sans Arabic" w:eastAsia="IBM Plex Sans Arabic"/>
          <w:color w:val="04191A"/>
          <w:sz w:val="20"/>
        </w:rPr>
        <w:t xml:space="preserve"> target approximately 62% Paper, 22% Mist, 11% Teal, 3% Ink, and no more than 2% Gold. Gold </w:t>
      </w:r>
      <w:r>
        <w:rPr>
          <w:rFonts w:ascii="IBM Plex Mono" w:hAnsi="IBM Plex Mono" w:cs="IBM Plex Mono" w:eastAsia="IBM Plex Mono"/>
          <w:color w:val="063A38"/>
          <w:sz w:val="18"/>
        </w:rPr>
        <w:t>#E5A93C</w:t>
      </w:r>
      <w:r>
        <w:rPr>
          <w:rFonts w:ascii="IBM Plex Sans Arabic" w:hAnsi="IBM Plex Sans Arabic" w:cs="IBM Plex Sans Arabic" w:eastAsia="IBM Plex Sans Arabic"/>
          <w:color w:val="04191A"/>
          <w:sz w:val="20"/>
        </w:rPr>
        <w:t xml:space="preserve"> is reserved for Pulse and fails for normal text on light backgrounds; use Gold Deep </w:t>
      </w:r>
      <w:r>
        <w:rPr>
          <w:rFonts w:ascii="IBM Plex Mono" w:hAnsi="IBM Plex Mono" w:cs="IBM Plex Mono" w:eastAsia="IBM Plex Mono"/>
          <w:color w:val="063A38"/>
          <w:sz w:val="18"/>
        </w:rPr>
        <w:t>#8A5E10</w:t>
      </w:r>
      <w:r>
        <w:rPr>
          <w:rFonts w:ascii="IBM Plex Sans Arabic" w:hAnsi="IBM Plex Sans Arabic" w:cs="IBM Plex Sans Arabic" w:eastAsia="IBM Plex Sans Arabic"/>
          <w:color w:val="04191A"/>
          <w:sz w:val="20"/>
        </w:rPr>
        <w:t xml:space="preserve"> (5.32:1 on Paper) when Gold meaning must carry text. Teal never glows. A status always includes a label plus icon or pattern; color remains supplemental.</w:t>
      </w:r>
    </w:p>
    <w:p>
      <w:pPr>
        <w:pStyle w:val="Heading2"/>
        <w:widowControl/>
      </w:pPr>
      <w:r>
        <w:t>3.3 Typography and bilingual rhythm</w:t>
      </w:r>
    </w:p>
    <w:p>
      <w:pPr>
        <w:widowControl/>
      </w:pPr>
      <w:r>
        <w:rPr>
          <w:rFonts w:ascii="IBM Plex Sans Arabic" w:hAnsi="IBM Plex Sans Arabic" w:cs="IBM Plex Sans Arabic" w:eastAsia="IBM Plex Sans Arabic"/>
          <w:color w:val="04191A"/>
          <w:sz w:val="20"/>
        </w:rPr>
        <w:t>Readex Pro speaks; IBM Plex Sans Arabic works. Readex Pro is the display and wordmark family. IBM Plex Sans Arabic is the interface and body family for both English and Arabic. IBM Plex Mono is reserved for Latin labels, times, prices, identifiers, and data; Arabic content never uses the Latin-only mono face.</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000"/>
        <w:gridCol w:w="1450"/>
        <w:gridCol w:w="1500"/>
        <w:gridCol w:w="2050"/>
        <w:gridCol w:w="2360"/>
      </w:tblGrid>
      <w:tr>
        <w:trPr>
          <w:tblHeader w:val="true"/>
          <w:cantSplit/>
        </w:trPr>
        <w:tc>
          <w:tcPr>
            <w:tcW w:type="dxa" w:w="20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Role</w:t>
            </w:r>
          </w:p>
        </w:tc>
        <w:tc>
          <w:tcPr>
            <w:tcW w:type="dxa" w:w="1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Latin specification</w:t>
            </w:r>
          </w:p>
        </w:tc>
        <w:tc>
          <w:tcPr>
            <w:tcW w:type="dxa" w:w="1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Arabic specification</w:t>
            </w:r>
          </w:p>
        </w:tc>
        <w:tc>
          <w:tcPr>
            <w:tcW w:type="dxa" w:w="20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Line height</w:t>
            </w:r>
          </w:p>
        </w:tc>
        <w:tc>
          <w:tcPr>
            <w:tcW w:type="dxa" w:w="23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Tracking</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Display</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Readex Pro 600, 44 px</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Readex Pro 600, 47 px</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46 px Latin; 57 px Arabic</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-0.035em Latin; 0 Arabic</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H1</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Readex Pro 600, 34 px</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Readex Pro 600, 37 px</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37 px Latin; 46 px Arabic</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-0.03em Latin; 0 Arabic</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H2</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Readex Pro 500, 26 px</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Readex Pro 500, 28 px</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30 px Latin; 36 px Arabic</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-0.025em Latin; 0 Arabic</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H3</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Readex Pro 500, 20 px</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Readex Pro 500, 22 px</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26 px Latin; 32 px Arabic</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-0.02em Latin; 0 Arabic</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Body</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IBM Plex Sans Arabic 400, 16 px</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IBM Plex Sans Arabic 400, 17 px</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26 px Latin; 30 px Arabic</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0</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Small/caption</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IBM Plex Sans Arabic 400, 14 px</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IBM Plex Sans Arabic 400, 15 px</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22 px Latin; 26 px Arabic</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0</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Badge/label</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IBM Plex Mono 500, 11 px</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IBM Plex Sans Arabic 500, 13 px</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15 px Latin; 20 px Arabic</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0.14em Latin uppercase; 0 Arabic sentence case</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Data/time/code</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IBM Plex Mono 400/500, 15 px</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IBM Plex Sans Arabic 500, 16 px</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20–22 px</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tabular numerals; isolated LTR</w:t>
            </w:r>
          </w:p>
        </w:tc>
      </w:tr>
    </w:tbl>
    <w:p>
      <w:pPr>
        <w:widowControl/>
        <w:spacing w:after="40"/>
      </w:pPr>
    </w:p>
    <w:p>
      <w:pPr>
        <w:widowControl/>
      </w:pPr>
      <w:r>
        <w:rPr>
          <w:rFonts w:ascii="IBM Plex Sans Arabic" w:hAnsi="IBM Plex Sans Arabic" w:cs="IBM Plex Sans Arabic" w:eastAsia="IBM Plex Sans Arabic"/>
          <w:color w:val="04191A"/>
          <w:sz w:val="20"/>
        </w:rPr>
        <w:t xml:space="preserve">Arabic is approximately 8% larger than the paired Latin step, with roughly </w:t>
      </w:r>
      <w:r>
        <w:rPr>
          <w:rFonts w:ascii="IBM Plex Mono" w:hAnsi="IBM Plex Mono" w:cs="IBM Plex Mono" w:eastAsia="IBM Plex Mono"/>
          <w:color w:val="063A38"/>
          <w:sz w:val="18"/>
        </w:rPr>
        <w:t>+0.15</w:t>
      </w:r>
      <w:r>
        <w:rPr>
          <w:rFonts w:ascii="IBM Plex Sans Arabic" w:hAnsi="IBM Plex Sans Arabic" w:cs="IBM Plex Sans Arabic" w:eastAsia="IBM Plex Sans Arabic"/>
          <w:color w:val="04191A"/>
          <w:sz w:val="20"/>
        </w:rPr>
        <w:t xml:space="preserve"> line-height. Arabic diacritics must not clip: do not fix control heights to the nominal font box; visually test common tashkeel combinations. Never letter-space, uppercase, or italicize Arabic. Readex Pro must not use weight 700 because it closes the counters. Mark language changes with </w:t>
      </w:r>
      <w:r>
        <w:rPr>
          <w:rFonts w:ascii="IBM Plex Mono" w:hAnsi="IBM Plex Mono" w:cs="IBM Plex Mono" w:eastAsia="IBM Plex Mono"/>
          <w:color w:val="063A38"/>
          <w:sz w:val="18"/>
        </w:rPr>
        <w:t>lang</w:t>
      </w:r>
      <w:r>
        <w:rPr>
          <w:rFonts w:ascii="IBM Plex Sans Arabic" w:hAnsi="IBM Plex Sans Arabic" w:cs="IBM Plex Sans Arabic" w:eastAsia="IBM Plex Sans Arabic"/>
          <w:color w:val="04191A"/>
          <w:sz w:val="20"/>
        </w:rPr>
        <w:t xml:space="preserve">; isolate numbers, medication codes, dose strings, IDs, and timestamps using </w:t>
      </w:r>
      <w:r>
        <w:rPr>
          <w:rFonts w:ascii="IBM Plex Mono" w:hAnsi="IBM Plex Mono" w:cs="IBM Plex Mono" w:eastAsia="IBM Plex Mono"/>
          <w:color w:val="063A38"/>
          <w:sz w:val="18"/>
        </w:rPr>
        <w:t>dir="ltr"</w:t>
      </w:r>
      <w:r>
        <w:rPr>
          <w:rFonts w:ascii="IBM Plex Sans Arabic" w:hAnsi="IBM Plex Sans Arabic" w:cs="IBM Plex Sans Arabic" w:eastAsia="IBM Plex Sans Arabic"/>
          <w:color w:val="04191A"/>
          <w:sz w:val="20"/>
        </w:rPr>
        <w:t xml:space="preserve"> with </w:t>
      </w:r>
      <w:r>
        <w:rPr>
          <w:rFonts w:ascii="IBM Plex Mono" w:hAnsi="IBM Plex Mono" w:cs="IBM Plex Mono" w:eastAsia="IBM Plex Mono"/>
          <w:color w:val="063A38"/>
          <w:sz w:val="18"/>
        </w:rPr>
        <w:t>unicode-bidi:isolate</w:t>
      </w:r>
      <w:r>
        <w:rPr>
          <w:rFonts w:ascii="IBM Plex Sans Arabic" w:hAnsi="IBM Plex Sans Arabic" w:cs="IBM Plex Sans Arabic" w:eastAsia="IBM Plex Sans Arabic"/>
          <w:color w:val="04191A"/>
          <w:sz w:val="20"/>
        </w:rPr>
        <w:t xml:space="preserve">. Prefer </w:t>
      </w:r>
      <w:r>
        <w:rPr>
          <w:rFonts w:ascii="IBM Plex Mono" w:hAnsi="IBM Plex Mono" w:cs="IBM Plex Mono" w:eastAsia="IBM Plex Mono"/>
          <w:color w:val="063A38"/>
          <w:sz w:val="18"/>
        </w:rPr>
        <w:t>font-variant-numeric: tabular-nums</w:t>
      </w:r>
      <w:r>
        <w:rPr>
          <w:rFonts w:ascii="IBM Plex Sans Arabic" w:hAnsi="IBM Plex Sans Arabic" w:cs="IBM Plex Sans Arabic" w:eastAsia="IBM Plex Sans Arabic"/>
          <w:color w:val="04191A"/>
          <w:sz w:val="20"/>
        </w:rPr>
        <w:t xml:space="preserve"> in schedules and audit tables. Prose measure is capped at approximately </w:t>
      </w:r>
      <w:r>
        <w:rPr>
          <w:rFonts w:ascii="IBM Plex Mono" w:hAnsi="IBM Plex Mono" w:cs="IBM Plex Mono" w:eastAsia="IBM Plex Mono"/>
          <w:color w:val="063A38"/>
          <w:sz w:val="18"/>
        </w:rPr>
        <w:t>66ch</w:t>
      </w:r>
      <w:r>
        <w:rPr>
          <w:rFonts w:ascii="IBM Plex Sans Arabic" w:hAnsi="IBM Plex Sans Arabic" w:cs="IBM Plex Sans Arabic" w:eastAsia="IBM Plex Sans Arabic"/>
          <w:color w:val="04191A"/>
          <w:sz w:val="20"/>
        </w:rPr>
        <w:t xml:space="preserve"> Latin and </w:t>
      </w:r>
      <w:r>
        <w:rPr>
          <w:rFonts w:ascii="IBM Plex Mono" w:hAnsi="IBM Plex Mono" w:cs="IBM Plex Mono" w:eastAsia="IBM Plex Mono"/>
          <w:color w:val="063A38"/>
          <w:sz w:val="18"/>
        </w:rPr>
        <w:t>60ch</w:t>
      </w:r>
      <w:r>
        <w:rPr>
          <w:rFonts w:ascii="IBM Plex Sans Arabic" w:hAnsi="IBM Plex Sans Arabic" w:cs="IBM Plex Sans Arabic" w:eastAsia="IBM Plex Sans Arabic"/>
          <w:color w:val="04191A"/>
          <w:sz w:val="20"/>
        </w:rPr>
        <w:t xml:space="preserve"> Arabic.</w:t>
      </w:r>
    </w:p>
    <w:p>
      <w:pPr>
        <w:pStyle w:val="Heading2"/>
        <w:widowControl/>
      </w:pPr>
      <w:r>
        <w:t>3.4 UI foundations</w:t>
      </w:r>
    </w:p>
    <w:p>
      <w:pPr>
        <w:pStyle w:val="Heading3"/>
        <w:widowControl/>
      </w:pPr>
      <w:r>
        <w:t>3.4.1 Spacing, radius, and elevation</w:t>
      </w:r>
    </w:p>
    <w:p>
      <w:pPr>
        <w:widowControl/>
        <w:numPr>
          <w:ilvl w:val="0"/>
          <w:numId w:val="10"/>
        </w:numPr>
      </w:pPr>
      <w:r>
        <w:rPr>
          <w:rFonts w:ascii="IBM Plex Sans Arabic" w:hAnsi="IBM Plex Sans Arabic" w:cs="IBM Plex Sans Arabic" w:eastAsia="IBM Plex Sans Arabic"/>
          <w:color w:val="04191A"/>
          <w:sz w:val="20"/>
        </w:rPr>
        <w:t xml:space="preserve">Spacing tokens: </w:t>
      </w:r>
      <w:r>
        <w:rPr>
          <w:rFonts w:ascii="IBM Plex Mono" w:hAnsi="IBM Plex Mono" w:cs="IBM Plex Mono" w:eastAsia="IBM Plex Mono"/>
          <w:color w:val="063A38"/>
          <w:sz w:val="18"/>
        </w:rPr>
        <w:t>4, 8, 12, 16, 24, 32, 48</w:t>
      </w:r>
      <w:r>
        <w:rPr>
          <w:rFonts w:ascii="IBM Plex Sans Arabic" w:hAnsi="IBM Plex Sans Arabic" w:cs="IBM Plex Sans Arabic" w:eastAsia="IBM Plex Sans Arabic"/>
          <w:color w:val="04191A"/>
          <w:sz w:val="20"/>
        </w:rPr>
        <w:t xml:space="preserve"> px only. Base grid is 8 px; 4/12 values support dense controls.</w:t>
      </w:r>
    </w:p>
    <w:p>
      <w:pPr>
        <w:widowControl/>
        <w:numPr>
          <w:ilvl w:val="0"/>
          <w:numId w:val="10"/>
        </w:numPr>
      </w:pPr>
      <w:r>
        <w:rPr>
          <w:rFonts w:ascii="IBM Plex Sans Arabic" w:hAnsi="IBM Plex Sans Arabic" w:cs="IBM Plex Sans Arabic" w:eastAsia="IBM Plex Sans Arabic"/>
          <w:color w:val="04191A"/>
          <w:sz w:val="20"/>
        </w:rPr>
        <w:t>Radius: 6 px controls, 12 px cards, 18 px panels/drawers, 999 px pills.</w:t>
      </w:r>
    </w:p>
    <w:p>
      <w:pPr>
        <w:widowControl/>
        <w:numPr>
          <w:ilvl w:val="0"/>
          <w:numId w:val="10"/>
        </w:numPr>
      </w:pPr>
      <w:r>
        <w:rPr>
          <w:rFonts w:ascii="IBM Plex Mono" w:hAnsi="IBM Plex Mono" w:cs="IBM Plex Mono" w:eastAsia="IBM Plex Mono"/>
          <w:color w:val="063A38"/>
          <w:sz w:val="18"/>
        </w:rPr>
        <w:t>shadow.rest</w:t>
      </w:r>
      <w:r>
        <w:rPr>
          <w:rFonts w:ascii="IBM Plex Sans Arabic" w:hAnsi="IBM Plex Sans Arabic" w:cs="IBM Plex Sans Arabic" w:eastAsia="IBM Plex Sans Arabic"/>
          <w:color w:val="04191A"/>
          <w:sz w:val="20"/>
        </w:rPr>
        <w:t xml:space="preserve">: </w:t>
      </w:r>
      <w:r>
        <w:rPr>
          <w:rFonts w:ascii="IBM Plex Mono" w:hAnsi="IBM Plex Mono" w:cs="IBM Plex Mono" w:eastAsia="IBM Plex Mono"/>
          <w:color w:val="063A38"/>
          <w:sz w:val="18"/>
        </w:rPr>
        <w:t>0 1px 2px rgba(11,26,46,.05)</w:t>
      </w:r>
      <w:r>
        <w:rPr>
          <w:rFonts w:ascii="IBM Plex Sans Arabic" w:hAnsi="IBM Plex Sans Arabic" w:cs="IBM Plex Sans Arabic" w:eastAsia="IBM Plex Sans Arabic"/>
          <w:color w:val="04191A"/>
          <w:sz w:val="20"/>
        </w:rPr>
        <w:t>.</w:t>
      </w:r>
    </w:p>
    <w:p>
      <w:pPr>
        <w:widowControl/>
        <w:numPr>
          <w:ilvl w:val="0"/>
          <w:numId w:val="10"/>
        </w:numPr>
      </w:pPr>
      <w:r>
        <w:rPr>
          <w:rFonts w:ascii="IBM Plex Mono" w:hAnsi="IBM Plex Mono" w:cs="IBM Plex Mono" w:eastAsia="IBM Plex Mono"/>
          <w:color w:val="063A38"/>
          <w:sz w:val="18"/>
        </w:rPr>
        <w:t>shadow.lift</w:t>
      </w:r>
      <w:r>
        <w:rPr>
          <w:rFonts w:ascii="IBM Plex Sans Arabic" w:hAnsi="IBM Plex Sans Arabic" w:cs="IBM Plex Sans Arabic" w:eastAsia="IBM Plex Sans Arabic"/>
          <w:color w:val="04191A"/>
          <w:sz w:val="20"/>
        </w:rPr>
        <w:t xml:space="preserve">: </w:t>
      </w:r>
      <w:r>
        <w:rPr>
          <w:rFonts w:ascii="IBM Plex Mono" w:hAnsi="IBM Plex Mono" w:cs="IBM Plex Mono" w:eastAsia="IBM Plex Mono"/>
          <w:color w:val="063A38"/>
          <w:sz w:val="18"/>
        </w:rPr>
        <w:t>0 18px 44px -22px rgba(11,26,46,.28)</w:t>
      </w:r>
      <w:r>
        <w:rPr>
          <w:rFonts w:ascii="IBM Plex Sans Arabic" w:hAnsi="IBM Plex Sans Arabic" w:cs="IBM Plex Sans Arabic" w:eastAsia="IBM Plex Sans Arabic"/>
          <w:color w:val="04191A"/>
          <w:sz w:val="20"/>
        </w:rPr>
        <w:t>.</w:t>
      </w:r>
    </w:p>
    <w:p>
      <w:pPr>
        <w:widowControl/>
        <w:numPr>
          <w:ilvl w:val="0"/>
          <w:numId w:val="10"/>
        </w:numPr>
      </w:pPr>
      <w:r>
        <w:rPr>
          <w:rFonts w:ascii="IBM Plex Sans Arabic" w:hAnsi="IBM Plex Sans Arabic" w:cs="IBM Plex Sans Arabic" w:eastAsia="IBM Plex Sans Arabic"/>
          <w:color w:val="04191A"/>
          <w:sz w:val="20"/>
        </w:rPr>
        <w:t>Avoid elevation for hierarchy that can be expressed by spacing, border, or surface.</w:t>
      </w:r>
    </w:p>
    <w:p>
      <w:pPr>
        <w:pStyle w:val="Heading3"/>
        <w:widowControl/>
      </w:pPr>
      <w:r>
        <w:t>3.4.2 Targets, focus, and input</w:t>
      </w:r>
    </w:p>
    <w:p>
      <w:pPr>
        <w:widowControl/>
      </w:pPr>
      <w:r>
        <w:rPr>
          <w:rFonts w:ascii="IBM Plex Sans Arabic" w:hAnsi="IBM Plex Sans Arabic" w:cs="IBM Plex Sans Arabic" w:eastAsia="IBM Plex Sans Arabic"/>
          <w:color w:val="04191A"/>
          <w:sz w:val="20"/>
        </w:rPr>
        <w:t>All interactive controls shall be at least 44 × 44 CSS px, including icon controls and queue reorder actions. The focus style is a 2.5 px Teal outline with 3 px offset in light mode and a 2.5 px Mint outline on dark surfaces. Focus must not be obscured by sticky chrome or drawers. Drag operations require keyboard and single-pointer menu alternatives.</w:t>
      </w:r>
    </w:p>
    <w:p>
      <w:pPr>
        <w:pStyle w:val="Heading3"/>
        <w:widowControl/>
      </w:pPr>
      <w:r>
        <w:t>3.4.3 Motion</w:t>
      </w:r>
    </w:p>
    <w:p>
      <w:pPr>
        <w:widowControl/>
      </w:pPr>
      <w:r>
        <w:rPr>
          <w:rFonts w:ascii="IBM Plex Sans Arabic" w:hAnsi="IBM Plex Sans Arabic" w:cs="IBM Plex Sans Arabic" w:eastAsia="IBM Plex Sans Arabic"/>
          <w:color w:val="04191A"/>
          <w:sz w:val="20"/>
        </w:rPr>
        <w:t xml:space="preserve">Use motion only to preserve causality: 120 ms state change, 180 ms panel transition, and 240 ms maximum for major route context. Use opacity/transform rather than layout animation. Under </w:t>
      </w:r>
      <w:r>
        <w:rPr>
          <w:rFonts w:ascii="IBM Plex Mono" w:hAnsi="IBM Plex Mono" w:cs="IBM Plex Mono" w:eastAsia="IBM Plex Mono"/>
          <w:color w:val="063A38"/>
          <w:sz w:val="18"/>
        </w:rPr>
        <w:t>prefers-reduced-motion: reduce</w:t>
      </w:r>
      <w:r>
        <w:rPr>
          <w:rFonts w:ascii="IBM Plex Sans Arabic" w:hAnsi="IBM Plex Sans Arabic" w:cs="IBM Plex Sans Arabic" w:eastAsia="IBM Plex Sans Arabic"/>
          <w:color w:val="04191A"/>
          <w:sz w:val="20"/>
        </w:rPr>
        <w:t>, remove waveform flourish, pulsing orb, parallax, auto-scroll animation, and nonessential transitions; keep static progress, elapsed time, and explicit text.</w:t>
      </w:r>
    </w:p>
    <w:p>
      <w:pPr>
        <w:pStyle w:val="Heading3"/>
        <w:widowControl/>
      </w:pPr>
      <w:r>
        <w:t>3.4.4 Empty-state recovery</w:t>
      </w:r>
    </w:p>
    <w:p>
      <w:pPr>
        <w:widowControl/>
      </w:pPr>
      <w:r>
        <w:rPr>
          <w:rFonts w:ascii="IBM Plex Sans Arabic" w:hAnsi="IBM Plex Sans Arabic" w:cs="IBM Plex Sans Arabic" w:eastAsia="IBM Plex Sans Arabic"/>
          <w:color w:val="04191A"/>
          <w:sz w:val="20"/>
        </w:rPr>
        <w:t>Every empty state contains: what is empty, why it may be empty, a safe primary recovery, and a secondary route. Example: “No encounters yet. Start a new encounter after confirming patient identity and consent.” Pulse may help locate data or explain next steps but must not invent records.</w:t>
      </w:r>
    </w:p>
    <w:p>
      <w:pPr>
        <w:pStyle w:val="Heading3"/>
        <w:widowControl/>
      </w:pPr>
      <w:r>
        <w:t>3.4.5 Responsive and bidirectional layout</w:t>
      </w:r>
    </w:p>
    <w:p>
      <w:pPr>
        <w:widowControl/>
      </w:pPr>
      <w:r>
        <w:rPr>
          <w:rFonts w:ascii="IBM Plex Sans Arabic" w:hAnsi="IBM Plex Sans Arabic" w:cs="IBM Plex Sans Arabic" w:eastAsia="IBM Plex Sans Arabic"/>
          <w:color w:val="04191A"/>
          <w:sz w:val="20"/>
        </w:rPr>
        <w:t xml:space="preserve">Use CSS logical properties: </w:t>
      </w:r>
      <w:r>
        <w:rPr>
          <w:rFonts w:ascii="IBM Plex Mono" w:hAnsi="IBM Plex Mono" w:cs="IBM Plex Mono" w:eastAsia="IBM Plex Mono"/>
          <w:color w:val="063A38"/>
          <w:sz w:val="18"/>
        </w:rPr>
        <w:t>margin-inline</w:t>
      </w:r>
      <w:r>
        <w:rPr>
          <w:rFonts w:ascii="IBM Plex Sans Arabic" w:hAnsi="IBM Plex Sans Arabic" w:cs="IBM Plex Sans Arabic" w:eastAsia="IBM Plex Sans Arabic"/>
          <w:color w:val="04191A"/>
          <w:sz w:val="20"/>
        </w:rPr>
        <w:t xml:space="preserve">, </w:t>
      </w:r>
      <w:r>
        <w:rPr>
          <w:rFonts w:ascii="IBM Plex Mono" w:hAnsi="IBM Plex Mono" w:cs="IBM Plex Mono" w:eastAsia="IBM Plex Mono"/>
          <w:color w:val="063A38"/>
          <w:sz w:val="18"/>
        </w:rPr>
        <w:t>padding-inline</w:t>
      </w:r>
      <w:r>
        <w:rPr>
          <w:rFonts w:ascii="IBM Plex Sans Arabic" w:hAnsi="IBM Plex Sans Arabic" w:cs="IBM Plex Sans Arabic" w:eastAsia="IBM Plex Sans Arabic"/>
          <w:color w:val="04191A"/>
          <w:sz w:val="20"/>
        </w:rPr>
        <w:t xml:space="preserve">, </w:t>
      </w:r>
      <w:r>
        <w:rPr>
          <w:rFonts w:ascii="IBM Plex Mono" w:hAnsi="IBM Plex Mono" w:cs="IBM Plex Mono" w:eastAsia="IBM Plex Mono"/>
          <w:color w:val="063A38"/>
          <w:sz w:val="18"/>
        </w:rPr>
        <w:t>inset-inline</w:t>
      </w:r>
      <w:r>
        <w:rPr>
          <w:rFonts w:ascii="IBM Plex Sans Arabic" w:hAnsi="IBM Plex Sans Arabic" w:cs="IBM Plex Sans Arabic" w:eastAsia="IBM Plex Sans Arabic"/>
          <w:color w:val="04191A"/>
          <w:sz w:val="20"/>
        </w:rPr>
        <w:t xml:space="preserve">, </w:t>
      </w:r>
      <w:r>
        <w:rPr>
          <w:rFonts w:ascii="IBM Plex Mono" w:hAnsi="IBM Plex Mono" w:cs="IBM Plex Mono" w:eastAsia="IBM Plex Mono"/>
          <w:color w:val="063A38"/>
          <w:sz w:val="18"/>
        </w:rPr>
        <w:t>border-inline</w:t>
      </w:r>
      <w:r>
        <w:rPr>
          <w:rFonts w:ascii="IBM Plex Sans Arabic" w:hAnsi="IBM Plex Sans Arabic" w:cs="IBM Plex Sans Arabic" w:eastAsia="IBM Plex Sans Arabic"/>
          <w:color w:val="04191A"/>
          <w:sz w:val="20"/>
        </w:rPr>
        <w:t xml:space="preserve">, </w:t>
      </w:r>
      <w:r>
        <w:rPr>
          <w:rFonts w:ascii="IBM Plex Mono" w:hAnsi="IBM Plex Mono" w:cs="IBM Plex Mono" w:eastAsia="IBM Plex Mono"/>
          <w:color w:val="063A38"/>
          <w:sz w:val="18"/>
        </w:rPr>
        <w:t>text-align:start</w:t>
      </w:r>
      <w:r>
        <w:rPr>
          <w:rFonts w:ascii="IBM Plex Sans Arabic" w:hAnsi="IBM Plex Sans Arabic" w:cs="IBM Plex Sans Arabic" w:eastAsia="IBM Plex Sans Arabic"/>
          <w:color w:val="04191A"/>
          <w:sz w:val="20"/>
        </w:rPr>
        <w:t>, and grid areas that mirror with document direction. Desktop workspaces use 240–280 px navigation, flexible content, and 320–400 px contextual drawer. Tablet collapses navigation. Mobile becomes a single task column with sticky bottom action; side-by-side clinical evidence becomes a segmented toggle with persistent comparison access.</w:t>
      </w:r>
    </w:p>
    <w:p>
      <w:pPr>
        <w:pStyle w:val="Heading1"/>
        <w:widowControl/>
      </w:pPr>
      <w:r>
        <w:t>4. Role-Based Workspaces &amp; Detailed UI Specifications</w:t>
      </w:r>
    </w:p>
    <w:p>
      <w:pPr>
        <w:pStyle w:val="Heading2"/>
        <w:widowControl/>
      </w:pPr>
      <w:r>
        <w:t>4.1 Doctor workspace: clinical ergonomics</w:t>
      </w:r>
    </w:p>
    <w:p>
      <w:pPr>
        <w:pStyle w:val="Heading3"/>
        <w:widowControl/>
      </w:pPr>
      <w:r>
        <w:t>4.1.1 Information architecture</w:t>
      </w:r>
    </w:p>
    <w:p>
      <w:pPr>
        <w:widowControl/>
      </w:pPr>
      <w:r>
        <w:rPr>
          <w:rFonts w:ascii="IBM Plex Sans Arabic" w:hAnsi="IBM Plex Sans Arabic" w:cs="IBM Plex Sans Arabic" w:eastAsia="IBM Plex Sans Arabic"/>
          <w:color w:val="04191A"/>
          <w:sz w:val="20"/>
        </w:rPr>
        <w:t>Primary navigation: Today, Patients, Schedule, Encounters, Prescriptions, Reports, Settings. Patient context opens a persistent aggregate sub-navigation: Overview, Encounters, Medications, Prescriptions, Appointments, Billing, Audit. Patient identity remains visible during recording, transcript editing, extraction review, and signing.</w:t>
      </w:r>
    </w:p>
    <w:p>
      <w:pPr>
        <w:pStyle w:val="Heading3"/>
        <w:widowControl/>
      </w:pPr>
      <w:r>
        <w:t>4.1.2 Patient aggregate search and history</w:t>
      </w:r>
    </w:p>
    <w:p>
      <w:pPr>
        <w:widowControl/>
      </w:pPr>
      <w:r>
        <w:rPr>
          <w:rFonts w:ascii="IBM Plex Sans Arabic" w:hAnsi="IBM Plex Sans Arabic" w:cs="IBM Plex Sans Arabic" w:eastAsia="IBM Plex Sans Arabic"/>
          <w:color w:val="04191A"/>
          <w:sz w:val="20"/>
        </w:rPr>
        <w:t>Search accepts name in either script, phone, clinic ID, and normalized identifier. Results show full name, Arabic/English variants, age or DOB, phone suffix, last visit, and clinic/location. Similar-name results require disambiguation before action. Filters include doctor, last visit, active medication, encounter status, and date range. History is reverse chronological; each encounter card exposes author, date, status, recording consent state, transcript state, approved prescription version, and expandable details.</w:t>
      </w:r>
    </w:p>
    <w:p>
      <w:pPr>
        <w:pStyle w:val="NabdaCode"/>
        <w:shd w:fill="E3EEEC"/>
        <w:widowControl/>
        <w:pBdr>
          <w:left w:val="single" w:sz="10" w:space="8" w:color="0E7C74"/>
        </w:pBdr>
      </w:pPr>
      <w:r>
        <w:rPr>
          <w:rFonts w:ascii="IBM Plex Mono" w:hAnsi="IBM Plex Mono" w:cs="IBM Plex Mono" w:eastAsia="IBM Plex Mono"/>
          <w:color w:val="04191A"/>
          <w:sz w:val="16"/>
        </w:rPr>
        <w:t>┌ Lapis app bar: Nabda | Patient search | Clinic | Doctor ┐</w:t>
        <w:br/>
        <w:t>├ Navigation ┬ Patient identity banner: Name · DOB · ID ──┤</w:t>
        <w:br/>
        <w:t>│ Today      │ [Overview] [Encounters] [Rx] [Audit]        │</w:t>
        <w:br/>
        <w:t>│ Patients   ├ Filters: type · date · clinician · status   │</w:t>
        <w:br/>
        <w:t>│ Schedule   ├ 24 Aug 2026 · Encounter · APPROVED         │</w:t>
        <w:br/>
        <w:t>│ ...        │   Summary / transcript / Rx v3 / audit     │</w:t>
        <w:br/>
        <w:t>│            ├ 10 Aug 2026 · Appointment · COMPLETED      │</w:t>
        <w:br/>
        <w:t>│            └ Older records (collapsed)                  │</w:t>
        <w:br/>
        <w:t>└────────────┴─────────────────────────────────────────────┘</w:t>
      </w:r>
    </w:p>
    <w:p>
      <w:pPr>
        <w:pStyle w:val="Heading3"/>
        <w:widowControl/>
      </w:pPr>
      <w:r>
        <w:t>4.1.3 AudioCapture bar</w:t>
      </w:r>
    </w:p>
    <w:p>
      <w:pPr>
        <w:widowControl/>
      </w:pPr>
      <w:r>
        <w:rPr>
          <w:rFonts w:ascii="IBM Plex Sans Arabic" w:hAnsi="IBM Plex Sans Arabic" w:cs="IBM Plex Sans Arabic" w:eastAsia="IBM Plex Sans Arabic"/>
          <w:color w:val="04191A"/>
          <w:sz w:val="20"/>
        </w:rPr>
        <w:t>The bar is persistent within an active encounter and never floats over critical patient identity or emergency content. It contains consent status and version, input device, waveform (decorative with text alternative), elapsed time, Record/Pause/Resume/Stop, upload progress, connectivity, retry, and discard. Record is disabled until consent is valid. Stop opens a concise confirmation only when data loss risk exists. Retry reuses the same recording/job identity and idempotency key.</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1700"/>
        <w:gridCol w:w="2450"/>
        <w:gridCol w:w="2450"/>
        <w:gridCol w:w="2760"/>
      </w:tblGrid>
      <w:tr>
        <w:trPr>
          <w:tblHeader w:val="true"/>
          <w:cantSplit/>
        </w:trPr>
        <w:tc>
          <w:tcPr>
            <w:tcW w:type="dxa" w:w="17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State</w:t>
            </w:r>
          </w:p>
        </w:tc>
        <w:tc>
          <w:tcPr>
            <w:tcW w:type="dxa" w:w="2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Visible system message</w:t>
            </w:r>
          </w:p>
        </w:tc>
        <w:tc>
          <w:tcPr>
            <w:tcW w:type="dxa" w:w="2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Available actions</w:t>
            </w:r>
          </w:p>
        </w:tc>
        <w:tc>
          <w:tcPr>
            <w:tcW w:type="dxa" w:w="27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Audit event</w:t>
            </w:r>
          </w:p>
        </w:tc>
      </w:tr>
      <w:tr>
        <w:trPr>
          <w:cantSplit/>
        </w:trPr>
        <w:tc>
          <w:tcPr>
            <w:tcW w:type="dxa" w:w="17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 consent</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“Consent required before recording”</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Review consent, cancel</w:t>
            </w:r>
          </w:p>
        </w:tc>
        <w:tc>
          <w:tcPr>
            <w:tcW w:type="dxa" w:w="27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Consent view</w:t>
            </w:r>
          </w:p>
        </w:tc>
      </w:tr>
      <w:tr>
        <w:trPr>
          <w:cantSplit/>
        </w:trPr>
        <w:tc>
          <w:tcPr>
            <w:tcW w:type="dxa" w:w="17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Ready</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“Consent granted · not recording”</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 change device</w:t>
            </w:r>
          </w:p>
        </w:tc>
        <w:tc>
          <w:tcPr>
            <w:tcW w:type="dxa" w:w="27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Device selection</w:t>
            </w:r>
          </w:p>
        </w:tc>
      </w:tr>
      <w:tr>
        <w:trPr>
          <w:cantSplit/>
        </w:trPr>
        <w:tc>
          <w:tcPr>
            <w:tcW w:type="dxa" w:w="17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 · 02:14 · chunks protected”</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Pause, Stop</w:t>
            </w:r>
          </w:p>
        </w:tc>
        <w:tc>
          <w:tcPr>
            <w:tcW w:type="dxa" w:w="27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 started</w:t>
            </w:r>
          </w:p>
        </w:tc>
      </w:tr>
      <w:tr>
        <w:trPr>
          <w:cantSplit/>
        </w:trPr>
        <w:tc>
          <w:tcPr>
            <w:tcW w:type="dxa" w:w="17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Paused</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“Paused · audio retained locally until upload”</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Resume, Stop, Retry device</w:t>
            </w:r>
          </w:p>
        </w:tc>
        <w:tc>
          <w:tcPr>
            <w:tcW w:type="dxa" w:w="27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 paused</w:t>
            </w:r>
          </w:p>
        </w:tc>
      </w:tr>
      <w:tr>
        <w:trPr>
          <w:cantSplit/>
        </w:trPr>
        <w:tc>
          <w:tcPr>
            <w:tcW w:type="dxa" w:w="17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Uploading</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“Uploading 6 of 8 chunks”</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Continue in background, retry failed chunk</w:t>
            </w:r>
          </w:p>
        </w:tc>
        <w:tc>
          <w:tcPr>
            <w:tcW w:type="dxa" w:w="27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Chunk receipt/status</w:t>
            </w:r>
          </w:p>
        </w:tc>
      </w:tr>
      <w:tr>
        <w:trPr>
          <w:cantSplit/>
        </w:trPr>
        <w:tc>
          <w:tcPr>
            <w:tcW w:type="dxa" w:w="17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Failed retryable</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“Upload interrupted. No duplicate will be created.”</w:t>
            </w:r>
          </w:p>
        </w:tc>
        <w:tc>
          <w:tcPr>
            <w:tcW w:type="dxa" w:w="2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Retry, download recovery if policy permits</w:t>
            </w:r>
          </w:p>
        </w:tc>
        <w:tc>
          <w:tcPr>
            <w:tcW w:type="dxa" w:w="27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Failure and retry</w:t>
            </w:r>
          </w:p>
        </w:tc>
      </w:tr>
      <w:tr>
        <w:trPr>
          <w:cantSplit/>
        </w:trPr>
        <w:tc>
          <w:tcPr>
            <w:tcW w:type="dxa" w:w="17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Processing</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“Upload complete · transcribing”</w:t>
            </w:r>
          </w:p>
        </w:tc>
        <w:tc>
          <w:tcPr>
            <w:tcW w:type="dxa" w:w="2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Leave encounter safely</w:t>
            </w:r>
          </w:p>
        </w:tc>
        <w:tc>
          <w:tcPr>
            <w:tcW w:type="dxa" w:w="27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Job transition</w:t>
            </w:r>
          </w:p>
        </w:tc>
      </w:tr>
    </w:tbl>
    <w:p>
      <w:pPr>
        <w:widowControl/>
        <w:spacing w:after="40"/>
      </w:pPr>
    </w:p>
    <w:p>
      <w:pPr>
        <w:pStyle w:val="Heading3"/>
        <w:widowControl/>
      </w:pPr>
      <w:r>
        <w:t>4.1.4 Live transcript and diarization editor</w:t>
      </w:r>
    </w:p>
    <w:p>
      <w:pPr>
        <w:widowControl/>
      </w:pPr>
      <w:r>
        <w:rPr>
          <w:rFonts w:ascii="IBM Plex Sans Arabic" w:hAnsi="IBM Plex Sans Arabic" w:cs="IBM Plex Sans Arabic" w:eastAsia="IBM Plex Sans Arabic"/>
          <w:color w:val="04191A"/>
          <w:sz w:val="20"/>
        </w:rPr>
        <w:t>Desktop defaults to transcript plus encounter context; users may switch to focus mode. Speaker turns show Doctor, Patient, or Unknown with a non-color label and avatar glyph. Low-confidence words use a Gold-tint underline plus a “Low confidence” indicator; never color alone. Selecting a word opens alternatives, playback around the timestamp, and manual correction. Editing creates a versioned transcript delta with actor and time. Bulk speaker reassignment requires confirmation and previews affected turns.</w:t>
      </w:r>
    </w:p>
    <w:p>
      <w:pPr>
        <w:widowControl/>
      </w:pPr>
      <w:r>
        <w:rPr>
          <w:rFonts w:ascii="IBM Plex Sans Arabic" w:hAnsi="IBM Plex Sans Arabic" w:cs="IBM Plex Sans Arabic" w:eastAsia="IBM Plex Sans Arabic"/>
          <w:color w:val="04191A"/>
          <w:sz w:val="20"/>
        </w:rPr>
        <w:t xml:space="preserve">Keyboard: Up/Down moves turns; Enter edits; </w:t>
      </w:r>
      <w:r>
        <w:rPr>
          <w:rFonts w:ascii="IBM Plex Mono" w:hAnsi="IBM Plex Mono" w:cs="IBM Plex Mono" w:eastAsia="IBM Plex Mono"/>
          <w:color w:val="063A38"/>
          <w:sz w:val="18"/>
        </w:rPr>
        <w:t>Alt+P</w:t>
      </w:r>
      <w:r>
        <w:rPr>
          <w:rFonts w:ascii="IBM Plex Sans Arabic" w:hAnsi="IBM Plex Sans Arabic" w:cs="IBM Plex Sans Arabic" w:eastAsia="IBM Plex Sans Arabic"/>
          <w:color w:val="04191A"/>
          <w:sz w:val="20"/>
        </w:rPr>
        <w:t xml:space="preserve"> plays current segment; </w:t>
      </w:r>
      <w:r>
        <w:rPr>
          <w:rFonts w:ascii="IBM Plex Mono" w:hAnsi="IBM Plex Mono" w:cs="IBM Plex Mono" w:eastAsia="IBM Plex Mono"/>
          <w:color w:val="063A38"/>
          <w:sz w:val="18"/>
        </w:rPr>
        <w:t>Alt+D</w:t>
      </w:r>
      <w:r>
        <w:rPr>
          <w:rFonts w:ascii="IBM Plex Sans Arabic" w:hAnsi="IBM Plex Sans Arabic" w:cs="IBM Plex Sans Arabic" w:eastAsia="IBM Plex Sans Arabic"/>
          <w:color w:val="04191A"/>
          <w:sz w:val="20"/>
        </w:rPr>
        <w:t xml:space="preserve"> assigns Doctor; </w:t>
      </w:r>
      <w:r>
        <w:rPr>
          <w:rFonts w:ascii="IBM Plex Mono" w:hAnsi="IBM Plex Mono" w:cs="IBM Plex Mono" w:eastAsia="IBM Plex Mono"/>
          <w:color w:val="063A38"/>
          <w:sz w:val="18"/>
        </w:rPr>
        <w:t>Alt+A</w:t>
      </w:r>
      <w:r>
        <w:rPr>
          <w:rFonts w:ascii="IBM Plex Sans Arabic" w:hAnsi="IBM Plex Sans Arabic" w:cs="IBM Plex Sans Arabic" w:eastAsia="IBM Plex Sans Arabic"/>
          <w:color w:val="04191A"/>
          <w:sz w:val="20"/>
        </w:rPr>
        <w:t xml:space="preserve"> assigns Patient; shortcuts are localized, discoverable, and never override assistive technology conventions.</w:t>
      </w:r>
    </w:p>
    <w:p>
      <w:pPr>
        <w:pStyle w:val="Heading3"/>
        <w:widowControl/>
      </w:pPr>
      <w:r>
        <w:t>4.1.5 Pulse extraction and prescription review</w:t>
      </w:r>
    </w:p>
    <w:p>
      <w:pPr>
        <w:widowControl/>
      </w:pPr>
      <w:r>
        <w:rPr>
          <w:rFonts w:ascii="IBM Plex Sans Arabic" w:hAnsi="IBM Plex Sans Arabic" w:cs="IBM Plex Sans Arabic" w:eastAsia="IBM Plex Sans Arabic"/>
          <w:color w:val="04191A"/>
          <w:sz w:val="20"/>
        </w:rPr>
        <w:t>The review screen is evidence-first. Raw spoken text and normalized medication data are visually paired. Gold labels identify machine-authored content; Teal denotes clinician actions. Confidence is shown as label, value band, and explanation, not as a precise guarantee.</w:t>
      </w:r>
    </w:p>
    <w:p>
      <w:pPr>
        <w:pStyle w:val="NabdaCode"/>
        <w:shd w:fill="E3EEEC"/>
        <w:widowControl/>
        <w:pBdr>
          <w:left w:val="single" w:sz="10" w:space="8" w:color="0E7C74"/>
        </w:pBdr>
      </w:pPr>
      <w:r>
        <w:rPr>
          <w:rFonts w:ascii="IBM Plex Mono" w:hAnsi="IBM Plex Mono" w:cs="IBM Plex Mono" w:eastAsia="IBM Plex Mono"/>
          <w:color w:val="04191A"/>
          <w:sz w:val="16"/>
        </w:rPr>
        <w:t>┌ Patient / Encounter identity ────── Status: REVIEW REQUIRED ┐</w:t>
        <w:br/>
        <w:t>├ Evidence (raw transcript/audio) ┬ Structured medication      ┤</w:t>
        <w:br/>
        <w:t>│ “Augmentin one gram…”  03:12    │ Name  [amoxicillin/... ]   │</w:t>
        <w:br/>
        <w:t>│ [Play] [Open transcript]        │ Dose  [1] [g]              │</w:t>
        <w:br/>
        <w:t>│ LOW CONFIDENCE: “twice daily”   │ Freq  [twice daily] ⚠      │</w:t>
        <w:br/>
        <w:t>│                                 │ Route [oral] Duration [7 d] │</w:t>
        <w:br/>
        <w:t>├─────────────────────────────────┴─────────────────────────────┤</w:t>
        <w:br/>
        <w:t>│ Interaction checks: [Review required] [No data]              │</w:t>
        <w:br/>
        <w:t>│ Checklist: identity ✓ evidence ✓ dose ✓ instructions ✓       │</w:t>
        <w:br/>
        <w:t>│ [Save draft]                         [Review &amp; sign]          │</w:t>
        <w:br/>
        <w:t>└───────────────────────────────────────────────────────────────┘</w:t>
      </w:r>
    </w:p>
    <w:p>
      <w:pPr>
        <w:widowControl/>
      </w:pPr>
      <w:r>
        <w:rPr>
          <w:rFonts w:ascii="IBM Plex Sans Arabic" w:hAnsi="IBM Plex Sans Arabic" w:cs="IBM Plex Sans Arabic" w:eastAsia="IBM Plex Sans Arabic"/>
          <w:color w:val="04191A"/>
          <w:sz w:val="20"/>
        </w:rPr>
        <w:t>The interface maps the extraction contract exactly:</w:t>
      </w:r>
    </w:p>
    <w:p>
      <w:pPr>
        <w:pStyle w:val="NabdaCode"/>
        <w:shd w:fill="E3EEEC"/>
        <w:widowControl/>
        <w:pBdr>
          <w:left w:val="single" w:sz="10" w:space="8" w:color="0E7C74"/>
        </w:pBdr>
      </w:pPr>
      <w:r>
        <w:rPr>
          <w:rFonts w:ascii="IBM Plex Mono" w:hAnsi="IBM Plex Mono" w:cs="IBM Plex Mono" w:eastAsia="IBM Plex Mono"/>
          <w:color w:val="04191A"/>
          <w:sz w:val="16"/>
        </w:rPr>
        <w:t>{</w:t>
        <w:br/>
        <w:t xml:space="preserve">  "patientId": "string",</w:t>
        <w:br/>
        <w:t xml:space="preserve">  "encounterId": "string",</w:t>
        <w:br/>
        <w:t xml:space="preserve">  "extractedAt": "ISO8601 timestamp",</w:t>
        <w:br/>
        <w:t xml:space="preserve">  "medications": [{</w:t>
        <w:br/>
        <w:t xml:space="preserve">    "rawText": "string",</w:t>
        <w:br/>
        <w:t xml:space="preserve">    "normalizedName": "string",</w:t>
        <w:br/>
        <w:t xml:space="preserve">    "dose": "number",</w:t>
        <w:br/>
        <w:t xml:space="preserve">    "unit": "string",</w:t>
        <w:br/>
        <w:t xml:space="preserve">    "frequency": "string",</w:t>
        <w:br/>
        <w:t xml:space="preserve">    "route": "string",</w:t>
        <w:br/>
        <w:t xml:space="preserve">    "duration": "string",</w:t>
        <w:br/>
        <w:t xml:space="preserve">    "notes": "string",</w:t>
        <w:br/>
        <w:t xml:space="preserve">    "confidence": "0.0-1.0"</w:t>
        <w:br/>
        <w:t xml:space="preserve">  }],</w:t>
        <w:br/>
        <w:t xml:space="preserve">  "modelInfo": {"provider":"string","model":"string","version":"string"}</w:t>
        <w:br/>
        <w:t>}</w:t>
      </w:r>
    </w:p>
    <w:p>
      <w:pPr>
        <w:widowControl/>
      </w:pPr>
      <w:r>
        <w:rPr>
          <w:rFonts w:ascii="IBM Plex Mono" w:hAnsi="IBM Plex Mono" w:cs="IBM Plex Mono" w:eastAsia="IBM Plex Mono"/>
          <w:color w:val="063A38"/>
          <w:sz w:val="18"/>
        </w:rPr>
        <w:t>patientId</w:t>
      </w:r>
      <w:r>
        <w:rPr>
          <w:rFonts w:ascii="IBM Plex Sans Arabic" w:hAnsi="IBM Plex Sans Arabic" w:cs="IBM Plex Sans Arabic" w:eastAsia="IBM Plex Sans Arabic"/>
          <w:color w:val="04191A"/>
          <w:sz w:val="20"/>
        </w:rPr>
        <w:t xml:space="preserve"> and </w:t>
      </w:r>
      <w:r>
        <w:rPr>
          <w:rFonts w:ascii="IBM Plex Mono" w:hAnsi="IBM Plex Mono" w:cs="IBM Plex Mono" w:eastAsia="IBM Plex Mono"/>
          <w:color w:val="063A38"/>
          <w:sz w:val="18"/>
        </w:rPr>
        <w:t>encounterId</w:t>
      </w:r>
      <w:r>
        <w:rPr>
          <w:rFonts w:ascii="IBM Plex Sans Arabic" w:hAnsi="IBM Plex Sans Arabic" w:cs="IBM Plex Sans Arabic" w:eastAsia="IBM Plex Sans Arabic"/>
          <w:color w:val="04191A"/>
          <w:sz w:val="20"/>
        </w:rPr>
        <w:t xml:space="preserve"> are read-only context fields. Each medication row preserves </w:t>
      </w:r>
      <w:r>
        <w:rPr>
          <w:rFonts w:ascii="IBM Plex Mono" w:hAnsi="IBM Plex Mono" w:cs="IBM Plex Mono" w:eastAsia="IBM Plex Mono"/>
          <w:color w:val="063A38"/>
          <w:sz w:val="18"/>
        </w:rPr>
        <w:t>rawText</w:t>
      </w:r>
      <w:r>
        <w:rPr>
          <w:rFonts w:ascii="IBM Plex Sans Arabic" w:hAnsi="IBM Plex Sans Arabic" w:cs="IBM Plex Sans Arabic" w:eastAsia="IBM Plex Sans Arabic"/>
          <w:color w:val="04191A"/>
          <w:sz w:val="20"/>
        </w:rPr>
        <w:t xml:space="preserve">. </w:t>
      </w:r>
      <w:r>
        <w:rPr>
          <w:rFonts w:ascii="IBM Plex Mono" w:hAnsi="IBM Plex Mono" w:cs="IBM Plex Mono" w:eastAsia="IBM Plex Mono"/>
          <w:color w:val="063A38"/>
          <w:sz w:val="18"/>
        </w:rPr>
        <w:t>normalizedName</w:t>
      </w:r>
      <w:r>
        <w:rPr>
          <w:rFonts w:ascii="IBM Plex Sans Arabic" w:hAnsi="IBM Plex Sans Arabic" w:cs="IBM Plex Sans Arabic" w:eastAsia="IBM Plex Sans Arabic"/>
          <w:color w:val="04191A"/>
          <w:sz w:val="20"/>
        </w:rPr>
        <w:t xml:space="preserve">, dose, unit, frequency, route, duration, and notes are editable with validation. Confidence is read-only provenance. </w:t>
      </w:r>
      <w:r>
        <w:rPr>
          <w:rFonts w:ascii="IBM Plex Mono" w:hAnsi="IBM Plex Mono" w:cs="IBM Plex Mono" w:eastAsia="IBM Plex Mono"/>
          <w:color w:val="063A38"/>
          <w:sz w:val="18"/>
        </w:rPr>
        <w:t>extractedAt</w:t>
      </w:r>
      <w:r>
        <w:rPr>
          <w:rFonts w:ascii="IBM Plex Sans Arabic" w:hAnsi="IBM Plex Sans Arabic" w:cs="IBM Plex Sans Arabic" w:eastAsia="IBM Plex Sans Arabic"/>
          <w:color w:val="04191A"/>
          <w:sz w:val="20"/>
        </w:rPr>
        <w:t xml:space="preserve"> and </w:t>
      </w:r>
      <w:r>
        <w:rPr>
          <w:rFonts w:ascii="IBM Plex Mono" w:hAnsi="IBM Plex Mono" w:cs="IBM Plex Mono" w:eastAsia="IBM Plex Mono"/>
          <w:color w:val="063A38"/>
          <w:sz w:val="18"/>
        </w:rPr>
        <w:t>modelInfo</w:t>
      </w:r>
      <w:r>
        <w:rPr>
          <w:rFonts w:ascii="IBM Plex Sans Arabic" w:hAnsi="IBM Plex Sans Arabic" w:cs="IBM Plex Sans Arabic" w:eastAsia="IBM Plex Sans Arabic"/>
          <w:color w:val="04191A"/>
          <w:sz w:val="20"/>
        </w:rPr>
        <w:t xml:space="preserve"> appear in audit/provenance details, not the primary clinical form.</w:t>
      </w:r>
    </w:p>
    <w:p>
      <w:pPr>
        <w:widowControl/>
      </w:pPr>
      <w:r>
        <w:rPr>
          <w:rFonts w:ascii="IBM Plex Sans Arabic" w:hAnsi="IBM Plex Sans Arabic" w:cs="IBM Plex Sans Arabic" w:eastAsia="IBM Plex Sans Arabic"/>
          <w:color w:val="04191A"/>
          <w:sz w:val="20"/>
        </w:rPr>
        <w:t>Drug-interaction chips are informational prompts tied to an authoritative configured data source; they must show source freshness and cannot replace clinical judgment. Missing or unavailable interaction data is stated explicitly. The approval drawer summarizes unresolved warnings, modifications from extraction, final patient/encounter, and signature meaning. Signing requires step-up authentication when policy demands it and creates an immutable version linked to the prior version. Corrections after signing create a new superseding version; they never mutate history.</w:t>
      </w:r>
    </w:p>
    <w:p>
      <w:pPr>
        <w:pStyle w:val="Heading3"/>
        <w:widowControl/>
      </w:pPr>
      <w:r>
        <w:t>4.1.6 Doctor flow</w:t>
      </w:r>
    </w:p>
    <w:p>
      <w:pPr>
        <w:widowControl/>
        <w:numPr>
          <w:ilvl w:val="0"/>
          <w:numId w:val="15"/>
        </w:numPr>
      </w:pPr>
      <w:r>
        <w:rPr>
          <w:rFonts w:ascii="IBM Plex Sans Arabic" w:hAnsi="IBM Plex Sans Arabic" w:cs="IBM Plex Sans Arabic" w:eastAsia="IBM Plex Sans Arabic"/>
          <w:color w:val="04191A"/>
          <w:sz w:val="20"/>
        </w:rPr>
        <w:t>Search and disambiguate patient.</w:t>
      </w:r>
    </w:p>
    <w:p>
      <w:pPr>
        <w:widowControl/>
        <w:numPr>
          <w:ilvl w:val="0"/>
          <w:numId w:val="15"/>
        </w:numPr>
      </w:pPr>
      <w:r>
        <w:rPr>
          <w:rFonts w:ascii="IBM Plex Sans Arabic" w:hAnsi="IBM Plex Sans Arabic" w:cs="IBM Plex Sans Arabic" w:eastAsia="IBM Plex Sans Arabic"/>
          <w:color w:val="04191A"/>
          <w:sz w:val="20"/>
        </w:rPr>
        <w:t>Open or create encounter; confirm clinician and location.</w:t>
      </w:r>
    </w:p>
    <w:p>
      <w:pPr>
        <w:widowControl/>
        <w:numPr>
          <w:ilvl w:val="0"/>
          <w:numId w:val="15"/>
        </w:numPr>
      </w:pPr>
      <w:r>
        <w:rPr>
          <w:rFonts w:ascii="IBM Plex Sans Arabic" w:hAnsi="IBM Plex Sans Arabic" w:cs="IBM Plex Sans Arabic" w:eastAsia="IBM Plex Sans Arabic"/>
          <w:color w:val="04191A"/>
          <w:sz w:val="20"/>
        </w:rPr>
        <w:t>Present consent text; capture consent actor, version, time, and purpose.</w:t>
      </w:r>
    </w:p>
    <w:p>
      <w:pPr>
        <w:widowControl/>
        <w:numPr>
          <w:ilvl w:val="0"/>
          <w:numId w:val="15"/>
        </w:numPr>
      </w:pPr>
      <w:r>
        <w:rPr>
          <w:rFonts w:ascii="IBM Plex Sans Arabic" w:hAnsi="IBM Plex Sans Arabic" w:cs="IBM Plex Sans Arabic" w:eastAsia="IBM Plex Sans Arabic"/>
          <w:color w:val="04191A"/>
          <w:sz w:val="20"/>
        </w:rPr>
        <w:t>Record; monitor upload and recover safely from interruption.</w:t>
      </w:r>
    </w:p>
    <w:p>
      <w:pPr>
        <w:widowControl/>
        <w:numPr>
          <w:ilvl w:val="0"/>
          <w:numId w:val="15"/>
        </w:numPr>
      </w:pPr>
      <w:r>
        <w:rPr>
          <w:rFonts w:ascii="IBM Plex Sans Arabic" w:hAnsi="IBM Plex Sans Arabic" w:cs="IBM Plex Sans Arabic" w:eastAsia="IBM Plex Sans Arabic"/>
          <w:color w:val="04191A"/>
          <w:sz w:val="20"/>
        </w:rPr>
        <w:t>Review transcript and correct speakers/uncertainty.</w:t>
      </w:r>
    </w:p>
    <w:p>
      <w:pPr>
        <w:widowControl/>
        <w:numPr>
          <w:ilvl w:val="0"/>
          <w:numId w:val="15"/>
        </w:numPr>
      </w:pPr>
      <w:r>
        <w:rPr>
          <w:rFonts w:ascii="IBM Plex Sans Arabic" w:hAnsi="IBM Plex Sans Arabic" w:cs="IBM Plex Sans Arabic" w:eastAsia="IBM Plex Sans Arabic"/>
          <w:color w:val="04191A"/>
          <w:sz w:val="20"/>
        </w:rPr>
        <w:t>Request extraction against a locked transcript snapshot and prompt version.</w:t>
      </w:r>
    </w:p>
    <w:p>
      <w:pPr>
        <w:widowControl/>
        <w:numPr>
          <w:ilvl w:val="0"/>
          <w:numId w:val="15"/>
        </w:numPr>
      </w:pPr>
      <w:r>
        <w:rPr>
          <w:rFonts w:ascii="IBM Plex Sans Arabic" w:hAnsi="IBM Plex Sans Arabic" w:cs="IBM Plex Sans Arabic" w:eastAsia="IBM Plex Sans Arabic"/>
          <w:color w:val="04191A"/>
          <w:sz w:val="20"/>
        </w:rPr>
        <w:t>Compare raw evidence with normalized fields; resolve validation and interaction notices.</w:t>
      </w:r>
    </w:p>
    <w:p>
      <w:pPr>
        <w:widowControl/>
        <w:numPr>
          <w:ilvl w:val="0"/>
          <w:numId w:val="15"/>
        </w:numPr>
      </w:pPr>
      <w:r>
        <w:rPr>
          <w:rFonts w:ascii="IBM Plex Sans Arabic" w:hAnsi="IBM Plex Sans Arabic" w:cs="IBM Plex Sans Arabic" w:eastAsia="IBM Plex Sans Arabic"/>
          <w:color w:val="04191A"/>
          <w:sz w:val="20"/>
        </w:rPr>
        <w:t>Review approval checklist; sign; receive immutable version confirmation.</w:t>
      </w:r>
    </w:p>
    <w:p>
      <w:pPr>
        <w:widowControl/>
        <w:numPr>
          <w:ilvl w:val="0"/>
          <w:numId w:val="15"/>
        </w:numPr>
      </w:pPr>
      <w:r>
        <w:rPr>
          <w:rFonts w:ascii="IBM Plex Sans Arabic" w:hAnsi="IBM Plex Sans Arabic" w:cs="IBM Plex Sans Arabic" w:eastAsia="IBM Plex Sans Arabic"/>
          <w:color w:val="04191A"/>
          <w:sz w:val="20"/>
        </w:rPr>
        <w:t>Return to patient aggregate with new event visible in chronology.</w:t>
      </w:r>
    </w:p>
    <w:p>
      <w:pPr>
        <w:pStyle w:val="Heading2"/>
        <w:widowControl/>
      </w:pPr>
      <w:r>
        <w:t>4.2 Receptionist / register workspace: speed and queue operations</w:t>
      </w:r>
    </w:p>
    <w:p>
      <w:pPr>
        <w:pStyle w:val="Heading3"/>
        <w:widowControl/>
      </w:pPr>
      <w:r>
        <w:t>4.2.1 Multi-doctor schedule matrix</w:t>
      </w:r>
    </w:p>
    <w:p>
      <w:pPr>
        <w:widowControl/>
      </w:pPr>
      <w:r>
        <w:rPr>
          <w:rFonts w:ascii="IBM Plex Sans Arabic" w:hAnsi="IBM Plex Sans Arabic" w:cs="IBM Plex Sans Arabic" w:eastAsia="IBM Plex Sans Arabic"/>
          <w:color w:val="04191A"/>
          <w:sz w:val="20"/>
        </w:rPr>
        <w:t>The default day view places doctors as columns and time as rows; week view focuses one doctor or a small selected set. Each slot exposes time, room, price, status, and hold owner. Keyboard arrows traverse slots; Enter opens booking; a non-drag menu moves appointments. Selecting a free slot creates a visible short-lived hold before patient details are entered. Conflicts show the competing commit and immediately offer nearest equivalent slots.</w:t>
      </w:r>
    </w:p>
    <w:p>
      <w:pPr>
        <w:pStyle w:val="NabdaCode"/>
        <w:shd w:fill="E3EEEC"/>
        <w:widowControl/>
        <w:pBdr>
          <w:left w:val="single" w:sz="10" w:space="8" w:color="0E7C74"/>
        </w:pBdr>
      </w:pPr>
      <w:r>
        <w:rPr>
          <w:rFonts w:ascii="IBM Plex Mono" w:hAnsi="IBM Plex Mono" w:cs="IBM Plex Mono" w:eastAsia="IBM Plex Mono"/>
          <w:color w:val="04191A"/>
          <w:sz w:val="16"/>
        </w:rPr>
        <w:t>┌ Date ◀ 24 Aug ▶ | Day / Week | Doctors | Location | Search ┐</w:t>
        <w:br/>
        <w:t>├ Time ┬ Dr Farouk ┬ Dr Kamal ┬ Dr Noura ┬ Room status       ┤</w:t>
        <w:br/>
        <w:t>│09:00 │ BOOKED    │  EGP 350 │ BLOCKED  │ R1 free / R2 used │</w:t>
        <w:br/>
        <w:t>│09:30 │ EGP 450   │ BOOKED   │ EGP 400  │ R1 free           │</w:t>
        <w:br/>
        <w:t>│10:00 │ HOLD 01:12│ EGP 350  │ BOOKED   │ R3 cleaning       │</w:t>
        <w:br/>
        <w:t>└──────┴───────────┴──────────┴──────────┴───────────────────┘</w:t>
      </w:r>
    </w:p>
    <w:p>
      <w:pPr>
        <w:widowControl/>
      </w:pPr>
      <w:r>
        <w:rPr>
          <w:rFonts w:ascii="IBM Plex Sans Arabic" w:hAnsi="IBM Plex Sans Arabic" w:cs="IBM Plex Sans Arabic" w:eastAsia="IBM Plex Sans Arabic"/>
          <w:color w:val="04191A"/>
          <w:sz w:val="20"/>
        </w:rPr>
        <w:t>Booking sequence: patient search/create → slot hold → service/fee → confirmation summary → commit → receipt/notification. The confirmation summary repeats patient, doctor, location, local date/time, fee/currency, cancellation terms, and contact method.</w:t>
      </w:r>
    </w:p>
    <w:p>
      <w:pPr>
        <w:pStyle w:val="Heading3"/>
        <w:widowControl/>
      </w:pPr>
      <w:r>
        <w:t>4.2.2 Live queue management board</w:t>
      </w:r>
    </w:p>
    <w:p>
      <w:pPr>
        <w:widowControl/>
      </w:pPr>
      <w:r>
        <w:rPr>
          <w:rFonts w:ascii="IBM Plex Sans Arabic" w:hAnsi="IBM Plex Sans Arabic" w:cs="IBM Plex Sans Arabic" w:eastAsia="IBM Plex Sans Arabic"/>
          <w:color w:val="04191A"/>
          <w:sz w:val="20"/>
        </w:rPr>
        <w:t>Columns are Waiting, In Consultation, Completed, Cancelled, and No-Show. Cards show patient disambiguator, arrival time, wait duration, doctor, room, accessibility/communication needs, and status text/icon. Never display sensitive clinical reason on a public-facing board. Reorder by accessible Move Earlier/Later/To Position actions; capture reason and actor. Concurrent changes produce a compact conflict banner and refresh only affected cards.</w:t>
      </w:r>
    </w:p>
    <w:p>
      <w:pPr>
        <w:pStyle w:val="Heading3"/>
        <w:widowControl/>
      </w:pPr>
      <w:r>
        <w:t>4.2.3 Pulse FAQ and conversational booking pane</w:t>
      </w:r>
    </w:p>
    <w:p>
      <w:pPr>
        <w:widowControl/>
      </w:pPr>
      <w:r>
        <w:rPr>
          <w:rFonts w:ascii="IBM Plex Sans Arabic" w:hAnsi="IBM Plex Sans Arabic" w:cs="IBM Plex Sans Arabic" w:eastAsia="IBM Plex Sans Arabic"/>
          <w:color w:val="04191A"/>
          <w:sz w:val="20"/>
        </w:rPr>
        <w:t>Pulse is a docked, resizable secondary pane, not the main queue surface. It may answer only from approved clinic content and query allow-listed availability/pricing tools. Each proposed booking remains a draft until staff or patient confirms the full summary and the server commits.</w:t>
      </w:r>
    </w:p>
    <w:p>
      <w:pPr>
        <w:widowControl/>
      </w:pPr>
      <w:r>
        <w:rPr>
          <w:rFonts w:ascii="IBM Plex Sans Arabic" w:hAnsi="IBM Plex Sans Arabic" w:cs="IBM Plex Sans Arabic" w:eastAsia="IBM Plex Sans Arabic"/>
          <w:color w:val="04191A"/>
          <w:sz w:val="20"/>
        </w:rPr>
        <w:t xml:space="preserve">The pane header shows “Pulse · Automated assistant,” knowledge-base freshness, and a persistent </w:t>
      </w:r>
      <w:r>
        <w:rPr>
          <w:rFonts w:ascii="IBM Plex Sans Arabic" w:hAnsi="IBM Plex Sans Arabic" w:cs="IBM Plex Sans Arabic" w:eastAsia="IBM Plex Sans Arabic"/>
          <w:b/>
          <w:color w:val="04191A"/>
          <w:sz w:val="20"/>
        </w:rPr>
        <w:t>Human takeover</w:t>
      </w:r>
      <w:r>
        <w:rPr>
          <w:rFonts w:ascii="IBM Plex Sans Arabic" w:hAnsi="IBM Plex Sans Arabic" w:cs="IBM Plex Sans Arabic" w:eastAsia="IBM Plex Sans Arabic"/>
          <w:color w:val="04191A"/>
          <w:sz w:val="20"/>
        </w:rPr>
        <w:t xml:space="preserve"> control. After takeover, Gold is removed, the transcript is preserved, and the header becomes “Handled by [staff name]” in Lapis/Teal. Pulse stops generating messages and tool proposals until an authorized resume action with disclosure.</w:t>
      </w:r>
    </w:p>
    <w:p>
      <w:pPr>
        <w:pStyle w:val="Heading2"/>
        <w:widowControl/>
      </w:pPr>
      <w:r>
        <w:t>4.3 Patient portal: responsive, mobile-first</w:t>
      </w:r>
    </w:p>
    <w:p>
      <w:pPr>
        <w:pStyle w:val="Heading3"/>
        <w:widowControl/>
      </w:pPr>
      <w:r>
        <w:t>4.3.1 Pulse-assisted appointment booking</w:t>
      </w:r>
    </w:p>
    <w:p>
      <w:pPr>
        <w:widowControl/>
      </w:pPr>
      <w:r>
        <w:rPr>
          <w:rFonts w:ascii="IBM Plex Sans Arabic" w:hAnsi="IBM Plex Sans Arabic" w:cs="IBM Plex Sans Arabic" w:eastAsia="IBM Plex Sans Arabic"/>
          <w:color w:val="04191A"/>
          <w:sz w:val="20"/>
        </w:rPr>
        <w:t>Collect constraints conversationally but keep progress visible: need/symptom wording, specialty or doctor preference, area/location, date/time, accessibility needs, and communication preference. Pulse must not interpret symptoms as diagnosis. Show live availability as selectable cards with doctor, specialty, location, date/time, fee, and earliest alternative. Pricing appears before confirmation and includes currency and known required fees; unknowns are labeled.</w:t>
      </w:r>
    </w:p>
    <w:p>
      <w:pPr>
        <w:pStyle w:val="NabdaCode"/>
        <w:shd w:fill="E3EEEC"/>
        <w:widowControl/>
        <w:pBdr>
          <w:left w:val="single" w:sz="10" w:space="8" w:color="0E7C74"/>
        </w:pBdr>
      </w:pPr>
      <w:r>
        <w:rPr>
          <w:rFonts w:ascii="IBM Plex Mono" w:hAnsi="IBM Plex Mono" w:cs="IBM Plex Mono" w:eastAsia="IBM Plex Mono"/>
          <w:color w:val="04191A"/>
          <w:sz w:val="16"/>
        </w:rPr>
        <w:t>┌ Nabda نبضة ──────────────────────────────┐</w:t>
        <w:br/>
        <w:t>│ Book an appointment          Step 2 of 4 │</w:t>
        <w:br/>
        <w:t>│ Pulse · Automated assistant              │</w:t>
        <w:br/>
        <w:t>│ “When would you prefer to visit?”        │</w:t>
        <w:br/>
        <w:t>│ [Today] [Tomorrow] [Choose date]          │</w:t>
        <w:br/>
        <w:t>│                                          │</w:t>
        <w:br/>
        <w:t>│ Dr. Yasmin · 16:15 · Maadi · EGP 450     │</w:t>
        <w:br/>
        <w:t>│ Earliest available                       │</w:t>
        <w:br/>
        <w:t>│ [Select this time]                       │</w:t>
        <w:br/>
        <w:t>│ Talk to clinic staff                     │</w:t>
        <w:br/>
        <w:t>└──────────────────────────────────────────┘</w:t>
      </w:r>
    </w:p>
    <w:p>
      <w:pPr>
        <w:pStyle w:val="Heading3"/>
        <w:widowControl/>
      </w:pPr>
      <w:r>
        <w:t>4.3.2 Prescriptions and instructions hub</w:t>
      </w:r>
    </w:p>
    <w:p>
      <w:pPr>
        <w:widowControl/>
      </w:pPr>
      <w:r>
        <w:rPr>
          <w:rFonts w:ascii="IBM Plex Sans Arabic" w:hAnsi="IBM Plex Sans Arabic" w:cs="IBM Plex Sans Arabic" w:eastAsia="IBM Plex Sans Arabic"/>
          <w:color w:val="04191A"/>
          <w:sz w:val="20"/>
        </w:rPr>
        <w:t>Only clinician-approved prescriptions appear. Cards show medication name, dose, route, frequency, duration, purpose/notes when approved for disclosure, prescribing clinician, approval date, and version status. A schedule view translates frequency into plain-language times only when the clinician-approved data supports it; otherwise it repeats the instruction without invention. Provide Arabic/English toggle per instruction, print/download where policy allows, call clinic, message clinic, and “I do not understand this instruction.” Never expose model confidence to patients as a substitute for approval; show “Approved by Dr…” provenance.</w:t>
      </w:r>
    </w:p>
    <w:p>
      <w:pPr>
        <w:pStyle w:val="Heading3"/>
        <w:widowControl/>
      </w:pPr>
      <w:r>
        <w:t>4.3.3 Emergency escalation banner</w:t>
      </w:r>
    </w:p>
    <w:p>
      <w:pPr>
        <w:widowControl/>
      </w:pPr>
      <w:r>
        <w:rPr>
          <w:rFonts w:ascii="IBM Plex Sans Arabic" w:hAnsi="IBM Plex Sans Arabic" w:cs="IBM Plex Sans Arabic" w:eastAsia="IBM Plex Sans Arabic"/>
          <w:color w:val="04191A"/>
          <w:sz w:val="20"/>
        </w:rPr>
        <w:t>When configured critical symptom terms are detected, Pulse stops ordinary triage, does not ask follow-up questions intended to classify severity, and displays a persistent high-visibility banner with icon, heading, concise action, local emergency number/service configured for deployment, and call/contact control. The banner must state that Nabda cannot provide emergency care. A secondary action contacts clinic staff only if it does not delay emergency services. The event is logged with minimal necessary data. Copy and routing require jurisdictional clinical/legal approval before deployment.</w:t>
      </w:r>
    </w:p>
    <w:p>
      <w:pPr>
        <w:pStyle w:val="Heading3"/>
        <w:widowControl/>
      </w:pPr>
      <w:r>
        <w:t>4.3.4 Patient accessibility and privacy</w:t>
      </w:r>
    </w:p>
    <w:p>
      <w:pPr>
        <w:widowControl/>
      </w:pPr>
      <w:r>
        <w:rPr>
          <w:rFonts w:ascii="IBM Plex Sans Arabic" w:hAnsi="IBM Plex Sans Arabic" w:cs="IBM Plex Sans Arabic" w:eastAsia="IBM Plex Sans Arabic"/>
          <w:color w:val="04191A"/>
          <w:sz w:val="20"/>
        </w:rPr>
        <w:t>Use 16 px minimum body, 44 px controls, plain language, explicit fees, visible back/exit, autofill-friendly forms, accessible authentication, and no forced cognitive puzzle. Mask personal data in shared-device notifications. Do not announce medication details in push-message previews. Preserve draft booking constraints locally only according to privacy policy.</w:t>
      </w:r>
    </w:p>
    <w:p>
      <w:pPr>
        <w:pStyle w:val="Heading2"/>
        <w:widowControl/>
      </w:pPr>
      <w:r>
        <w:t>4.4 Developer / Ops workspace: super admin and system health</w:t>
      </w:r>
    </w:p>
    <w:p>
      <w:pPr>
        <w:pStyle w:val="Heading3"/>
        <w:widowControl/>
      </w:pPr>
      <w:r>
        <w:t>4.4.1 Tenant and role configuration</w:t>
      </w:r>
    </w:p>
    <w:p>
      <w:pPr>
        <w:widowControl/>
      </w:pPr>
      <w:r>
        <w:rPr>
          <w:rFonts w:ascii="IBM Plex Sans Arabic" w:hAnsi="IBM Plex Sans Arabic" w:cs="IBM Plex Sans Arabic" w:eastAsia="IBM Plex Sans Arabic"/>
          <w:color w:val="04191A"/>
          <w:sz w:val="20"/>
        </w:rPr>
        <w:t>Tenant overview shows clinic ID, deployment region, enabled modules, data residency, retention policy, identity provider, provider configuration status, and last configuration change. Role editor uses a permission matrix grouped by resource and action: read, create, update, approve, export, configure, and audit. Dangerous combinations trigger explanation, not silent blocking. Clinical-record access remains clinic-scoped; developer role does not grant broad PHI access. API credentials are shown once, scoped, expiring where supported, rotatable, and never re-displayed in full.</w:t>
      </w:r>
    </w:p>
    <w:p>
      <w:pPr>
        <w:pStyle w:val="Heading3"/>
        <w:widowControl/>
      </w:pPr>
      <w:r>
        <w:t>4.4.2 Audit inspection</w:t>
      </w:r>
    </w:p>
    <w:p>
      <w:pPr>
        <w:widowControl/>
      </w:pPr>
      <w:r>
        <w:rPr>
          <w:rFonts w:ascii="IBM Plex Sans Arabic" w:hAnsi="IBM Plex Sans Arabic" w:cs="IBM Plex Sans Arabic" w:eastAsia="IBM Plex Sans Arabic"/>
          <w:color w:val="04191A"/>
          <w:sz w:val="20"/>
        </w:rPr>
        <w:t>Filters include actor, patient/encounter reference, clinic, event type, date, correlation ID, and outcome. Results expose immutable event time, actor, action, resource, source IP/device category where policy permits, reason, and linked versions. Sensitive payloads are summarized; secrets and raw PHI do not enter general logs. Export is privileged, purpose-bound, watermarked where appropriate, and itself audited.</w:t>
      </w:r>
    </w:p>
    <w:p>
      <w:pPr>
        <w:pStyle w:val="Heading3"/>
        <w:widowControl/>
      </w:pPr>
      <w:r>
        <w:t>4.4.3 Pulse AI and speech pipeline benchmarking</w:t>
      </w:r>
    </w:p>
    <w:p>
      <w:pPr>
        <w:widowControl/>
      </w:pPr>
      <w:r>
        <w:rPr>
          <w:rFonts w:ascii="IBM Plex Sans Arabic" w:hAnsi="IBM Plex Sans Arabic" w:cs="IBM Plex Sans Arabic" w:eastAsia="IBM Plex Sans Arabic"/>
          <w:color w:val="04191A"/>
          <w:sz w:val="20"/>
        </w:rPr>
        <w:t>Dashboards show transcription WER, medication/entity accuracy, speaker attribution, extraction validation failure, clinician correction rate, calibration, latency p50/p95, cost, queue depth, retry rate, and failure class. Segment by language, code-switching, noise, device, specialty, provider/model/prompt version, and clinic—subject to privacy thresholds.</w:t>
      </w:r>
    </w:p>
    <w:p>
      <w:pPr>
        <w:widowControl/>
      </w:pPr>
      <w:r>
        <w:rPr>
          <w:rFonts w:ascii="IBM Plex Sans Arabic" w:hAnsi="IBM Plex Sans Arabic" w:cs="IBM Plex Sans Arabic" w:eastAsia="IBM Plex Sans Arabic"/>
          <w:color w:val="04191A"/>
          <w:sz w:val="20"/>
        </w:rPr>
        <w:t>Prompt manager displays version, status, schema contract, author, reviewer, evaluation dataset, metrics, change note, deployment cohort, and rollback target. Publishing requires separation of duties. Adapter failover shows primary/secondary health, regional/privacy compatibility, in-flight job behavior, and an explicit confirm step. Failover never silently changes the clinical contract.</w:t>
      </w:r>
    </w:p>
    <w:p>
      <w:pPr>
        <w:pStyle w:val="Heading1"/>
        <w:widowControl/>
      </w:pPr>
      <w:r>
        <w:t>5. Detailed Feature Implementation &amp; Micro-Interaction Guide</w:t>
      </w:r>
    </w:p>
    <w:p>
      <w:pPr>
        <w:pStyle w:val="Heading2"/>
        <w:widowControl/>
      </w:pPr>
      <w:r>
        <w:t>5.1 Audio capture lifecycle state machine</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000"/>
        <w:gridCol w:w="1450"/>
        <w:gridCol w:w="1500"/>
        <w:gridCol w:w="2050"/>
        <w:gridCol w:w="2360"/>
      </w:tblGrid>
      <w:tr>
        <w:trPr>
          <w:tblHeader w:val="true"/>
          <w:cantSplit/>
        </w:trPr>
        <w:tc>
          <w:tcPr>
            <w:tcW w:type="dxa" w:w="20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Current State</w:t>
            </w:r>
          </w:p>
        </w:tc>
        <w:tc>
          <w:tcPr>
            <w:tcW w:type="dxa" w:w="1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Trigger / Guard</w:t>
            </w:r>
          </w:p>
        </w:tc>
        <w:tc>
          <w:tcPr>
            <w:tcW w:type="dxa" w:w="1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Next State</w:t>
            </w:r>
          </w:p>
        </w:tc>
        <w:tc>
          <w:tcPr>
            <w:tcW w:type="dxa" w:w="20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UI response</w:t>
            </w:r>
          </w:p>
        </w:tc>
        <w:tc>
          <w:tcPr>
            <w:tcW w:type="dxa" w:w="23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Failure and recovery</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Idle</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Open encounter</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Consent Granted or Idle</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Show patient identity and consent gate</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Missing consent keeps Record disabled</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Consent Granted</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Valid consent + device permission</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Announce recording; timer starts; persistent consent badge</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Device denial offers settings/help without losing encounter</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Pause</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Paused</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Freeze timer/waveform state; announce paused</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Local buffer retained within policy</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Paused</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Resume</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Resume same recording ID</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Device loss offers reconnect or safe stop</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Recording/Paused</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Stop</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Uploading (SignalR progress)</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Seal local chunks; show count/bytes and background status</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Failed chunks retry idempotently</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Uploading</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Server confirms all chunks/hash</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Transcribing</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Discard browser audio only after verified receipt; show job ID</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Reconnect deduplicates events by job ID/sequence</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Transcribing</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Transcript job succeeds</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Extraction Ready or Transcript Review</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Show speaker/confidence editor; announce completion</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Retryable failure preserves source and version</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Transcript Review</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Clinician locks snapshot and requests extraction</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Extraction Ready</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Pulse Gold processing label; no clinical claim</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Schema failure shows non-clinical error and retry route</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Extraction Ready</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Required fields reviewed and warnings resolved/acknowledged</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Clinician Approved</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Open signature drawer; create immutable version</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Reject returns editable draft; no partial signature</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Clinician Approved</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Save succeeds</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Complete</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Confirmation with version, signer, time, aggregate link</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Save failure remains unsigned and retry-safe</w:t>
            </w:r>
          </w:p>
        </w:tc>
      </w:tr>
    </w:tbl>
    <w:p>
      <w:pPr>
        <w:widowControl/>
        <w:spacing w:after="40"/>
      </w:pPr>
    </w:p>
    <w:p>
      <w:pPr>
        <w:widowControl/>
      </w:pPr>
      <w:r>
        <w:rPr>
          <w:rFonts w:ascii="IBM Plex Sans Arabic" w:hAnsi="IBM Plex Sans Arabic" w:cs="IBM Plex Sans Arabic" w:eastAsia="IBM Plex Sans Arabic"/>
          <w:color w:val="04191A"/>
          <w:sz w:val="20"/>
        </w:rPr>
        <w:t>Microcopy avoids blame: “Upload interrupted. Your recording is retained and no duplicate will be created.” Progress is determinate when chunk counts are known and indeterminate only when they are not. Screen readers receive throttled milestone announcements, not waveform updates.</w:t>
      </w:r>
    </w:p>
    <w:p>
      <w:pPr>
        <w:pStyle w:val="Heading2"/>
        <w:pageBreakBefore/>
        <w:widowControl/>
      </w:pPr>
      <w:r>
        <w:t>5.2 Pulse human handoff state machine</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000"/>
        <w:gridCol w:w="1450"/>
        <w:gridCol w:w="1500"/>
        <w:gridCol w:w="2050"/>
        <w:gridCol w:w="2360"/>
      </w:tblGrid>
      <w:tr>
        <w:trPr>
          <w:tblHeader w:val="true"/>
          <w:cantSplit/>
        </w:trPr>
        <w:tc>
          <w:tcPr>
            <w:tcW w:type="dxa" w:w="20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State</w:t>
            </w:r>
          </w:p>
        </w:tc>
        <w:tc>
          <w:tcPr>
            <w:tcW w:type="dxa" w:w="1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Entry condition</w:t>
            </w:r>
          </w:p>
        </w:tc>
        <w:tc>
          <w:tcPr>
            <w:tcW w:type="dxa" w:w="1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Visual identity</w:t>
            </w:r>
          </w:p>
        </w:tc>
        <w:tc>
          <w:tcPr>
            <w:tcW w:type="dxa" w:w="20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Allowed behavior</w:t>
            </w:r>
          </w:p>
        </w:tc>
        <w:tc>
          <w:tcPr>
            <w:tcW w:type="dxa" w:w="23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Exit</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Pulse active</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Disclosed automated conversation</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Gold avatar/label on neutral or Lapis container</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Approved retrieval and allow-listed proposals</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User/staff takeover, policy escalation, low confidence, emergency</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Handoff requested</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User or policy requests human</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Gold remains with “Connecting to staff” text</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Pulse may acknowledge once; no new substantive answer</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Staff accepts or timeout route</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Human active</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Named authorized staff accepts</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Gold removed; Lapis header and Teal actions; staff name/time</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Human messages and authorized tools</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Staff ends or explicitly returns to Pulse</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Pulse resumed</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User is told automation resumes and accepts</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Gold returns with new disclosure divider</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Approved Pulse behavior</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Same takeover controls remain</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Emergency stopped</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Critical pathway fires</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Error icon + Lapis institutional banner; no chat styling</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Emergency guidance only</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New conversation after explicit acknowledgment/policy</w:t>
            </w:r>
          </w:p>
        </w:tc>
      </w:tr>
    </w:tbl>
    <w:p>
      <w:pPr>
        <w:widowControl/>
        <w:spacing w:after="40"/>
      </w:pPr>
    </w:p>
    <w:p>
      <w:pPr>
        <w:widowControl/>
      </w:pPr>
      <w:r>
        <w:rPr>
          <w:rFonts w:ascii="IBM Plex Sans Arabic" w:hAnsi="IBM Plex Sans Arabic" w:cs="IBM Plex Sans Arabic" w:eastAsia="IBM Plex Sans Arabic"/>
          <w:color w:val="04191A"/>
          <w:sz w:val="20"/>
        </w:rPr>
        <w:t>The handoff divider is immutable in conversation history. The transcript shows who authored each message. Human takeover must be reachable by keyboard and visible without opening overflow menus.</w:t>
      </w:r>
    </w:p>
    <w:p>
      <w:pPr>
        <w:pStyle w:val="Heading2"/>
        <w:widowControl/>
      </w:pPr>
      <w:r>
        <w:t>5.3 Prescription approval state machine</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000"/>
        <w:gridCol w:w="1450"/>
        <w:gridCol w:w="1500"/>
        <w:gridCol w:w="2050"/>
        <w:gridCol w:w="2360"/>
      </w:tblGrid>
      <w:tr>
        <w:trPr>
          <w:tblHeader w:val="true"/>
          <w:cantSplit/>
        </w:trPr>
        <w:tc>
          <w:tcPr>
            <w:tcW w:type="dxa" w:w="20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State</w:t>
            </w:r>
          </w:p>
        </w:tc>
        <w:tc>
          <w:tcPr>
            <w:tcW w:type="dxa" w:w="1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Mutability</w:t>
            </w:r>
          </w:p>
        </w:tc>
        <w:tc>
          <w:tcPr>
            <w:tcW w:type="dxa" w:w="1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Clinical standing</w:t>
            </w:r>
          </w:p>
        </w:tc>
        <w:tc>
          <w:tcPr>
            <w:tcW w:type="dxa" w:w="20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Primary action</w:t>
            </w:r>
          </w:p>
        </w:tc>
        <w:tc>
          <w:tcPr>
            <w:tcW w:type="dxa" w:w="23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Audit/provenance</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Extracted raw draft</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Editable</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Not clinical truth</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Begin review</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Transcript snapshot, prompt/model/provider, time</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Clinician-edited draft</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Editable</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Not signed</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Resolve warnings</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Field-level before/after, actor, timestamps</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Ready to sign</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Frozen during confirmation</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Pending</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Review &amp; sign</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Validation version and checklist</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Signed immutable version</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Immutable</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Approved clinical record</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View/share per policy</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Signer, signature event, hash, prior-version link</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Superseding correction draft</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Editable new version</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Prior signed version remains historical</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Correct and sign new version</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Reason for correction and linkage</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Superseded version</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Immutable</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Historical, not current</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View history</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Superseding version and effective time</w:t>
            </w:r>
          </w:p>
        </w:tc>
      </w:tr>
    </w:tbl>
    <w:p>
      <w:pPr>
        <w:widowControl/>
        <w:spacing w:after="40"/>
      </w:pPr>
    </w:p>
    <w:p>
      <w:pPr>
        <w:widowControl/>
      </w:pPr>
      <w:r>
        <w:rPr>
          <w:rFonts w:ascii="IBM Plex Sans Arabic" w:hAnsi="IBM Plex Sans Arabic" w:cs="IBM Plex Sans Arabic" w:eastAsia="IBM Plex Sans Arabic"/>
          <w:color w:val="04191A"/>
          <w:sz w:val="20"/>
        </w:rPr>
        <w:t>Signing language: “I reviewed the patient, evidence, medication details, and instructions. Signing creates an immutable clinical version.” The button label is “Sign prescription,” never “Approve AI.”</w:t>
      </w:r>
    </w:p>
    <w:p>
      <w:pPr>
        <w:pStyle w:val="Heading2"/>
        <w:widowControl/>
      </w:pPr>
      <w:r>
        <w:t>5.4 Component behavior specifications</w:t>
      </w:r>
    </w:p>
    <w:p>
      <w:pPr>
        <w:pStyle w:val="Heading3"/>
        <w:widowControl/>
      </w:pPr>
      <w:r>
        <w:t>5.4.1 Confidence indicator</w:t>
      </w:r>
    </w:p>
    <w:p>
      <w:pPr>
        <w:widowControl/>
      </w:pPr>
      <w:r>
        <w:rPr>
          <w:rFonts w:ascii="IBM Plex Sans Arabic" w:hAnsi="IBM Plex Sans Arabic" w:cs="IBM Plex Sans Arabic" w:eastAsia="IBM Plex Sans Arabic"/>
          <w:color w:val="04191A"/>
          <w:sz w:val="20"/>
        </w:rPr>
        <w:t>Use bands only after clinical validation defines thresholds. Display “High / Review / Low,” a numeric value in details, the affected field, and the evidence link. Never hide a low-confidence item through sorting. Confidence does not reduce required review.</w:t>
      </w:r>
    </w:p>
    <w:p>
      <w:pPr>
        <w:pStyle w:val="Heading3"/>
        <w:widowControl/>
      </w:pPr>
      <w:r>
        <w:t>5.4.2 Toasts, banners, and dialogs</w:t>
      </w:r>
    </w:p>
    <w:p>
      <w:pPr>
        <w:widowControl/>
      </w:pPr>
      <w:r>
        <w:rPr>
          <w:rFonts w:ascii="IBM Plex Sans Arabic" w:hAnsi="IBM Plex Sans Arabic" w:cs="IBM Plex Sans Arabic" w:eastAsia="IBM Plex Sans Arabic"/>
          <w:color w:val="04191A"/>
          <w:sz w:val="20"/>
        </w:rPr>
        <w:t>Toasts confirm low-risk reversible actions and remain in an accessible notification region. Banners communicate persistent page-level state. Dialogs are reserved for destructive, irreversible, identity-sensitive, or signature actions. Error summaries focus on the first invalid field and retain entered data.</w:t>
      </w:r>
    </w:p>
    <w:p>
      <w:pPr>
        <w:pStyle w:val="Heading3"/>
        <w:widowControl/>
      </w:pPr>
      <w:r>
        <w:t>5.4.3 Loading and offline</w:t>
      </w:r>
    </w:p>
    <w:p>
      <w:pPr>
        <w:widowControl/>
      </w:pPr>
      <w:r>
        <w:rPr>
          <w:rFonts w:ascii="IBM Plex Sans Arabic" w:hAnsi="IBM Plex Sans Arabic" w:cs="IBM Plex Sans Arabic" w:eastAsia="IBM Plex Sans Arabic"/>
          <w:color w:val="04191A"/>
          <w:sz w:val="20"/>
        </w:rPr>
        <w:t>Skeletons match final geometry and do not mimic real clinical content. Show last-updated time for stale data. Offline mode is read-only unless a specifically validated offline workflow exists; never queue a clinical approval invisibly. On reconnect, reconcile server state before enabling actions.</w:t>
      </w:r>
    </w:p>
    <w:p>
      <w:pPr>
        <w:pStyle w:val="Heading3"/>
        <w:widowControl/>
      </w:pPr>
      <w:r>
        <w:t>5.4.4 Dates, time, currency, and identifiers</w:t>
      </w:r>
    </w:p>
    <w:p>
      <w:pPr>
        <w:widowControl/>
      </w:pPr>
      <w:r>
        <w:rPr>
          <w:rFonts w:ascii="IBM Plex Sans Arabic" w:hAnsi="IBM Plex Sans Arabic" w:cs="IBM Plex Sans Arabic" w:eastAsia="IBM Plex Sans Arabic"/>
          <w:color w:val="04191A"/>
          <w:sz w:val="20"/>
        </w:rPr>
        <w:t xml:space="preserve">Display local timezone and unambiguous date, e.g., “Mon 24 Aug 2026 · 09:30 (Cairo).” Use </w:t>
      </w:r>
      <w:r>
        <w:rPr>
          <w:rFonts w:ascii="IBM Plex Mono" w:hAnsi="IBM Plex Mono" w:cs="IBM Plex Mono" w:eastAsia="IBM Plex Mono"/>
          <w:color w:val="063A38"/>
          <w:sz w:val="18"/>
        </w:rPr>
        <w:t>EGP 450</w:t>
      </w:r>
      <w:r>
        <w:rPr>
          <w:rFonts w:ascii="IBM Plex Sans Arabic" w:hAnsi="IBM Plex Sans Arabic" w:cs="IBM Plex Sans Arabic" w:eastAsia="IBM Plex Sans Arabic"/>
          <w:color w:val="04191A"/>
          <w:sz w:val="20"/>
        </w:rPr>
        <w:t xml:space="preserve"> with currency label. Keep codes, IDs, dose strings, and timestamps LTR inside RTL pages. Store canonical values separately from localized display.</w:t>
      </w:r>
    </w:p>
    <w:p>
      <w:pPr>
        <w:pStyle w:val="Heading2"/>
        <w:widowControl/>
      </w:pPr>
      <w:r>
        <w:t>5.5 Accessibility acceptance criteria</w:t>
      </w:r>
    </w:p>
    <w:p>
      <w:pPr>
        <w:widowControl/>
        <w:numPr>
          <w:ilvl w:val="0"/>
          <w:numId w:val="10"/>
        </w:numPr>
      </w:pPr>
      <w:r>
        <w:rPr>
          <w:rFonts w:ascii="IBM Plex Sans Arabic" w:hAnsi="IBM Plex Sans Arabic" w:cs="IBM Plex Sans Arabic" w:eastAsia="IBM Plex Sans Arabic"/>
          <w:color w:val="04191A"/>
          <w:sz w:val="20"/>
        </w:rPr>
        <w:t>Conform to WCAG 2.1 AA as requested; target WCAG 2.2 AA and apply relevant AAA criteria such as 44 × 44 target size where feasible.</w:t>
      </w:r>
    </w:p>
    <w:p>
      <w:pPr>
        <w:widowControl/>
        <w:numPr>
          <w:ilvl w:val="0"/>
          <w:numId w:val="10"/>
        </w:numPr>
      </w:pPr>
      <w:r>
        <w:rPr>
          <w:rFonts w:ascii="IBM Plex Sans Arabic" w:hAnsi="IBM Plex Sans Arabic" w:cs="IBM Plex Sans Arabic" w:eastAsia="IBM Plex Sans Arabic"/>
          <w:color w:val="04191A"/>
          <w:sz w:val="20"/>
        </w:rPr>
        <w:t>Complete every critical flow with keyboard alone; visible focus is never clipped or obscured.</w:t>
      </w:r>
    </w:p>
    <w:p>
      <w:pPr>
        <w:widowControl/>
        <w:numPr>
          <w:ilvl w:val="0"/>
          <w:numId w:val="10"/>
        </w:numPr>
      </w:pPr>
      <w:r>
        <w:rPr>
          <w:rFonts w:ascii="IBM Plex Sans Arabic" w:hAnsi="IBM Plex Sans Arabic" w:cs="IBM Plex Sans Arabic" w:eastAsia="IBM Plex Sans Arabic"/>
          <w:color w:val="04191A"/>
          <w:sz w:val="20"/>
        </w:rPr>
        <w:t>Semantic headings form a logical hierarchy; landmarks and page titles identify workspace and patient context.</w:t>
      </w:r>
    </w:p>
    <w:p>
      <w:pPr>
        <w:widowControl/>
        <w:numPr>
          <w:ilvl w:val="0"/>
          <w:numId w:val="10"/>
        </w:numPr>
      </w:pPr>
      <w:r>
        <w:rPr>
          <w:rFonts w:ascii="IBM Plex Sans Arabic" w:hAnsi="IBM Plex Sans Arabic" w:cs="IBM Plex Sans Arabic" w:eastAsia="IBM Plex Sans Arabic"/>
          <w:color w:val="04191A"/>
          <w:sz w:val="20"/>
        </w:rPr>
        <w:t>Inputs have programmatic labels, instructions, error association, and valid autocomplete tokens.</w:t>
      </w:r>
    </w:p>
    <w:p>
      <w:pPr>
        <w:widowControl/>
        <w:numPr>
          <w:ilvl w:val="0"/>
          <w:numId w:val="10"/>
        </w:numPr>
      </w:pPr>
      <w:r>
        <w:rPr>
          <w:rFonts w:ascii="IBM Plex Sans Arabic" w:hAnsi="IBM Plex Sans Arabic" w:cs="IBM Plex Sans Arabic" w:eastAsia="IBM Plex Sans Arabic"/>
          <w:color w:val="04191A"/>
          <w:sz w:val="20"/>
        </w:rPr>
        <w:t>Status, confidence, speaker, and queue state are not conveyed through color alone.</w:t>
      </w:r>
    </w:p>
    <w:p>
      <w:pPr>
        <w:widowControl/>
        <w:numPr>
          <w:ilvl w:val="0"/>
          <w:numId w:val="10"/>
        </w:numPr>
      </w:pPr>
      <w:r>
        <w:rPr>
          <w:rFonts w:ascii="IBM Plex Sans Arabic" w:hAnsi="IBM Plex Sans Arabic" w:cs="IBM Plex Sans Arabic" w:eastAsia="IBM Plex Sans Arabic"/>
          <w:color w:val="04191A"/>
          <w:sz w:val="20"/>
        </w:rPr>
        <w:t>Support reflow/zoom, screen reader announcements, reduced motion, contrast modes, and device orientation.</w:t>
      </w:r>
    </w:p>
    <w:p>
      <w:pPr>
        <w:widowControl/>
        <w:numPr>
          <w:ilvl w:val="0"/>
          <w:numId w:val="10"/>
        </w:numPr>
      </w:pPr>
      <w:r>
        <w:rPr>
          <w:rFonts w:ascii="IBM Plex Sans Arabic" w:hAnsi="IBM Plex Sans Arabic" w:cs="IBM Plex Sans Arabic" w:eastAsia="IBM Plex Sans Arabic"/>
          <w:color w:val="04191A"/>
          <w:sz w:val="20"/>
        </w:rPr>
        <w:t>Audio has transcript access; waveform is decorative. Live progress announcements are throttled.</w:t>
      </w:r>
    </w:p>
    <w:p>
      <w:pPr>
        <w:widowControl/>
        <w:numPr>
          <w:ilvl w:val="0"/>
          <w:numId w:val="10"/>
        </w:numPr>
      </w:pPr>
      <w:r>
        <w:rPr>
          <w:rFonts w:ascii="IBM Plex Sans Arabic" w:hAnsi="IBM Plex Sans Arabic" w:cs="IBM Plex Sans Arabic" w:eastAsia="IBM Plex Sans Arabic"/>
          <w:color w:val="04191A"/>
          <w:sz w:val="20"/>
        </w:rPr>
        <w:t>Arabic language spans are marked and shaped correctly; mixed-direction data is isolated.</w:t>
      </w:r>
    </w:p>
    <w:p>
      <w:pPr>
        <w:pStyle w:val="Heading2"/>
        <w:widowControl/>
      </w:pPr>
      <w:r>
        <w:t>5.6 Security and privacy UX</w:t>
      </w:r>
    </w:p>
    <w:p>
      <w:pPr>
        <w:widowControl/>
      </w:pPr>
      <w:r>
        <w:rPr>
          <w:rFonts w:ascii="IBM Plex Sans Arabic" w:hAnsi="IBM Plex Sans Arabic" w:cs="IBM Plex Sans Arabic" w:eastAsia="IBM Plex Sans Arabic"/>
          <w:color w:val="04191A"/>
          <w:sz w:val="20"/>
        </w:rPr>
        <w:t>Show session expiry warnings with safe renewal. Mask secrets and unnecessary PHI. Require re-authentication for credential reveal/rotation, privileged configuration, export, and signing where policy requires. Make authorization denial specific enough to recover but not to disclose resource existence across tenants. Confirm destructive actions using object name and consequence. Do not use dark patterns to obtain consent.</w:t>
      </w:r>
    </w:p>
    <w:p>
      <w:pPr>
        <w:pStyle w:val="Heading1"/>
        <w:widowControl/>
      </w:pPr>
      <w:r>
        <w:t>6. Scope Matrix &amp; Implementation Roadmap</w:t>
      </w:r>
    </w:p>
    <w:p>
      <w:pPr>
        <w:pStyle w:val="Heading2"/>
        <w:widowControl/>
      </w:pPr>
      <w:r>
        <w:t>6.1 MVP versus deferred scope</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200"/>
        <w:gridCol w:w="3500"/>
        <w:gridCol w:w="3660"/>
      </w:tblGrid>
      <w:tr>
        <w:trPr>
          <w:tblHeader w:val="true"/>
          <w:cantSplit/>
        </w:trPr>
        <w:tc>
          <w:tcPr>
            <w:tcW w:type="dxa" w:w="22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Capability</w:t>
            </w:r>
          </w:p>
        </w:tc>
        <w:tc>
          <w:tcPr>
            <w:tcW w:type="dxa" w:w="3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MVP v1 Shipped Scope</w:t>
            </w:r>
          </w:p>
        </w:tc>
        <w:tc>
          <w:tcPr>
            <w:tcW w:type="dxa" w:w="36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Deferred Roadmap Scope</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Patient aggregate</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Clinic-scoped patient identity, search, appointments, encounters, transcripts, prescriptions, billing-lite, audit links</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Cross-organization identity reconciliation and advanced longitudinal exchange</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Scheduling</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Live availability, holds, commit confirmation, changes, queue, room resource basics</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Complex recurring schedules, waitlist optimization, insurance authorization</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Billing</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Visible consultation price and minimal billing records</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Full revenue cycle, claims, insurance eligibility, payer integrations</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Audio/STT</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Consent gate, MediaRecorder, encrypted upload, one adapter, retry, Egyptian Arabic/English benchmark</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Custom on-prem STT fine-tuning, broad dialect packs, offline native capture</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Pulse extraction</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One LLM adapter, strict JSON, provenance, uncertainty, clinician review/signature</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Autonomous clinical recommendations or diagnosis (explicitly out of scope unless separately regulated and approved)</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Pulse booking/FAQ</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Approved retrieval, allow-listed tools, explicit confirmation, handoff, emergency stop</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Open-domain health advice or autonomous triage</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Workspaces</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Doctor, Receptionist, Patient responsive web, Developer/Ops</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Native mobile apps and specialized enterprise consoles</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Tenancy</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Current clinic scoping and RBAC</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Full multi-clinic enterprise tenancy and delegated organization administration</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Analytics</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Operational/pipeline metrics and audit</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Predictive population analytics and advanced financial analytics</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Integrations</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Versioned REST/SignalR and provider adapters</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Broad EHR, payer, lab, pharmacy, and national exchange ecosystem</w:t>
            </w:r>
          </w:p>
        </w:tc>
      </w:tr>
    </w:tbl>
    <w:p>
      <w:pPr>
        <w:widowControl/>
        <w:spacing w:after="40"/>
      </w:pPr>
    </w:p>
    <w:p>
      <w:pPr>
        <w:pStyle w:val="Heading2"/>
        <w:widowControl/>
      </w:pPr>
      <w:r>
        <w:t>6.2 Delivery sequence</w:t>
      </w:r>
    </w:p>
    <w:p>
      <w:pPr>
        <w:pStyle w:val="Heading3"/>
        <w:widowControl/>
      </w:pPr>
      <w:r>
        <w:t>Phase 0 — Safety and foundation</w:t>
      </w:r>
    </w:p>
    <w:p>
      <w:pPr>
        <w:widowControl/>
      </w:pPr>
      <w:r>
        <w:rPr>
          <w:rFonts w:ascii="IBM Plex Sans Arabic" w:hAnsi="IBM Plex Sans Arabic" w:cs="IBM Plex Sans Arabic" w:eastAsia="IBM Plex Sans Arabic"/>
          <w:color w:val="04191A"/>
          <w:sz w:val="20"/>
        </w:rPr>
        <w:t>Approve jurisdiction, clinic model, identity provider, data boundary, consent text, emergency routing, and clinical safety owner. Implement tokens, bilingual primitives, RBAC, audit, patient identity, and test harnesses.</w:t>
      </w:r>
    </w:p>
    <w:p>
      <w:pPr>
        <w:pStyle w:val="Heading3"/>
        <w:widowControl/>
      </w:pPr>
      <w:r>
        <w:t>Phase 1 — Scheduling and queue vertical slice</w:t>
      </w:r>
    </w:p>
    <w:p>
      <w:pPr>
        <w:widowControl/>
      </w:pPr>
      <w:r>
        <w:rPr>
          <w:rFonts w:ascii="IBM Plex Sans Arabic" w:hAnsi="IBM Plex Sans Arabic" w:cs="IBM Plex Sans Arabic" w:eastAsia="IBM Plex Sans Arabic"/>
          <w:color w:val="04191A"/>
          <w:sz w:val="20"/>
        </w:rPr>
        <w:t>Ship patient search, availability, holds, booking commit, price confirmation, queue states, conflict recovery, notifications, and receptionist keyboard flow.</w:t>
      </w:r>
    </w:p>
    <w:p>
      <w:pPr>
        <w:pStyle w:val="Heading3"/>
        <w:widowControl/>
      </w:pPr>
      <w:r>
        <w:t>Phase 2 — Encounter capture and transcript</w:t>
      </w:r>
    </w:p>
    <w:p>
      <w:pPr>
        <w:widowControl/>
      </w:pPr>
      <w:r>
        <w:rPr>
          <w:rFonts w:ascii="IBM Plex Sans Arabic" w:hAnsi="IBM Plex Sans Arabic" w:cs="IBM Plex Sans Arabic" w:eastAsia="IBM Plex Sans Arabic"/>
          <w:color w:val="04191A"/>
          <w:sz w:val="20"/>
        </w:rPr>
        <w:t>Ship consent, AudioCapture, encrypted chunk upload, SignalR progress, resilient jobs, one STT adapter, transcript versions, speaker editing, and benchmark dashboard.</w:t>
      </w:r>
    </w:p>
    <w:p>
      <w:pPr>
        <w:pStyle w:val="Heading3"/>
        <w:widowControl/>
      </w:pPr>
      <w:r>
        <w:t>Phase 3 — Extraction and approval</w:t>
      </w:r>
    </w:p>
    <w:p>
      <w:pPr>
        <w:widowControl/>
      </w:pPr>
      <w:r>
        <w:rPr>
          <w:rFonts w:ascii="IBM Plex Sans Arabic" w:hAnsi="IBM Plex Sans Arabic" w:cs="IBM Plex Sans Arabic" w:eastAsia="IBM Plex Sans Arabic"/>
          <w:color w:val="04191A"/>
          <w:sz w:val="20"/>
        </w:rPr>
        <w:t>Ship prompt/version management, exact-schema parsing, raw/normalized comparison, validation, uncertainty, interaction-source status, signature, immutable versions, and audit history.</w:t>
      </w:r>
    </w:p>
    <w:p>
      <w:pPr>
        <w:pStyle w:val="Heading3"/>
        <w:widowControl/>
      </w:pPr>
      <w:r>
        <w:t>Phase 4 — Pulse conversation and patient portal</w:t>
      </w:r>
    </w:p>
    <w:p>
      <w:pPr>
        <w:widowControl/>
      </w:pPr>
      <w:r>
        <w:rPr>
          <w:rFonts w:ascii="IBM Plex Sans Arabic" w:hAnsi="IBM Plex Sans Arabic" w:cs="IBM Plex Sans Arabic" w:eastAsia="IBM Plex Sans Arabic"/>
          <w:color w:val="04191A"/>
          <w:sz w:val="20"/>
        </w:rPr>
        <w:t>Ship approved FAQ retrieval, appointment constraint collection, human handoff, emergency stop, patient booking, and approved prescription instructions.</w:t>
      </w:r>
    </w:p>
    <w:p>
      <w:pPr>
        <w:pStyle w:val="Heading3"/>
        <w:widowControl/>
      </w:pPr>
      <w:r>
        <w:t>Phase 5 — Pilot and release gate</w:t>
      </w:r>
    </w:p>
    <w:p>
      <w:pPr>
        <w:widowControl/>
      </w:pPr>
      <w:r>
        <w:rPr>
          <w:rFonts w:ascii="IBM Plex Sans Arabic" w:hAnsi="IBM Plex Sans Arabic" w:cs="IBM Plex Sans Arabic" w:eastAsia="IBM Plex Sans Arabic"/>
          <w:color w:val="04191A"/>
          <w:sz w:val="20"/>
        </w:rPr>
        <w:t>Conduct field usability, accessibility, clinical safety, dialect/noise, security, recovery, and load testing. Resolve critical/high findings. Establish model/prompt rollback and production monitoring before wider release.</w:t>
      </w:r>
    </w:p>
    <w:p>
      <w:pPr>
        <w:pStyle w:val="Heading2"/>
        <w:widowControl/>
      </w:pPr>
      <w:r>
        <w:t>6.3 Definition of done</w:t>
      </w:r>
    </w:p>
    <w:p>
      <w:pPr>
        <w:widowControl/>
      </w:pPr>
      <w:r>
        <w:rPr>
          <w:rFonts w:ascii="IBM Plex Sans Arabic" w:hAnsi="IBM Plex Sans Arabic" w:cs="IBM Plex Sans Arabic" w:eastAsia="IBM Plex Sans Arabic"/>
          <w:color w:val="04191A"/>
          <w:sz w:val="20"/>
        </w:rPr>
        <w:t>A feature is done only when it has: approved user story and hazard controls; Arabic and English content; responsive/RTL/LTR states; loading/empty/error/offline/permission states; keyboard and screen reader behavior; analytics and audit events; authorization tests; design review; clinical review where relevant; and E2E tests for success, failure, retry, duplicate, and concurrency.</w:t>
      </w:r>
    </w:p>
    <w:p>
      <w:pPr>
        <w:pStyle w:val="Heading1"/>
        <w:widowControl/>
      </w:pPr>
      <w:r>
        <w:t>7. Microsoft Word (.docx) Export Optimization Guidelines</w:t>
      </w:r>
    </w:p>
    <w:p>
      <w:pPr>
        <w:pStyle w:val="Heading2"/>
        <w:widowControl/>
      </w:pPr>
      <w:r>
        <w:t>7.1 Semantic style mapping</w:t>
      </w:r>
    </w:p>
    <w:p>
      <w:pPr>
        <w:widowControl/>
      </w:pPr>
      <w:r>
        <w:rPr>
          <w:rFonts w:ascii="IBM Plex Sans Arabic" w:hAnsi="IBM Plex Sans Arabic" w:cs="IBM Plex Sans Arabic" w:eastAsia="IBM Plex Sans Arabic"/>
          <w:color w:val="04191A"/>
          <w:sz w:val="20"/>
        </w:rPr>
        <w:t>Map document title to a dedicated Title style; sections 1–8 to Heading 1; numbered subsections to Heading 2; component/flow specifications to Heading 3; and local rules to Heading 4. Body uses Normal. Keep heading levels sequential and enable “Keep with next” without forcing whole sections to one page. Generate the table of contents from heading styles and update fields in Word before release.</w:t>
      </w:r>
    </w:p>
    <w:p>
      <w:pPr>
        <w:pStyle w:val="Heading2"/>
        <w:widowControl/>
      </w:pPr>
      <w:r>
        <w:t>7.2 Tables</w:t>
      </w:r>
    </w:p>
    <w:p>
      <w:pPr>
        <w:widowControl/>
      </w:pPr>
      <w:r>
        <w:rPr>
          <w:rFonts w:ascii="IBM Plex Sans Arabic" w:hAnsi="IBM Plex Sans Arabic" w:cs="IBM Plex Sans Arabic" w:eastAsia="IBM Plex Sans Arabic"/>
          <w:color w:val="04191A"/>
          <w:sz w:val="20"/>
        </w:rPr>
        <w:t>Use true Word tables with a repeating header row, fixed total width within page margins, cell padding, and no fixed row height. Keep status/value columns compact and description columns wide. Split overly wide matrices into related tables or use a landscape section; never reduce clinical text below a readable size. Repeat context in continued tables.</w:t>
      </w:r>
    </w:p>
    <w:p>
      <w:pPr>
        <w:pStyle w:val="Heading2"/>
        <w:widowControl/>
      </w:pPr>
      <w:r>
        <w:t>7.3 Code, ASCII layouts, and callouts</w:t>
      </w:r>
    </w:p>
    <w:p>
      <w:pPr>
        <w:widowControl/>
      </w:pPr>
      <w:r>
        <w:rPr>
          <w:rFonts w:ascii="IBM Plex Sans Arabic" w:hAnsi="IBM Plex Sans Arabic" w:cs="IBM Plex Sans Arabic" w:eastAsia="IBM Plex Sans Arabic"/>
          <w:color w:val="04191A"/>
          <w:sz w:val="20"/>
        </w:rPr>
        <w:t>Use a monospaced paragraph style with 8.5–9.5 pt type, light Slate/Lapis tint shading, preserved spaces, and no smart-quote replacement. ASCII layouts must fit within 6.5 inches or use landscape. Callouts use a single shaded paragraph or restrained left/start border; do not use floating text boxes that shift during conversion. Safety callouts require a label such as “Clinical safety,” not color alone.</w:t>
      </w:r>
    </w:p>
    <w:p>
      <w:pPr>
        <w:pStyle w:val="Heading2"/>
        <w:widowControl/>
      </w:pPr>
      <w:r>
        <w:t>7.4 Bilingual and font verification</w:t>
      </w:r>
    </w:p>
    <w:p>
      <w:pPr>
        <w:widowControl/>
      </w:pPr>
      <w:r>
        <w:rPr>
          <w:rFonts w:ascii="IBM Plex Sans Arabic" w:hAnsi="IBM Plex Sans Arabic" w:cs="IBM Plex Sans Arabic" w:eastAsia="IBM Plex Sans Arabic"/>
          <w:color w:val="04191A"/>
          <w:sz w:val="20"/>
        </w:rPr>
        <w:t>Install the fixed/static Readex Pro, IBM Plex Sans Arabic, and IBM Plex Mono desktop fonts for Office; do not use the Readex Pro variable file in Word or PowerPoint. Set the complex-script font explicitly in styles. Verify Arabic shaping, diacritics, punctuation, and mixed-direction numbers in Word and in the PDF renderer. If fonts are embedded, confirm the SIL Open Font License permissions and the actual embedded subset. Keep the supplied license files with distributed source packages.</w:t>
      </w:r>
    </w:p>
    <w:p>
      <w:pPr>
        <w:pStyle w:val="Heading2"/>
        <w:widowControl/>
      </w:pPr>
      <w:r>
        <w:t>7.5 Release checklist for DOCX/PDF</w:t>
      </w:r>
    </w:p>
    <w:p>
      <w:pPr>
        <w:widowControl/>
        <w:numPr>
          <w:ilvl w:val="0"/>
          <w:numId w:val="16"/>
        </w:numPr>
      </w:pPr>
      <w:r>
        <w:rPr>
          <w:rFonts w:ascii="IBM Plex Sans Arabic" w:hAnsi="IBM Plex Sans Arabic" w:cs="IBM Plex Sans Arabic" w:eastAsia="IBM Plex Sans Arabic"/>
          <w:color w:val="04191A"/>
          <w:sz w:val="20"/>
        </w:rPr>
        <w:t>Update table of contents, page numbers, cross-references, and fields.</w:t>
      </w:r>
    </w:p>
    <w:p>
      <w:pPr>
        <w:widowControl/>
        <w:numPr>
          <w:ilvl w:val="0"/>
          <w:numId w:val="16"/>
        </w:numPr>
      </w:pPr>
      <w:r>
        <w:rPr>
          <w:rFonts w:ascii="IBM Plex Sans Arabic" w:hAnsi="IBM Plex Sans Arabic" w:cs="IBM Plex Sans Arabic" w:eastAsia="IBM Plex Sans Arabic"/>
          <w:color w:val="04191A"/>
          <w:sz w:val="20"/>
        </w:rPr>
        <w:t>Run spelling/terminology review in both languages.</w:t>
      </w:r>
    </w:p>
    <w:p>
      <w:pPr>
        <w:widowControl/>
        <w:numPr>
          <w:ilvl w:val="0"/>
          <w:numId w:val="16"/>
        </w:numPr>
      </w:pPr>
      <w:r>
        <w:rPr>
          <w:rFonts w:ascii="IBM Plex Sans Arabic" w:hAnsi="IBM Plex Sans Arabic" w:cs="IBM Plex Sans Arabic" w:eastAsia="IBM Plex Sans Arabic"/>
          <w:color w:val="04191A"/>
          <w:sz w:val="20"/>
        </w:rPr>
        <w:t>Inspect headings, orphaned captions, table splits, code wrapping, and blank pages.</w:t>
      </w:r>
    </w:p>
    <w:p>
      <w:pPr>
        <w:widowControl/>
        <w:numPr>
          <w:ilvl w:val="0"/>
          <w:numId w:val="16"/>
        </w:numPr>
      </w:pPr>
      <w:r>
        <w:rPr>
          <w:rFonts w:ascii="IBM Plex Sans Arabic" w:hAnsi="IBM Plex Sans Arabic" w:cs="IBM Plex Sans Arabic" w:eastAsia="IBM Plex Sans Arabic"/>
          <w:color w:val="04191A"/>
          <w:sz w:val="20"/>
        </w:rPr>
        <w:t>Test Arabic shaping and LTR isolation for IDs, doses, prices, and timestamps.</w:t>
      </w:r>
    </w:p>
    <w:p>
      <w:pPr>
        <w:widowControl/>
        <w:numPr>
          <w:ilvl w:val="0"/>
          <w:numId w:val="16"/>
        </w:numPr>
      </w:pPr>
      <w:r>
        <w:rPr>
          <w:rFonts w:ascii="IBM Plex Sans Arabic" w:hAnsi="IBM Plex Sans Arabic" w:cs="IBM Plex Sans Arabic" w:eastAsia="IBM Plex Sans Arabic"/>
          <w:color w:val="04191A"/>
          <w:sz w:val="20"/>
        </w:rPr>
        <w:t>Run accessibility checker: heading order, table headers, alt text, link purpose, reading order, and language metadata.</w:t>
      </w:r>
    </w:p>
    <w:p>
      <w:pPr>
        <w:widowControl/>
        <w:numPr>
          <w:ilvl w:val="0"/>
          <w:numId w:val="16"/>
        </w:numPr>
      </w:pPr>
      <w:r>
        <w:rPr>
          <w:rFonts w:ascii="IBM Plex Sans Arabic" w:hAnsi="IBM Plex Sans Arabic" w:cs="IBM Plex Sans Arabic" w:eastAsia="IBM Plex Sans Arabic"/>
          <w:color w:val="04191A"/>
          <w:sz w:val="20"/>
        </w:rPr>
        <w:t>Export PDF using a supported renderer with fonts available; inspect every page at 100%.</w:t>
      </w:r>
    </w:p>
    <w:p>
      <w:pPr>
        <w:widowControl/>
        <w:numPr>
          <w:ilvl w:val="0"/>
          <w:numId w:val="16"/>
        </w:numPr>
      </w:pPr>
      <w:r>
        <w:rPr>
          <w:rFonts w:ascii="IBM Plex Sans Arabic" w:hAnsi="IBM Plex Sans Arabic" w:cs="IBM Plex Sans Arabic" w:eastAsia="IBM Plex Sans Arabic"/>
          <w:color w:val="04191A"/>
          <w:sz w:val="20"/>
        </w:rPr>
        <w:t>Remove comments, tracked changes, hidden content, personal metadata, and temporary file paths.</w:t>
      </w:r>
    </w:p>
    <w:p>
      <w:pPr>
        <w:widowControl/>
        <w:numPr>
          <w:ilvl w:val="0"/>
          <w:numId w:val="16"/>
        </w:numPr>
      </w:pPr>
      <w:r>
        <w:rPr>
          <w:rFonts w:ascii="IBM Plex Sans Arabic" w:hAnsi="IBM Plex Sans Arabic" w:cs="IBM Plex Sans Arabic" w:eastAsia="IBM Plex Sans Arabic"/>
          <w:color w:val="04191A"/>
          <w:sz w:val="20"/>
        </w:rPr>
        <w:t>Retain DOCX as editable source and record version, owner, approval date, and change log.</w:t>
      </w:r>
    </w:p>
    <w:p>
      <w:pPr>
        <w:pStyle w:val="Heading1"/>
        <w:widowControl/>
      </w:pPr>
      <w:r>
        <w:t>8. Appendices</w:t>
      </w:r>
    </w:p>
    <w:p>
      <w:pPr>
        <w:pStyle w:val="Heading2"/>
        <w:widowControl/>
      </w:pPr>
      <w:r>
        <w:t>8.1 Screen-state inventory</w:t>
      </w:r>
    </w:p>
    <w:p>
      <w:pPr>
        <w:widowControl/>
      </w:pPr>
      <w:r>
        <w:rPr>
          <w:rFonts w:ascii="IBM Plex Sans Arabic" w:hAnsi="IBM Plex Sans Arabic" w:cs="IBM Plex Sans Arabic" w:eastAsia="IBM Plex Sans Arabic"/>
          <w:color w:val="04191A"/>
          <w:sz w:val="20"/>
        </w:rPr>
        <w:t>Every primary screen must design and test: initial/loading, populated, empty, filtered-empty, validation error, authorization denied, stale data, network interruption, retrying, partial success, concurrent conflict, offline/read-only, service unavailable, and success. Clinical screens additionally require wrong-patient prevention, consent invalid/revoked, unsigned draft, signed immutable, superseded, and audit unavailable states.</w:t>
      </w:r>
    </w:p>
    <w:p>
      <w:pPr>
        <w:pStyle w:val="Heading2"/>
        <w:widowControl/>
      </w:pPr>
      <w:r>
        <w:t>8.2 Event and analytics taxonomy</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200"/>
        <w:gridCol w:w="3500"/>
        <w:gridCol w:w="3660"/>
      </w:tblGrid>
      <w:tr>
        <w:trPr>
          <w:tblHeader w:val="true"/>
          <w:cantSplit/>
        </w:trPr>
        <w:tc>
          <w:tcPr>
            <w:tcW w:type="dxa" w:w="22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Event family</w:t>
            </w:r>
          </w:p>
        </w:tc>
        <w:tc>
          <w:tcPr>
            <w:tcW w:type="dxa" w:w="3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Examples</w:t>
            </w:r>
          </w:p>
        </w:tc>
        <w:tc>
          <w:tcPr>
            <w:tcW w:type="dxa" w:w="36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Privacy constraint</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Navigation</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workspace_opened, patient_context_confirmed</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Use opaque IDs; no names in analytics</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Scheduling</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slot_held, conflict_seen, booking_committed, booking_failed</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Fee/currency allowed; symptom text excluded</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Capture</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consent_granted, recording_started, chunk_retry, upload_verified</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 raw audio or transcript in analytics</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Transcript</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low_confidence_opened, speaker_corrected, transcript_version_saved</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Aggregate counts; clinical text excluded</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Extraction</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extraction_ready, validation_failed, field_corrected, signed</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Field category and deltas, not values</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Handoff</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handoff_requested, staff_accepted, pulse_resumed, emergency_stopped</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Minimal reason category; no conversation body</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Ops</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prompt_published, adapter_failed_over, credential_rotated</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Actor, version, correlation; never secret values</w:t>
            </w:r>
          </w:p>
        </w:tc>
      </w:tr>
    </w:tbl>
    <w:p>
      <w:pPr>
        <w:widowControl/>
        <w:spacing w:after="40"/>
      </w:pPr>
    </w:p>
    <w:p>
      <w:pPr>
        <w:widowControl/>
      </w:pPr>
      <w:r>
        <w:rPr>
          <w:rFonts w:ascii="IBM Plex Sans Arabic" w:hAnsi="IBM Plex Sans Arabic" w:cs="IBM Plex Sans Arabic" w:eastAsia="IBM Plex Sans Arabic"/>
          <w:color w:val="04191A"/>
          <w:sz w:val="20"/>
        </w:rPr>
        <w:t>Operational analytics are not the immutable clinical audit log. Define separate retention, access, integrity, and purpose controls.</w:t>
      </w:r>
    </w:p>
    <w:p>
      <w:pPr>
        <w:pStyle w:val="Heading2"/>
        <w:widowControl/>
      </w:pPr>
      <w:r>
        <w:t>8.3 Content design lexicon</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200"/>
        <w:gridCol w:w="3500"/>
        <w:gridCol w:w="3660"/>
      </w:tblGrid>
      <w:tr>
        <w:trPr>
          <w:tblHeader w:val="true"/>
          <w:cantSplit/>
        </w:trPr>
        <w:tc>
          <w:tcPr>
            <w:tcW w:type="dxa" w:w="22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Prefer</w:t>
            </w:r>
          </w:p>
        </w:tc>
        <w:tc>
          <w:tcPr>
            <w:tcW w:type="dxa" w:w="3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Avoid</w:t>
            </w:r>
          </w:p>
        </w:tc>
        <w:tc>
          <w:tcPr>
            <w:tcW w:type="dxa" w:w="36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Reason</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“Pulse suggestion”</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“AI decision”</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Preserves advisory status</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“Review required”</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“Probably correct”</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Directs safe action</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“Booking confirmed” after commit</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“You’re booked” during hold</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Prevents false confirmation</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“Upload interrupted”</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“You failed to upload”</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Non-blaming and accurate</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“Sign prescription”</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“Approve AI”</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Signature applies to clinical record</w:t>
            </w:r>
          </w:p>
        </w:tc>
      </w:tr>
      <w:tr>
        <w:trPr>
          <w:cantSplit/>
        </w:trPr>
        <w:tc>
          <w:tcPr>
            <w:tcW w:type="dxa" w:w="22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“Talk to clinic staff”</w:t>
            </w:r>
          </w:p>
        </w:tc>
        <w:tc>
          <w:tcPr>
            <w:tcW w:type="dxa" w:w="3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“Escape bot”</w:t>
            </w:r>
          </w:p>
        </w:tc>
        <w:tc>
          <w:tcPr>
            <w:tcW w:type="dxa" w:w="36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Clear and respectful handoff</w:t>
            </w:r>
          </w:p>
        </w:tc>
      </w:tr>
      <w:tr>
        <w:trPr>
          <w:cantSplit/>
        </w:trPr>
        <w:tc>
          <w:tcPr>
            <w:tcW w:type="dxa" w:w="22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“Emergency help”</w:t>
            </w:r>
          </w:p>
        </w:tc>
        <w:tc>
          <w:tcPr>
            <w:tcW w:type="dxa" w:w="3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“AI triage result”</w:t>
            </w:r>
          </w:p>
        </w:tc>
        <w:tc>
          <w:tcPr>
            <w:tcW w:type="dxa" w:w="36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Stops automation and prioritizes action</w:t>
            </w:r>
          </w:p>
        </w:tc>
      </w:tr>
    </w:tbl>
    <w:p>
      <w:pPr>
        <w:widowControl/>
        <w:spacing w:after="40"/>
      </w:pPr>
    </w:p>
    <w:p>
      <w:pPr>
        <w:pStyle w:val="Heading2"/>
        <w:widowControl/>
      </w:pPr>
      <w:r>
        <w:t>8.4 RBAC design matrix</w:t>
      </w:r>
    </w:p>
    <w:tbl>
      <w:tblPr>
        <w:tblStyle w:val="TableGrid"/>
        <w:tblW w:type="dxa" w:w="9360"/>
        <w:tblLayout w:type="fixed"/>
        <w:tblLook w:firstColumn="1" w:firstRow="1" w:lastColumn="0" w:lastRow="0" w:noHBand="0" w:noVBand="1" w:val="04A0"/>
        <w:jc w:val="left"/>
        <w:tblBorders>
          <w:top w:val="single" w:sz="6" w:color="C9DAD7"/>
          <w:left w:val="single" w:sz="6" w:color="C9DAD7"/>
          <w:bottom w:val="single" w:sz="6" w:color="C9DAD7"/>
          <w:right w:val="single" w:sz="6" w:color="C9DAD7"/>
          <w:insideH w:val="single" w:sz="6" w:color="C9DAD7"/>
          <w:insideV w:val="single" w:sz="6" w:color="C9DAD7"/>
        </w:tblBorders>
        <w:tblInd w:w="120" w:type="dxa"/>
      </w:tblPr>
      <w:tblGrid>
        <w:gridCol w:w="2000"/>
        <w:gridCol w:w="1450"/>
        <w:gridCol w:w="1500"/>
        <w:gridCol w:w="2050"/>
        <w:gridCol w:w="2360"/>
      </w:tblGrid>
      <w:tr>
        <w:trPr>
          <w:tblHeader w:val="true"/>
          <w:cantSplit/>
        </w:trPr>
        <w:tc>
          <w:tcPr>
            <w:tcW w:type="dxa" w:w="20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Resource / Action</w:t>
            </w:r>
          </w:p>
        </w:tc>
        <w:tc>
          <w:tcPr>
            <w:tcW w:type="dxa" w:w="14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Doctor</w:t>
            </w:r>
          </w:p>
        </w:tc>
        <w:tc>
          <w:tcPr>
            <w:tcW w:type="dxa" w:w="150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Receptionist</w:t>
            </w:r>
          </w:p>
        </w:tc>
        <w:tc>
          <w:tcPr>
            <w:tcW w:type="dxa" w:w="205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Patient</w:t>
            </w:r>
          </w:p>
        </w:tc>
        <w:tc>
          <w:tcPr>
            <w:tcW w:type="dxa" w:w="2360"/>
            <w:shd w:fill="063A38"/>
            <w:tcMar>
              <w:top w:w="110" w:type="dxa"/>
              <w:start w:w="120" w:type="dxa"/>
              <w:bottom w:w="110" w:type="dxa"/>
              <w:end w:w="120" w:type="dxa"/>
            </w:tcMar>
            <w:vAlign w:val="center"/>
          </w:tcPr>
          <w:p>
            <w:pPr>
              <w:spacing w:after="0" w:line="259" w:lineRule="auto"/>
            </w:pPr>
            <w:r>
              <w:rPr>
                <w:rFonts w:ascii="IBM Plex Sans Arabic" w:hAnsi="IBM Plex Sans Arabic" w:cs="IBM Plex Sans Arabic" w:eastAsia="IBM Plex Sans Arabic"/>
                <w:b/>
                <w:color w:val="FFFFFF"/>
                <w:sz w:val="16"/>
              </w:rPr>
              <w:t>Developer/Ops</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Patient demographics</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Clinic-scoped read/update per policy</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Clinic-scoped create/read/update basics</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Own permitted view/update</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 default content access</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Appointment</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Read/create/change</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Read/create/change/queue</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Own read/create/change</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Configuration/health only</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Recording/transcript</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Encounter-scoped clinical access</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 content; operational status only</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 raw content by default</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Pipeline metadata only</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Prescription draft/sign</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Create/edit/sign if authorized</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 clinical edit/sign</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Approved own versions only</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 clinical content by default</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Billing-lite</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Read as needed</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Create/update</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Own permitted view</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Configuration/health only</w:t>
            </w:r>
          </w:p>
        </w:tc>
      </w:tr>
      <w:tr>
        <w:trPr>
          <w:cantSplit/>
        </w:trPr>
        <w:tc>
          <w:tcPr>
            <w:tcW w:type="dxa" w:w="20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Prompt/provider config</w:t>
            </w:r>
          </w:p>
        </w:tc>
        <w:tc>
          <w:tcPr>
            <w:tcW w:type="dxa" w:w="14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w:t>
            </w:r>
          </w:p>
        </w:tc>
        <w:tc>
          <w:tcPr>
            <w:tcW w:type="dxa" w:w="150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w:t>
            </w:r>
          </w:p>
        </w:tc>
        <w:tc>
          <w:tcPr>
            <w:tcW w:type="dxa" w:w="205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No</w:t>
            </w:r>
          </w:p>
        </w:tc>
        <w:tc>
          <w:tcPr>
            <w:tcW w:type="dxa" w:w="2360"/>
            <w:shd w:fill="FFFFFF"/>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Scoped configure/publish with separation of duties</w:t>
            </w:r>
          </w:p>
        </w:tc>
      </w:tr>
      <w:tr>
        <w:trPr>
          <w:cantSplit/>
        </w:trPr>
        <w:tc>
          <w:tcPr>
            <w:tcW w:type="dxa" w:w="20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Audit</w:t>
            </w:r>
          </w:p>
        </w:tc>
        <w:tc>
          <w:tcPr>
            <w:tcW w:type="dxa" w:w="14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Patient/encounter relevant</w:t>
            </w:r>
          </w:p>
        </w:tc>
        <w:tc>
          <w:tcPr>
            <w:tcW w:type="dxa" w:w="150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Operational subset</w:t>
            </w:r>
          </w:p>
        </w:tc>
        <w:tc>
          <w:tcPr>
            <w:tcW w:type="dxa" w:w="205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Own disclosure where policy allows</w:t>
            </w:r>
          </w:p>
        </w:tc>
        <w:tc>
          <w:tcPr>
            <w:tcW w:type="dxa" w:w="2360"/>
            <w:tcMar>
              <w:top w:w="100" w:type="dxa"/>
              <w:start w:w="120" w:type="dxa"/>
              <w:bottom w:w="100" w:type="dxa"/>
              <w:end w:w="120" w:type="dxa"/>
            </w:tcMar>
            <w:vAlign w:val="center"/>
          </w:tcPr>
          <w:p>
            <w:pPr>
              <w:spacing w:after="0" w:line="269" w:lineRule="auto"/>
            </w:pPr>
            <w:r>
              <w:rPr>
                <w:rFonts w:ascii="IBM Plex Sans Arabic" w:hAnsi="IBM Plex Sans Arabic" w:cs="IBM Plex Sans Arabic" w:eastAsia="IBM Plex Sans Arabic"/>
                <w:color w:val="04191A"/>
                <w:sz w:val="16"/>
              </w:rPr>
              <w:t>System audit; PHI minimized</w:t>
            </w:r>
          </w:p>
        </w:tc>
      </w:tr>
    </w:tbl>
    <w:p>
      <w:pPr>
        <w:widowControl/>
        <w:spacing w:after="40"/>
      </w:pPr>
    </w:p>
    <w:p>
      <w:pPr>
        <w:widowControl/>
      </w:pPr>
      <w:r>
        <w:rPr>
          <w:rFonts w:ascii="IBM Plex Sans Arabic" w:hAnsi="IBM Plex Sans Arabic" w:cs="IBM Plex Sans Arabic" w:eastAsia="IBM Plex Sans Arabic"/>
          <w:color w:val="04191A"/>
          <w:sz w:val="20"/>
        </w:rPr>
        <w:t>This is a UX-level matrix, not the final authorization policy. Backend resource authorization is authoritative and must be tested independently.</w:t>
      </w:r>
    </w:p>
    <w:p>
      <w:pPr>
        <w:pStyle w:val="Heading2"/>
        <w:widowControl/>
      </w:pPr>
      <w:r>
        <w:t>8.5 Glossary</w:t>
      </w:r>
    </w:p>
    <w:p>
      <w:pPr>
        <w:widowControl/>
      </w:pPr>
      <w:r>
        <w:rPr>
          <w:rFonts w:ascii="IBM Plex Sans Arabic" w:hAnsi="IBM Plex Sans Arabic" w:cs="IBM Plex Sans Arabic" w:eastAsia="IBM Plex Sans Arabic"/>
          <w:b/>
          <w:color w:val="04191A"/>
          <w:sz w:val="20"/>
        </w:rPr>
        <w:t>Patient aggregate:</w:t>
      </w:r>
      <w:r>
        <w:rPr>
          <w:rFonts w:ascii="IBM Plex Sans Arabic" w:hAnsi="IBM Plex Sans Arabic" w:cs="IBM Plex Sans Arabic" w:eastAsia="IBM Plex Sans Arabic"/>
          <w:color w:val="04191A"/>
          <w:sz w:val="20"/>
        </w:rPr>
        <w:t xml:space="preserve"> Unified patient-centered view and identity boundary for all related records.</w:t>
      </w:r>
    </w:p>
    <w:p>
      <w:pPr>
        <w:widowControl/>
      </w:pPr>
      <w:r>
        <w:rPr>
          <w:rFonts w:ascii="IBM Plex Sans Arabic" w:hAnsi="IBM Plex Sans Arabic" w:cs="IBM Plex Sans Arabic" w:eastAsia="IBM Plex Sans Arabic"/>
          <w:b/>
          <w:color w:val="04191A"/>
          <w:sz w:val="20"/>
        </w:rPr>
        <w:t>Pulse:</w:t>
      </w:r>
      <w:r>
        <w:rPr>
          <w:rFonts w:ascii="IBM Plex Sans Arabic" w:hAnsi="IBM Plex Sans Arabic" w:cs="IBM Plex Sans Arabic" w:eastAsia="IBM Plex Sans Arabic"/>
          <w:color w:val="04191A"/>
          <w:sz w:val="20"/>
        </w:rPr>
        <w:t xml:space="preserve"> Nabda’s embedded AI assistance layer.</w:t>
      </w:r>
    </w:p>
    <w:p>
      <w:pPr>
        <w:widowControl/>
      </w:pPr>
      <w:r>
        <w:rPr>
          <w:rFonts w:ascii="IBM Plex Sans Arabic" w:hAnsi="IBM Plex Sans Arabic" w:cs="IBM Plex Sans Arabic" w:eastAsia="IBM Plex Sans Arabic"/>
          <w:b/>
          <w:color w:val="04191A"/>
          <w:sz w:val="20"/>
        </w:rPr>
        <w:t>Clinician approved:</w:t>
      </w:r>
      <w:r>
        <w:rPr>
          <w:rFonts w:ascii="IBM Plex Sans Arabic" w:hAnsi="IBM Plex Sans Arabic" w:cs="IBM Plex Sans Arabic" w:eastAsia="IBM Plex Sans Arabic"/>
          <w:color w:val="04191A"/>
          <w:sz w:val="20"/>
        </w:rPr>
        <w:t xml:space="preserve"> Explicitly reviewed and signed by an authorized clinician.</w:t>
      </w:r>
    </w:p>
    <w:p>
      <w:pPr>
        <w:widowControl/>
      </w:pPr>
      <w:r>
        <w:rPr>
          <w:rFonts w:ascii="IBM Plex Sans Arabic" w:hAnsi="IBM Plex Sans Arabic" w:cs="IBM Plex Sans Arabic" w:eastAsia="IBM Plex Sans Arabic"/>
          <w:b/>
          <w:color w:val="04191A"/>
          <w:sz w:val="20"/>
        </w:rPr>
        <w:t>Immutable version:</w:t>
      </w:r>
      <w:r>
        <w:rPr>
          <w:rFonts w:ascii="IBM Plex Sans Arabic" w:hAnsi="IBM Plex Sans Arabic" w:cs="IBM Plex Sans Arabic" w:eastAsia="IBM Plex Sans Arabic"/>
          <w:color w:val="04191A"/>
          <w:sz w:val="20"/>
        </w:rPr>
        <w:t xml:space="preserve"> A signed record that cannot be overwritten; corrections create a linked successor.</w:t>
      </w:r>
    </w:p>
    <w:p>
      <w:pPr>
        <w:widowControl/>
      </w:pPr>
      <w:r>
        <w:rPr>
          <w:rFonts w:ascii="IBM Plex Sans Arabic" w:hAnsi="IBM Plex Sans Arabic" w:cs="IBM Plex Sans Arabic" w:eastAsia="IBM Plex Sans Arabic"/>
          <w:b/>
          <w:color w:val="04191A"/>
          <w:sz w:val="20"/>
        </w:rPr>
        <w:t>Handoff:</w:t>
      </w:r>
      <w:r>
        <w:rPr>
          <w:rFonts w:ascii="IBM Plex Sans Arabic" w:hAnsi="IBM Plex Sans Arabic" w:cs="IBM Plex Sans Arabic" w:eastAsia="IBM Plex Sans Arabic"/>
          <w:color w:val="04191A"/>
          <w:sz w:val="20"/>
        </w:rPr>
        <w:t xml:space="preserve"> Transfer from automated Pulse interaction to an identified human staff member.</w:t>
      </w:r>
    </w:p>
    <w:p>
      <w:pPr>
        <w:widowControl/>
      </w:pPr>
      <w:r>
        <w:rPr>
          <w:rFonts w:ascii="IBM Plex Sans Arabic" w:hAnsi="IBM Plex Sans Arabic" w:cs="IBM Plex Sans Arabic" w:eastAsia="IBM Plex Sans Arabic"/>
          <w:b/>
          <w:color w:val="04191A"/>
          <w:sz w:val="20"/>
        </w:rPr>
        <w:t>WER:</w:t>
      </w:r>
      <w:r>
        <w:rPr>
          <w:rFonts w:ascii="IBM Plex Sans Arabic" w:hAnsi="IBM Plex Sans Arabic" w:cs="IBM Plex Sans Arabic" w:eastAsia="IBM Plex Sans Arabic"/>
          <w:color w:val="04191A"/>
          <w:sz w:val="20"/>
        </w:rPr>
        <w:t xml:space="preserve"> Word error rate; useful but insufficient alone for clinical transcription quality.</w:t>
      </w:r>
    </w:p>
    <w:p>
      <w:pPr>
        <w:widowControl/>
      </w:pPr>
      <w:r>
        <w:rPr>
          <w:rFonts w:ascii="IBM Plex Sans Arabic" w:hAnsi="IBM Plex Sans Arabic" w:cs="IBM Plex Sans Arabic" w:eastAsia="IBM Plex Sans Arabic"/>
          <w:b/>
          <w:color w:val="04191A"/>
          <w:sz w:val="20"/>
        </w:rPr>
        <w:t>Idempotency:</w:t>
      </w:r>
      <w:r>
        <w:rPr>
          <w:rFonts w:ascii="IBM Plex Sans Arabic" w:hAnsi="IBM Plex Sans Arabic" w:cs="IBM Plex Sans Arabic" w:eastAsia="IBM Plex Sans Arabic"/>
          <w:color w:val="04191A"/>
          <w:sz w:val="20"/>
        </w:rPr>
        <w:t xml:space="preserve"> Repeating a command with the same key does not create duplicate effects.</w:t>
      </w:r>
    </w:p>
    <w:p>
      <w:pPr>
        <w:widowControl/>
      </w:pPr>
      <w:r>
        <w:rPr>
          <w:rFonts w:ascii="IBM Plex Sans Arabic" w:hAnsi="IBM Plex Sans Arabic" w:cs="IBM Plex Sans Arabic" w:eastAsia="IBM Plex Sans Arabic"/>
          <w:b/>
          <w:color w:val="04191A"/>
          <w:sz w:val="20"/>
        </w:rPr>
        <w:t>RTL/LTR isolation:</w:t>
      </w:r>
      <w:r>
        <w:rPr>
          <w:rFonts w:ascii="IBM Plex Sans Arabic" w:hAnsi="IBM Plex Sans Arabic" w:cs="IBM Plex Sans Arabic" w:eastAsia="IBM Plex Sans Arabic"/>
          <w:color w:val="04191A"/>
          <w:sz w:val="20"/>
        </w:rPr>
        <w:t xml:space="preserve"> Keeping direction-sensitive substrings readable within the opposite document direction.</w:t>
      </w:r>
    </w:p>
    <w:p>
      <w:pPr>
        <w:pStyle w:val="Heading2"/>
        <w:widowControl/>
      </w:pPr>
      <w:r>
        <w:t>8.6 Source register and standards</w:t>
      </w:r>
    </w:p>
    <w:p>
      <w:pPr>
        <w:pStyle w:val="Heading3"/>
        <w:widowControl/>
      </w:pPr>
      <w:r>
        <w:t>Local product and brand sources</w:t>
      </w:r>
    </w:p>
    <w:p>
      <w:pPr>
        <w:widowControl/>
        <w:numPr>
          <w:ilvl w:val="0"/>
          <w:numId w:val="10"/>
        </w:numPr>
      </w:pPr>
      <w:r>
        <w:rPr>
          <w:rFonts w:ascii="IBM Plex Sans Arabic" w:hAnsi="IBM Plex Sans Arabic" w:cs="IBM Plex Sans Arabic" w:eastAsia="IBM Plex Sans Arabic"/>
          <w:i/>
          <w:color w:val="04191A"/>
          <w:sz w:val="20"/>
        </w:rPr>
        <w:t>Nabda CMS – Pulse MVP Developer Specification (General)</w:t>
      </w:r>
      <w:r>
        <w:rPr>
          <w:rFonts w:ascii="IBM Plex Sans Arabic" w:hAnsi="IBM Plex Sans Arabic" w:cs="IBM Plex Sans Arabic" w:eastAsia="IBM Plex Sans Arabic"/>
          <w:color w:val="04191A"/>
          <w:sz w:val="20"/>
        </w:rPr>
        <w:t>, implementation-ready MVP baseline, 23 August 2026.</w:t>
      </w:r>
    </w:p>
    <w:p>
      <w:pPr>
        <w:widowControl/>
        <w:numPr>
          <w:ilvl w:val="0"/>
          <w:numId w:val="10"/>
        </w:numPr>
      </w:pPr>
      <w:r>
        <w:rPr>
          <w:rFonts w:ascii="IBM Plex Sans Arabic" w:hAnsi="IBM Plex Sans Arabic" w:cs="IBM Plex Sans Arabic" w:eastAsia="IBM Plex Sans Arabic"/>
          <w:i/>
          <w:color w:val="04191A"/>
          <w:sz w:val="20"/>
        </w:rPr>
        <w:t>Nabda Figma export (`Nabda.pdf` and `Frame.pdf`)</w:t>
      </w:r>
      <w:r>
        <w:rPr>
          <w:rFonts w:ascii="IBM Plex Sans Arabic" w:hAnsi="IBM Plex Sans Arabic" w:cs="IBM Plex Sans Arabic" w:eastAsia="IBM Plex Sans Arabic"/>
          <w:color w:val="04191A"/>
          <w:sz w:val="20"/>
        </w:rPr>
        <w:t>, latest visual authority for Al-Nuqta, the primary app tile, Paper/Mist/Teal distribution, Pulse-only Gold, typography, component styling, and bilingual behavior.</w:t>
      </w:r>
    </w:p>
    <w:p>
      <w:pPr>
        <w:widowControl/>
        <w:numPr>
          <w:ilvl w:val="0"/>
          <w:numId w:val="10"/>
        </w:numPr>
      </w:pPr>
      <w:r>
        <w:rPr>
          <w:rFonts w:ascii="IBM Plex Sans Arabic" w:hAnsi="IBM Plex Sans Arabic" w:cs="IBM Plex Sans Arabic" w:eastAsia="IBM Plex Sans Arabic"/>
          <w:i/>
          <w:color w:val="04191A"/>
          <w:sz w:val="20"/>
        </w:rPr>
        <w:t>Nabda Pairings</w:t>
      </w:r>
      <w:r>
        <w:rPr>
          <w:rFonts w:ascii="IBM Plex Sans Arabic" w:hAnsi="IBM Plex Sans Arabic" w:cs="IBM Plex Sans Arabic" w:eastAsia="IBM Plex Sans Arabic"/>
          <w:color w:val="04191A"/>
          <w:sz w:val="20"/>
        </w:rPr>
        <w:t>, source exploration supporting the selected Clinic direction.</w:t>
      </w:r>
    </w:p>
    <w:p>
      <w:pPr>
        <w:widowControl/>
        <w:numPr>
          <w:ilvl w:val="0"/>
          <w:numId w:val="10"/>
        </w:numPr>
      </w:pPr>
      <w:r>
        <w:rPr>
          <w:rFonts w:ascii="IBM Plex Sans Arabic" w:hAnsi="IBM Plex Sans Arabic" w:cs="IBM Plex Sans Arabic" w:eastAsia="IBM Plex Sans Arabic"/>
          <w:i/>
          <w:color w:val="04191A"/>
          <w:sz w:val="20"/>
        </w:rPr>
        <w:t>Nabda Fonts package</w:t>
      </w:r>
      <w:r>
        <w:rPr>
          <w:rFonts w:ascii="IBM Plex Sans Arabic" w:hAnsi="IBM Plex Sans Arabic" w:cs="IBM Plex Sans Arabic" w:eastAsia="IBM Plex Sans Arabic"/>
          <w:color w:val="04191A"/>
          <w:sz w:val="20"/>
        </w:rPr>
        <w:t>, latest typography authority: Readex Pro for display and wordmark, IBM Plex Sans Arabic for interface/body, and IBM Plex Mono for Latin labels/data, including Office installation, Arabic shaping, web packaging, and SIL OFL licensing guidance.</w:t>
      </w:r>
    </w:p>
    <w:p>
      <w:pPr>
        <w:widowControl/>
        <w:numPr>
          <w:ilvl w:val="0"/>
          <w:numId w:val="10"/>
        </w:numPr>
      </w:pPr>
      <w:r>
        <w:rPr>
          <w:rFonts w:ascii="IBM Plex Sans Arabic" w:hAnsi="IBM Plex Sans Arabic" w:cs="IBM Plex Sans Arabic" w:eastAsia="IBM Plex Sans Arabic"/>
          <w:i/>
          <w:color w:val="04191A"/>
          <w:sz w:val="20"/>
        </w:rPr>
        <w:t>Nabda Brand System – Clinic direction v1.1</w:t>
      </w:r>
      <w:r>
        <w:rPr>
          <w:rFonts w:ascii="IBM Plex Sans Arabic" w:hAnsi="IBM Plex Sans Arabic" w:cs="IBM Plex Sans Arabic" w:eastAsia="IBM Plex Sans Arabic"/>
          <w:color w:val="04191A"/>
          <w:sz w:val="20"/>
        </w:rPr>
        <w:t xml:space="preserve"> and earlier explorations, retained as historical rationale where they do not conflict with the latest Figma and font packages.</w:t>
      </w:r>
    </w:p>
    <w:p>
      <w:pPr>
        <w:pStyle w:val="Heading3"/>
        <w:widowControl/>
      </w:pPr>
      <w:r>
        <w:t>External primary standards and guidance</w:t>
      </w:r>
    </w:p>
    <w:p>
      <w:pPr>
        <w:widowControl/>
        <w:numPr>
          <w:ilvl w:val="0"/>
          <w:numId w:val="10"/>
        </w:numPr>
      </w:pPr>
      <w:r>
        <w:rPr>
          <w:rFonts w:ascii="IBM Plex Sans Arabic" w:hAnsi="IBM Plex Sans Arabic" w:cs="IBM Plex Sans Arabic" w:eastAsia="IBM Plex Sans Arabic"/>
          <w:color w:val="04191A"/>
          <w:sz w:val="20"/>
        </w:rPr>
        <w:t xml:space="preserve">W3C, </w:t>
      </w:r>
      <w:r>
        <w:rPr>
          <w:rFonts w:ascii="IBM Plex Sans Arabic" w:hAnsi="IBM Plex Sans Arabic" w:cs="IBM Plex Sans Arabic" w:eastAsia="IBM Plex Sans Arabic"/>
          <w:i/>
          <w:color w:val="04191A"/>
          <w:sz w:val="20"/>
        </w:rPr>
        <w:t>Web Content Accessibility Guidelines (WCAG) 2.2</w:t>
      </w:r>
      <w:r>
        <w:rPr>
          <w:rFonts w:ascii="IBM Plex Sans Arabic" w:hAnsi="IBM Plex Sans Arabic" w:cs="IBM Plex Sans Arabic" w:eastAsia="IBM Plex Sans Arabic"/>
          <w:color w:val="04191A"/>
          <w:sz w:val="20"/>
        </w:rPr>
        <w:t>, https://www.w3.org/TR/WCAG22/ (accessed 24 August 2026). WCAG 2.2 is additive to 2.1 and adds criteria including focus not obscured, dragging alternatives, target size minimum, and accessible authentication.</w:t>
      </w:r>
    </w:p>
    <w:p>
      <w:pPr>
        <w:widowControl/>
        <w:numPr>
          <w:ilvl w:val="0"/>
          <w:numId w:val="10"/>
        </w:numPr>
      </w:pPr>
      <w:r>
        <w:rPr>
          <w:rFonts w:ascii="IBM Plex Sans Arabic" w:hAnsi="IBM Plex Sans Arabic" w:cs="IBM Plex Sans Arabic" w:eastAsia="IBM Plex Sans Arabic"/>
          <w:color w:val="04191A"/>
          <w:sz w:val="20"/>
        </w:rPr>
        <w:t xml:space="preserve">World Health Organization, </w:t>
      </w:r>
      <w:r>
        <w:rPr>
          <w:rFonts w:ascii="IBM Plex Sans Arabic" w:hAnsi="IBM Plex Sans Arabic" w:cs="IBM Plex Sans Arabic" w:eastAsia="IBM Plex Sans Arabic"/>
          <w:i/>
          <w:color w:val="04191A"/>
          <w:sz w:val="20"/>
        </w:rPr>
        <w:t>Ethics and governance of artificial intelligence for health</w:t>
      </w:r>
      <w:r>
        <w:rPr>
          <w:rFonts w:ascii="IBM Plex Sans Arabic" w:hAnsi="IBM Plex Sans Arabic" w:cs="IBM Plex Sans Arabic" w:eastAsia="IBM Plex Sans Arabic"/>
          <w:color w:val="04191A"/>
          <w:sz w:val="20"/>
        </w:rPr>
        <w:t>, https://www.who.int/publications/i/item/9789240037403 (accessed 24 August 2026). Supports human autonomy, safety, transparency, accountability, inclusiveness, and responsive governance.</w:t>
      </w:r>
    </w:p>
    <w:p>
      <w:pPr>
        <w:pStyle w:val="Heading2"/>
        <w:widowControl/>
      </w:pPr>
      <w:r>
        <w:t>8.7 Governance note</w:t>
      </w:r>
    </w:p>
    <w:p>
      <w:pPr>
        <w:widowControl/>
      </w:pPr>
      <w:r>
        <w:rPr>
          <w:rFonts w:ascii="IBM Plex Sans Arabic" w:hAnsi="IBM Plex Sans Arabic" w:cs="IBM Plex Sans Arabic" w:eastAsia="IBM Plex Sans Arabic"/>
          <w:color w:val="04191A"/>
          <w:sz w:val="20"/>
        </w:rPr>
        <w:t>This manual is a design and research specification, not medical, legal, regulatory, or accessibility certification. Deployment-specific consent, emergency routing, retention, clinical content, role permissions, and regulatory claims require approval from qualified local stakeholders. Technical controls and good UX do not by themselves establish compliance.</w:t>
      </w: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Readex Pro">
    <w:embedRegular r:id="rId1" w:fontKey="{3CF4894E-CE7D-4052-ABC4-2F46E43415B7}" w:subsetted="true"/>
    <w:embedBold r:id="rId2" w:fontKey="{2BACC5BE-7F91-4541-95B9-4B397C309B6D}" w:subsetted="true"/>
  </w:font>
  <w:font w:name="IBM Plex Sans Arabic">
    <w:embedRegular r:id="rId3" w:fontKey="{CBB08D91-5C66-4222-AED4-F677AC475B53}" w:subsetted="true"/>
    <w:embedBold r:id="rId4" w:fontKey="{5DB1507C-3C1A-4C41-BBE6-5B4ACEC252DB}" w:subsetted="true"/>
  </w:font>
  <w:font w:name="IBM Plex Mono">
    <w:embedRegular r:id="rId5" w:fontKey="{0D034E3E-873F-409B-8F7B-C99B4C649ABC}" w:subsetted="true"/>
    <w:embedBold r:id="rId6" w:fontKey="{D72417E6-50CF-4977-8A0D-FFBDEEE195C7}" w:subsetted="tru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BM Plex Sans Arabic" w:hAnsi="IBM Plex Sans Arabic" w:cs="IBM Plex Sans Arabic" w:eastAsia="IBM Plex Sans Arabic"/>
        <w:color w:val="607B78"/>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Readex Pro" w:hAnsi="Readex Pro" w:cs="Readex Pro" w:eastAsia="Readex Pro"/>
        <w:b/>
        <w:color w:val="063A38"/>
        <w:sz w:val="17"/>
      </w:rPr>
      <w:t>nabda</w:t>
    </w:r>
    <w:r>
      <w:rPr>
        <w:rFonts w:ascii="IBM Plex Mono" w:hAnsi="IBM Plex Mono" w:cs="IBM Plex Mono" w:eastAsia="IBM Plex Mono"/>
        <w:b/>
        <w:color w:val="607B78"/>
        <w:sz w:val="15"/>
      </w:rPr>
      <w:t xml:space="preserve">  ·  PULSE MVP  ·  UI/UX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BCD0009"/>
    <w:multiLevelType w:val="singleLevel"/>
    <w:tmpl w:val="AB000009"/>
    <w:lvl w:ilvl="0">
      <w:start w:val="1"/>
      <w:numFmt w:val="bullet"/>
      <w:lvlText w:val=""/>
      <w:lvlJc w:val="left"/>
      <w:suff w:val="tab"/>
      <w:pPr>
        <w:tabs>
          <w:tab w:val="num" w:pos="540"/>
        </w:tabs>
        <w:ind w:left="540" w:hanging="270"/>
        <w:spacing w:after="80" w:line="300" w:lineRule="auto"/>
      </w:pPr>
      <w:rPr>
        <w:rFonts w:ascii="Symbol" w:hAnsi="Symbol"/>
      </w:rPr>
    </w:lvl>
  </w:abstractNum>
  <w:abstractNum w:abstractNumId="10">
    <w:nsid w:val="ABCD000A"/>
    <w:multiLevelType w:val="singleLevel"/>
    <w:tmpl w:val="AB00000A"/>
    <w:lvl w:ilvl="0">
      <w:start w:val="1"/>
      <w:numFmt w:val="decimal"/>
      <w:lvlText w:val="%1."/>
      <w:lvlJc w:val="left"/>
      <w:suff w:val="tab"/>
      <w:pPr>
        <w:tabs>
          <w:tab w:val="num" w:pos="540"/>
        </w:tabs>
        <w:ind w:left="540" w:hanging="270"/>
        <w:spacing w:after="80" w:line="300" w:lineRule="auto"/>
      </w:pPr>
      <w:rPr>
        <w:rFonts w:ascii="IBM Plex Sans Arabic" w:hAnsi="IBM Plex Sans Arabi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mbedTrueTypeFonts/>
  <w:saveSubset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IBM Plex Sans Arabic" w:hAnsi="IBM Plex Sans Arabic" w:cs="IBM Plex Sans Arabic"/>
      <w:color w:val="0419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Readex Pro" w:hAnsi="Readex Pro" w:cs="IBM Plex Sans Arabic"/>
      <w:b/>
      <w:bCs/>
      <w:color w:val="0E7C74"/>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Readex Pro" w:hAnsi="Readex Pro" w:cs="IBM Plex Sans Arabic"/>
      <w:b/>
      <w:bCs/>
      <w:color w:val="063A3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Readex Pro" w:hAnsi="Readex Pro" w:cs="IBM Plex Sans Arabic"/>
      <w:b/>
      <w:bCs/>
      <w:color w:val="04191A"/>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Readex Pro" w:hAnsi="Readex Pro" w:cs="IBM Plex Sans Arabic"/>
      <w:b/>
      <w:bCs/>
      <w:i/>
      <w:iCs/>
      <w:color w:val="0E7C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Readex Pro" w:hAnsi="Readex Pro" w:cs="IBM Plex Sans Arabic"/>
      <w:b/>
      <w:color w:val="04191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Readex Pro" w:hAnsi="Readex Pro" w:cs="IBM Plex Sans Arabic"/>
      <w:b w:val="0"/>
      <w:i/>
      <w:iCs/>
      <w:color w:val="3F5E5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bdaCode">
    <w:name w:val="Nabda Code"/>
    <w:basedOn w:val="Normal"/>
    <w:pPr>
      <w:spacing w:before="80" w:after="140" w:line="269" w:lineRule="auto"/>
      <w:ind w:left="173" w:right="173"/>
    </w:pPr>
    <w:rPr>
      <w:rFonts w:ascii="IBM Plex Mono" w:hAnsi="IBM Plex Mono"/>
      <w:color w:val="04191A"/>
      <w:sz w:val="16"/>
    </w:rPr>
  </w:style>
  <w:style w:type="paragraph" w:customStyle="1" w:styleId="NabdaCallout">
    <w:name w:val="Nabda Callout"/>
    <w:basedOn w:val="Normal"/>
    <w:pPr>
      <w:spacing w:before="80" w:after="140" w:line="288" w:lineRule="auto"/>
      <w:ind w:left="173" w:right="173"/>
    </w:pPr>
    <w:rPr>
      <w:rFonts w:ascii="IBM Plex Sans Arabic" w:hAnsi="IBM Plex Sans Arabic"/>
      <w:color w:val="04191A"/>
      <w:sz w:val="20"/>
    </w:rPr>
  </w:style>
  <w:style w:type="paragraph" w:customStyle="1" w:styleId="NabdaCaption">
    <w:name w:val="Nabda Caption"/>
    <w:basedOn w:val="Normal"/>
    <w:pPr>
      <w:spacing w:before="80" w:after="140" w:line="288" w:lineRule="auto"/>
    </w:pPr>
    <w:rPr>
      <w:rFonts w:ascii="IBM Plex Sans Arabic" w:hAnsi="IBM Plex Sans Arabic"/>
      <w:color w:val="607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fontTable.xml.rels><?xml version='1.0' encoding='utf-8'?>
<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Nabda UI/UX Design Specification &amp; Research Manual - Pulse MVP</dc:title>
  <dc:subject>Clinical-grade UI/UX, research, brand, role workspaces, state machines, roadmap, and Word export guidance</dc:subject>
  <dc:creator>Nabda</dc:creator>
  <cp:keywords/>
  <dc:description>generated by python-docx</dc:description>
  <cp:lastModifiedBy/>
  <cp:revision>1</cp:revision>
  <dcterms:created xsi:type="dcterms:W3CDTF">2013-12-23T23:15:00Z</dcterms:created>
  <dcterms:modified xsi:type="dcterms:W3CDTF">2013-12-23T23:15:00Z</dcterms:modified>
  <cp:category/>
</cp:coreProperties>
</file>