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54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2340"/>
        <w:gridCol w:w="2340"/>
        <w:gridCol w:w="2340"/>
        <w:gridCol w:w="2340"/>
      </w:tblGrid>
      <w:tr>
        <w:trPr>
          <w:trHeight w:hRule="exact" w:val="672"/>
        </w:trPr>
        <w:tc>
          <w:tcPr>
            <w:tcW w:type="dxa" w:w="64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96" w:after="0"/>
              <w:ind w:left="360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36"/>
              </w:rPr>
              <w:t>Tamzid Sheakh Sani</w:t>
            </w:r>
            <w:r>
              <w:rPr>
                <w:rFonts w:ascii="Arial" w:hAnsi="Arial" w:eastAsia="Arial"/>
                <w:b/>
                <w:i w:val="0"/>
                <w:color w:val="000000"/>
                <w:sz w:val="38"/>
              </w:rPr>
              <w:t>​</w:t>
            </w:r>
          </w:p>
        </w:tc>
        <w:tc>
          <w:tcPr>
            <w:tcW w:type="dxa" w:w="22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8" w:after="0"/>
              <w:ind w:left="0" w:right="52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27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66800" cy="137033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3703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20"/>
        </w:trPr>
        <w:tc>
          <w:tcPr>
            <w:tcW w:type="dxa" w:w="2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48" w:after="0"/>
              <w:ind w:left="36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Present Address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4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48" w:after="0"/>
              <w:ind w:left="16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: Bank Town, Savar, Dhaka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2340"/>
            <w:vMerge/>
            <w:tcBorders/>
          </w:tcPr>
          <w:p/>
        </w:tc>
        <w:tc>
          <w:tcPr>
            <w:tcW w:type="dxa" w:w="2340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2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36" w:after="0"/>
              <w:ind w:left="36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Phone No.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4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36" w:after="0"/>
              <w:ind w:left="16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: +8801981888469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2340"/>
            <w:vMerge/>
            <w:tcBorders/>
          </w:tcPr>
          <w:p/>
        </w:tc>
        <w:tc>
          <w:tcPr>
            <w:tcW w:type="dxa" w:w="2340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2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46" w:after="0"/>
              <w:ind w:left="36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Email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4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46" w:after="0"/>
              <w:ind w:left="16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: </w:t>
            </w:r>
            <w:r>
              <w:rPr>
                <w:rFonts w:ascii="" w:hAnsi="" w:eastAsia=""/>
                <w:b w:val="0"/>
                <w:i w:val="0"/>
                <w:color w:val="0000FF"/>
                <w:sz w:val="22"/>
                <w:u w:val="single"/>
              </w:rPr>
              <w:hyperlink r:id="rId10" w:history="1">
                <w:r>
                  <w:rPr>
                    <w:rStyle w:val="Hyperlink"/>
                  </w:rPr>
                  <w:t>sheakhsany369@gmail.com</w:t>
                </w:r>
              </w:hyperlink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2340"/>
            <w:vMerge/>
            <w:tcBorders/>
          </w:tcPr>
          <w:p/>
        </w:tc>
        <w:tc>
          <w:tcPr>
            <w:tcW w:type="dxa" w:w="2340"/>
            <w:vMerge/>
            <w:tcBorders/>
          </w:tcPr>
          <w:p/>
        </w:tc>
      </w:tr>
      <w:tr>
        <w:trPr>
          <w:trHeight w:hRule="exact" w:val="666"/>
        </w:trPr>
        <w:tc>
          <w:tcPr>
            <w:tcW w:type="dxa" w:w="2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34" w:after="0"/>
              <w:ind w:left="36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LinkedIn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4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16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: </w:t>
            </w:r>
            <w:r>
              <w:rPr>
                <w:rFonts w:ascii="" w:hAnsi="" w:eastAsia=""/>
                <w:b w:val="0"/>
                <w:i w:val="0"/>
                <w:color w:val="0000FF"/>
                <w:sz w:val="22"/>
                <w:u w:val="single"/>
              </w:rPr>
              <w:hyperlink r:id="rId11" w:history="1">
                <w:r>
                  <w:rPr>
                    <w:rStyle w:val="Hyperlink"/>
                  </w:rPr>
                  <w:t>Tamzid Sheakh Sani</w:t>
                </w:r>
              </w:hyperlink>
            </w:r>
          </w:p>
        </w:tc>
        <w:tc>
          <w:tcPr>
            <w:tcW w:type="dxa" w:w="2340"/>
            <w:vMerge/>
            <w:tcBorders/>
          </w:tcPr>
          <w:p/>
        </w:tc>
        <w:tc>
          <w:tcPr>
            <w:tcW w:type="dxa" w:w="234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7" w:lineRule="auto" w:before="124" w:after="0"/>
        <w:ind w:left="720" w:right="0" w:firstLine="0"/>
        <w:jc w:val="left"/>
      </w:pPr>
      <w:r>
        <w:rPr>
          <w:rFonts w:ascii="" w:hAnsi="" w:eastAsia=""/>
          <w:b/>
          <w:i w:val="0"/>
          <w:color w:val="000000"/>
          <w:sz w:val="26"/>
        </w:rPr>
        <w:t xml:space="preserve">CAREER OBJECTIVE: </w:t>
      </w:r>
    </w:p>
    <w:p>
      <w:pPr>
        <w:autoSpaceDN w:val="0"/>
        <w:autoSpaceDE w:val="0"/>
        <w:widowControl/>
        <w:spacing w:line="245" w:lineRule="auto" w:before="198" w:after="0"/>
        <w:ind w:left="720" w:right="864" w:firstLine="0"/>
        <w:jc w:val="center"/>
      </w:pPr>
      <w:r>
        <w:rPr>
          <w:rFonts w:ascii="" w:hAnsi="" w:eastAsia=""/>
          <w:b w:val="0"/>
          <w:i w:val="0"/>
          <w:color w:val="000000"/>
          <w:sz w:val="22"/>
        </w:rPr>
        <w:t xml:space="preserve">To secure a challenging role in IT Infrastructure Management, leveraging a strong Computer Science background and a </w:t>
      </w:r>
      <w:r>
        <w:rPr>
          <w:rFonts w:ascii="" w:hAnsi="" w:eastAsia=""/>
          <w:b w:val="0"/>
          <w:i w:val="0"/>
          <w:color w:val="000000"/>
          <w:sz w:val="22"/>
        </w:rPr>
        <w:t xml:space="preserve">keen interest in maintaining, optimizing, and securing enterprise IT environments for sustained operational excellence. </w:t>
      </w:r>
    </w:p>
    <w:p>
      <w:pPr>
        <w:autoSpaceDN w:val="0"/>
        <w:autoSpaceDE w:val="0"/>
        <w:widowControl/>
        <w:spacing w:line="197" w:lineRule="auto" w:before="366" w:after="0"/>
        <w:ind w:left="720" w:right="0" w:firstLine="0"/>
        <w:jc w:val="left"/>
      </w:pPr>
      <w:r>
        <w:rPr>
          <w:rFonts w:ascii="" w:hAnsi="" w:eastAsia=""/>
          <w:b/>
          <w:i w:val="0"/>
          <w:color w:val="000000"/>
          <w:sz w:val="26"/>
        </w:rPr>
        <w:t xml:space="preserve">EDUCATION: </w:t>
      </w:r>
    </w:p>
    <w:p>
      <w:pPr>
        <w:autoSpaceDN w:val="0"/>
        <w:tabs>
          <w:tab w:pos="7830" w:val="left"/>
          <w:tab w:pos="7920" w:val="left"/>
        </w:tabs>
        <w:autoSpaceDE w:val="0"/>
        <w:widowControl/>
        <w:spacing w:line="250" w:lineRule="auto" w:before="198" w:after="0"/>
        <w:ind w:left="720" w:right="2448" w:firstLine="0"/>
        <w:jc w:val="left"/>
      </w:pPr>
      <w:r>
        <w:rPr>
          <w:rFonts w:ascii="" w:hAnsi="" w:eastAsia=""/>
          <w:b/>
          <w:i w:val="0"/>
          <w:color w:val="000000"/>
          <w:sz w:val="22"/>
        </w:rPr>
        <w:t xml:space="preserve">Dhaka City College </w:t>
      </w:r>
      <w:r>
        <w:br/>
      </w:r>
      <w:r>
        <w:rPr>
          <w:rFonts w:ascii="" w:hAnsi="" w:eastAsia=""/>
          <w:b w:val="0"/>
          <w:i w:val="0"/>
          <w:color w:val="000000"/>
          <w:sz w:val="22"/>
        </w:rPr>
        <w:t>Bachelor of Science (BSc.)</w:t>
      </w:r>
      <w:r>
        <w:rPr>
          <w:rFonts w:ascii="Arial" w:hAnsi="Arial" w:eastAsia="Arial"/>
          <w:b w:val="0"/>
          <w:i w:val="0"/>
          <w:color w:val="000000"/>
          <w:sz w:val="22"/>
        </w:rPr>
        <w:t>​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​</w:t>
      </w:r>
      <w:r>
        <w:rPr>
          <w:rFonts w:ascii="" w:hAnsi="" w:eastAsia=""/>
          <w:b w:val="0"/>
          <w:i w:val="0"/>
          <w:color w:val="000000"/>
          <w:sz w:val="22"/>
        </w:rPr>
        <w:t xml:space="preserve">CGPA: 3.16 out of 4 </w:t>
      </w:r>
      <w:r>
        <w:rPr>
          <w:rFonts w:ascii="" w:hAnsi="" w:eastAsia=""/>
          <w:b w:val="0"/>
          <w:i w:val="0"/>
          <w:color w:val="000000"/>
          <w:sz w:val="22"/>
        </w:rPr>
        <w:t>Computer Science &amp; Engineering</w:t>
      </w:r>
      <w:r>
        <w:rPr>
          <w:rFonts w:ascii="Arial" w:hAnsi="Arial" w:eastAsia="Arial"/>
          <w:b w:val="0"/>
          <w:i w:val="0"/>
          <w:color w:val="000000"/>
          <w:sz w:val="22"/>
        </w:rPr>
        <w:t>​</w:t>
      </w: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>Passing Year: 2025</w:t>
      </w:r>
      <w:r>
        <w:rPr>
          <w:rFonts w:ascii="Arial" w:hAnsi="Arial" w:eastAsia="Arial"/>
          <w:b w:val="0"/>
          <w:i w:val="0"/>
          <w:color w:val="000000"/>
          <w:sz w:val="22"/>
        </w:rPr>
        <w:t>​</w:t>
      </w:r>
    </w:p>
    <w:p>
      <w:pPr>
        <w:autoSpaceDN w:val="0"/>
        <w:autoSpaceDE w:val="0"/>
        <w:widowControl/>
        <w:spacing w:line="197" w:lineRule="auto" w:before="170" w:after="28"/>
        <w:ind w:left="720" w:right="0" w:firstLine="0"/>
        <w:jc w:val="left"/>
      </w:pPr>
      <w:r>
        <w:rPr>
          <w:rFonts w:ascii="" w:hAnsi="" w:eastAsia=""/>
          <w:b/>
          <w:i w:val="0"/>
          <w:color w:val="000000"/>
          <w:sz w:val="22"/>
        </w:rPr>
        <w:t xml:space="preserve">Savar Model College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rHeight w:hRule="exact" w:val="304"/>
        </w:trPr>
        <w:tc>
          <w:tcPr>
            <w:tcW w:type="dxa" w:w="3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6" w:after="0"/>
              <w:ind w:left="36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Higher Secondary Certificate (HSC)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31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34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GPA: 4.33 out of 5.0 </w:t>
            </w:r>
          </w:p>
        </w:tc>
      </w:tr>
      <w:tr>
        <w:trPr>
          <w:trHeight w:hRule="exact" w:val="346"/>
        </w:trPr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30" w:after="0"/>
              <w:ind w:left="36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Group: Science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2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30" w:after="0"/>
              <w:ind w:left="34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Passing Year: 2017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>​</w:t>
            </w:r>
          </w:p>
        </w:tc>
      </w:tr>
    </w:tbl>
    <w:p>
      <w:pPr>
        <w:autoSpaceDN w:val="0"/>
        <w:autoSpaceDE w:val="0"/>
        <w:widowControl/>
        <w:spacing w:line="197" w:lineRule="auto" w:before="108" w:after="26"/>
        <w:ind w:left="720" w:right="0" w:firstLine="0"/>
        <w:jc w:val="left"/>
      </w:pPr>
      <w:r>
        <w:rPr>
          <w:rFonts w:ascii="" w:hAnsi="" w:eastAsia=""/>
          <w:b/>
          <w:i w:val="0"/>
          <w:color w:val="000000"/>
          <w:sz w:val="22"/>
        </w:rPr>
        <w:t xml:space="preserve">Agrani High School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rHeight w:hRule="exact" w:val="300"/>
        </w:trPr>
        <w:tc>
          <w:tcPr>
            <w:tcW w:type="dxa" w:w="3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8" w:after="0"/>
              <w:ind w:left="36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Secondary School Certificate (SSC)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3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34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GPA: 5.0 out of 5.0 </w:t>
            </w:r>
          </w:p>
        </w:tc>
      </w:tr>
      <w:tr>
        <w:trPr>
          <w:trHeight w:hRule="exact" w:val="352"/>
        </w:trPr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38" w:after="0"/>
              <w:ind w:left="36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Group: Science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8" w:after="0"/>
              <w:ind w:left="2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1170"/>
            <w:vMerge/>
            <w:tcBorders/>
          </w:tcPr>
          <w:p/>
        </w:tc>
        <w:tc>
          <w:tcPr>
            <w:tcW w:type="dxa" w:w="3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34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Passing Year: 2015 </w:t>
            </w:r>
          </w:p>
        </w:tc>
      </w:tr>
    </w:tbl>
    <w:p>
      <w:pPr>
        <w:autoSpaceDN w:val="0"/>
        <w:autoSpaceDE w:val="0"/>
        <w:widowControl/>
        <w:spacing w:line="197" w:lineRule="auto" w:before="350" w:after="0"/>
        <w:ind w:left="720" w:right="0" w:firstLine="0"/>
        <w:jc w:val="left"/>
      </w:pPr>
      <w:r>
        <w:rPr>
          <w:rFonts w:ascii="" w:hAnsi="" w:eastAsia=""/>
          <w:b/>
          <w:i w:val="0"/>
          <w:color w:val="000000"/>
          <w:sz w:val="28"/>
        </w:rPr>
        <w:t xml:space="preserve">WORK EXPERIENCES: </w:t>
      </w:r>
    </w:p>
    <w:p>
      <w:pPr>
        <w:autoSpaceDN w:val="0"/>
        <w:autoSpaceDE w:val="0"/>
        <w:widowControl/>
        <w:spacing w:line="197" w:lineRule="auto" w:before="214" w:after="6"/>
        <w:ind w:left="720" w:right="0" w:firstLine="0"/>
        <w:jc w:val="left"/>
      </w:pPr>
      <w:r>
        <w:rPr>
          <w:rFonts w:ascii="" w:hAnsi="" w:eastAsia=""/>
          <w:b/>
          <w:i w:val="0"/>
          <w:color w:val="000000"/>
          <w:sz w:val="22"/>
        </w:rPr>
        <w:t>Avery Dennison Corporation (</w:t>
      </w:r>
      <w:r>
        <w:rPr>
          <w:rFonts w:ascii="" w:hAnsi="" w:eastAsia=""/>
          <w:b w:val="0"/>
          <w:i w:val="0"/>
          <w:color w:val="000000"/>
          <w:sz w:val="22"/>
        </w:rPr>
        <w:t>Paxar Bangladesh Ltd.</w:t>
      </w:r>
      <w:r>
        <w:rPr>
          <w:rFonts w:ascii="" w:hAnsi="" w:eastAsia=""/>
          <w:b/>
          <w:i w:val="0"/>
          <w:color w:val="000000"/>
          <w:sz w:val="22"/>
        </w:rPr>
        <w:t xml:space="preserve">):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3120"/>
        <w:gridCol w:w="3120"/>
        <w:gridCol w:w="3120"/>
      </w:tblGrid>
      <w:tr>
        <w:trPr>
          <w:trHeight w:hRule="exact" w:val="286"/>
        </w:trPr>
        <w:tc>
          <w:tcPr>
            <w:tcW w:type="dxa" w:w="4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360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Designation: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GTS Trainee (IT)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0" w:right="36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4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380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>Duration: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 September 2025 - Present</w:t>
            </w:r>
          </w:p>
        </w:tc>
      </w:tr>
    </w:tbl>
    <w:p>
      <w:pPr>
        <w:autoSpaceDN w:val="0"/>
        <w:autoSpaceDE w:val="0"/>
        <w:widowControl/>
        <w:spacing w:line="197" w:lineRule="auto" w:before="26" w:after="0"/>
        <w:ind w:left="720" w:right="0" w:firstLine="0"/>
        <w:jc w:val="left"/>
      </w:pPr>
      <w:r>
        <w:rPr>
          <w:rFonts w:ascii="" w:hAnsi="" w:eastAsia=""/>
          <w:b/>
          <w:i w:val="0"/>
          <w:color w:val="000000"/>
          <w:sz w:val="22"/>
        </w:rPr>
        <w:t xml:space="preserve">Job Responsibilities: </w:t>
      </w:r>
    </w:p>
    <w:p>
      <w:pPr>
        <w:autoSpaceDN w:val="0"/>
        <w:tabs>
          <w:tab w:pos="1080" w:val="left"/>
        </w:tabs>
        <w:autoSpaceDE w:val="0"/>
        <w:widowControl/>
        <w:spacing w:line="245" w:lineRule="auto" w:before="148" w:after="0"/>
        <w:ind w:left="720" w:right="72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" w:hAnsi="" w:eastAsia=""/>
          <w:b w:val="0"/>
          <w:i w:val="0"/>
          <w:color w:val="000000"/>
          <w:sz w:val="22"/>
        </w:rPr>
        <w:t xml:space="preserve">Execute enterprise operating system deployments across the network, utilizing PXE boot for automated, large-scale </w:t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 xml:space="preserve">installations. </w:t>
      </w:r>
    </w:p>
    <w:p>
      <w:pPr>
        <w:autoSpaceDN w:val="0"/>
        <w:tabs>
          <w:tab w:pos="1080" w:val="left"/>
        </w:tabs>
        <w:autoSpaceDE w:val="0"/>
        <w:widowControl/>
        <w:spacing w:line="245" w:lineRule="auto" w:before="14" w:after="0"/>
        <w:ind w:left="720" w:right="1152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" w:hAnsi="" w:eastAsia=""/>
          <w:b w:val="0"/>
          <w:i w:val="0"/>
          <w:color w:val="000000"/>
          <w:sz w:val="22"/>
        </w:rPr>
        <w:t xml:space="preserve">Configure and manage Cisco Catalyst (2960 &amp; 9200 series) switches, MikroTik routers, and Cisco/Meraki Access </w:t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 xml:space="preserve">Points to ensure high-speed network availability. </w:t>
      </w:r>
    </w:p>
    <w:p>
      <w:pPr>
        <w:autoSpaceDN w:val="0"/>
        <w:tabs>
          <w:tab w:pos="1080" w:val="left"/>
        </w:tabs>
        <w:autoSpaceDE w:val="0"/>
        <w:widowControl/>
        <w:spacing w:line="245" w:lineRule="auto" w:before="14" w:after="0"/>
        <w:ind w:left="720" w:right="144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" w:hAnsi="" w:eastAsia=""/>
          <w:b w:val="0"/>
          <w:i w:val="0"/>
          <w:color w:val="000000"/>
          <w:sz w:val="22"/>
        </w:rPr>
        <w:t xml:space="preserve">Provision and troubleshoot IP Phones and IP-based printers to maintain seamless office communication and </w:t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 xml:space="preserve">document workflows. </w:t>
      </w:r>
    </w:p>
    <w:p>
      <w:pPr>
        <w:autoSpaceDN w:val="0"/>
        <w:autoSpaceDE w:val="0"/>
        <w:widowControl/>
        <w:spacing w:line="228" w:lineRule="auto" w:before="16" w:after="0"/>
        <w:ind w:left="72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" w:hAnsi="" w:eastAsia=""/>
          <w:b w:val="0"/>
          <w:i w:val="0"/>
          <w:color w:val="000000"/>
          <w:sz w:val="22"/>
        </w:rPr>
        <w:t xml:space="preserve">Diagnose and resolve complex network connectivity issues, including device-level troubleshooting for end-users. </w:t>
      </w:r>
    </w:p>
    <w:p>
      <w:pPr>
        <w:autoSpaceDN w:val="0"/>
        <w:tabs>
          <w:tab w:pos="1080" w:val="left"/>
        </w:tabs>
        <w:autoSpaceDE w:val="0"/>
        <w:widowControl/>
        <w:spacing w:line="245" w:lineRule="auto" w:before="14" w:after="0"/>
        <w:ind w:left="720" w:right="86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" w:hAnsi="" w:eastAsia=""/>
          <w:b w:val="0"/>
          <w:i w:val="0"/>
          <w:color w:val="000000"/>
          <w:sz w:val="22"/>
        </w:rPr>
        <w:t>Manage high-volume service requests through the ticketing system</w:t>
      </w:r>
      <w:r>
        <w:rPr>
          <w:rFonts w:ascii="" w:hAnsi="" w:eastAsia=""/>
          <w:b/>
          <w:i w:val="0"/>
          <w:color w:val="000000"/>
          <w:sz w:val="22"/>
        </w:rPr>
        <w:t xml:space="preserve"> (ServiceNow)</w:t>
      </w:r>
      <w:r>
        <w:rPr>
          <w:rFonts w:ascii="" w:hAnsi="" w:eastAsia=""/>
          <w:b w:val="0"/>
          <w:i w:val="0"/>
          <w:color w:val="000000"/>
          <w:sz w:val="22"/>
        </w:rPr>
        <w:t xml:space="preserve">, ensuring all user support issues </w:t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 xml:space="preserve">are resolved within SLA (Service Level Agreement) timelines. </w:t>
      </w:r>
    </w:p>
    <w:p>
      <w:pPr>
        <w:autoSpaceDN w:val="0"/>
        <w:autoSpaceDE w:val="0"/>
        <w:widowControl/>
        <w:spacing w:line="228" w:lineRule="auto" w:before="14" w:after="0"/>
        <w:ind w:left="72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" w:hAnsi="" w:eastAsia=""/>
          <w:b w:val="0"/>
          <w:i w:val="0"/>
          <w:color w:val="000000"/>
          <w:sz w:val="22"/>
        </w:rPr>
        <w:t xml:space="preserve">Provide dedicated technical support to end-users, focusing on hardware, software, and secure network access. </w:t>
      </w:r>
    </w:p>
    <w:p>
      <w:pPr>
        <w:autoSpaceDN w:val="0"/>
        <w:tabs>
          <w:tab w:pos="1080" w:val="left"/>
        </w:tabs>
        <w:autoSpaceDE w:val="0"/>
        <w:widowControl/>
        <w:spacing w:line="245" w:lineRule="auto" w:before="14" w:after="0"/>
        <w:ind w:left="720" w:right="86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" w:hAnsi="" w:eastAsia=""/>
          <w:b w:val="0"/>
          <w:i w:val="0"/>
          <w:color w:val="000000"/>
          <w:sz w:val="22"/>
        </w:rPr>
        <w:t xml:space="preserve">Support </w:t>
      </w:r>
      <w:r>
        <w:rPr>
          <w:rFonts w:ascii="" w:hAnsi="" w:eastAsia=""/>
          <w:b/>
          <w:i w:val="0"/>
          <w:color w:val="000000"/>
          <w:sz w:val="22"/>
        </w:rPr>
        <w:t>Zero Trust</w:t>
      </w:r>
      <w:r>
        <w:rPr>
          <w:rFonts w:ascii="" w:hAnsi="" w:eastAsia=""/>
          <w:b w:val="0"/>
          <w:i w:val="0"/>
          <w:color w:val="000000"/>
          <w:sz w:val="22"/>
        </w:rPr>
        <w:t xml:space="preserve"> initiatives, such as the deployment of </w:t>
      </w:r>
      <w:r>
        <w:rPr>
          <w:rFonts w:ascii="" w:hAnsi="" w:eastAsia=""/>
          <w:b/>
          <w:i w:val="0"/>
          <w:color w:val="000000"/>
          <w:sz w:val="22"/>
        </w:rPr>
        <w:t>Okta Verify (FastPass)</w:t>
      </w:r>
      <w:r>
        <w:rPr>
          <w:rFonts w:ascii="" w:hAnsi="" w:eastAsia=""/>
          <w:b w:val="0"/>
          <w:i w:val="0"/>
          <w:color w:val="000000"/>
          <w:sz w:val="22"/>
        </w:rPr>
        <w:t xml:space="preserve"> and digital certificates via </w:t>
      </w:r>
      <w:r>
        <w:rPr>
          <w:rFonts w:ascii="" w:hAnsi="" w:eastAsia=""/>
          <w:b/>
          <w:i w:val="0"/>
          <w:color w:val="000000"/>
          <w:sz w:val="22"/>
        </w:rPr>
        <w:t xml:space="preserve">Manage </w:t>
      </w:r>
      <w:r>
        <w:tab/>
      </w:r>
      <w:r>
        <w:rPr>
          <w:rFonts w:ascii="" w:hAnsi="" w:eastAsia=""/>
          <w:b/>
          <w:i w:val="0"/>
          <w:color w:val="000000"/>
          <w:sz w:val="22"/>
        </w:rPr>
        <w:t>Engine</w:t>
      </w:r>
      <w:r>
        <w:rPr>
          <w:rFonts w:ascii="" w:hAnsi="" w:eastAsia=""/>
          <w:b w:val="0"/>
          <w:i w:val="0"/>
          <w:color w:val="000000"/>
          <w:sz w:val="22"/>
        </w:rPr>
        <w:t xml:space="preserve"> to secure company-managed PCs. </w:t>
      </w:r>
    </w:p>
    <w:p>
      <w:pPr>
        <w:autoSpaceDN w:val="0"/>
        <w:tabs>
          <w:tab w:pos="1080" w:val="left"/>
        </w:tabs>
        <w:autoSpaceDE w:val="0"/>
        <w:widowControl/>
        <w:spacing w:line="245" w:lineRule="auto" w:before="14" w:after="0"/>
        <w:ind w:left="720" w:right="57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" w:hAnsi="" w:eastAsia=""/>
          <w:b w:val="0"/>
          <w:i w:val="0"/>
          <w:color w:val="000000"/>
          <w:sz w:val="22"/>
        </w:rPr>
        <w:t xml:space="preserve">Enforce organizational Health and Safety protocols, ensuring all technical installations and maintenance tasks comply </w:t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>with corporate safety standards</w:t>
      </w:r>
      <w:r>
        <w:rPr>
          <w:rFonts w:ascii="Arial" w:hAnsi="Arial" w:eastAsia="Arial"/>
          <w:b w:val="0"/>
          <w:i w:val="0"/>
          <w:color w:val="000000"/>
          <w:sz w:val="22"/>
        </w:rPr>
        <w:t>.</w:t>
      </w:r>
    </w:p>
    <w:p>
      <w:pPr>
        <w:autoSpaceDN w:val="0"/>
        <w:autoSpaceDE w:val="0"/>
        <w:widowControl/>
        <w:spacing w:line="228" w:lineRule="auto" w:before="286" w:after="0"/>
        <w:ind w:left="720" w:right="0" w:firstLine="0"/>
        <w:jc w:val="left"/>
      </w:pPr>
      <w:r>
        <w:rPr>
          <w:rFonts w:ascii="" w:hAnsi="" w:eastAsia=""/>
          <w:b/>
          <w:i w:val="0"/>
          <w:color w:val="000000"/>
          <w:sz w:val="28"/>
        </w:rPr>
        <w:t>Projects:</w:t>
      </w:r>
      <w:r>
        <w:rPr>
          <w:rFonts w:ascii="Arial" w:hAnsi="Arial" w:eastAsia="Arial"/>
          <w:b/>
          <w:i w:val="0"/>
          <w:color w:val="000000"/>
          <w:sz w:val="28"/>
        </w:rPr>
        <w:t>​</w:t>
      </w:r>
    </w:p>
    <w:p>
      <w:pPr>
        <w:autoSpaceDN w:val="0"/>
        <w:tabs>
          <w:tab w:pos="1080" w:val="left"/>
        </w:tabs>
        <w:autoSpaceDE w:val="0"/>
        <w:widowControl/>
        <w:spacing w:line="245" w:lineRule="auto" w:before="138" w:after="0"/>
        <w:ind w:left="720" w:right="57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" w:hAnsi="" w:eastAsia=""/>
          <w:b/>
          <w:i w:val="0"/>
          <w:color w:val="000000"/>
          <w:sz w:val="22"/>
        </w:rPr>
        <w:t>GTS Procurement Hub |Avery Dennison Corp.:</w:t>
      </w:r>
      <w:r>
        <w:rPr>
          <w:rFonts w:ascii="" w:hAnsi="" w:eastAsia=""/>
          <w:b w:val="0"/>
          <w:i w:val="0"/>
          <w:color w:val="000000"/>
          <w:sz w:val="22"/>
        </w:rPr>
        <w:t xml:space="preserve"> Automated Procurement Tracking System developed using JavaScript, </w:t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 xml:space="preserve">HTML, and CSS. </w:t>
      </w:r>
    </w:p>
    <w:p>
      <w:pPr>
        <w:autoSpaceDN w:val="0"/>
        <w:tabs>
          <w:tab w:pos="1080" w:val="left"/>
        </w:tabs>
        <w:autoSpaceDE w:val="0"/>
        <w:widowControl/>
        <w:spacing w:line="245" w:lineRule="auto" w:before="14" w:after="0"/>
        <w:ind w:left="720" w:right="144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" w:hAnsi="" w:eastAsia=""/>
          <w:b/>
          <w:i w:val="0"/>
          <w:color w:val="000000"/>
          <w:sz w:val="22"/>
        </w:rPr>
        <w:t xml:space="preserve">Digital Classroom Management Application | Dhaka City College: </w:t>
      </w:r>
      <w:r>
        <w:rPr>
          <w:rFonts w:ascii="" w:hAnsi="" w:eastAsia=""/>
          <w:b w:val="0"/>
          <w:i w:val="0"/>
          <w:color w:val="000000"/>
          <w:sz w:val="22"/>
        </w:rPr>
        <w:t xml:space="preserve">Android application for digitally tracking, </w:t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 xml:space="preserve">monitoring classroom operations developed using Flutter framework. 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8" w:lineRule="auto" w:before="738" w:after="0"/>
        <w:ind w:left="720" w:right="0" w:firstLine="0"/>
        <w:jc w:val="left"/>
      </w:pPr>
      <w:r>
        <w:rPr>
          <w:rFonts w:ascii="" w:hAnsi="" w:eastAsia=""/>
          <w:b/>
          <w:i w:val="0"/>
          <w:color w:val="000000"/>
          <w:sz w:val="28"/>
        </w:rPr>
        <w:t>SKILLS:</w:t>
      </w:r>
      <w:r>
        <w:rPr>
          <w:rFonts w:ascii="Arial" w:hAnsi="Arial" w:eastAsia="Arial"/>
          <w:b/>
          <w:i w:val="0"/>
          <w:color w:val="000000"/>
          <w:sz w:val="28"/>
        </w:rPr>
        <w:t>​</w:t>
      </w:r>
    </w:p>
    <w:p>
      <w:pPr>
        <w:autoSpaceDN w:val="0"/>
        <w:autoSpaceDE w:val="0"/>
        <w:widowControl/>
        <w:spacing w:line="197" w:lineRule="auto" w:before="174" w:after="0"/>
        <w:ind w:left="720" w:right="0" w:firstLine="0"/>
        <w:jc w:val="left"/>
      </w:pPr>
      <w:r>
        <w:rPr>
          <w:rFonts w:ascii="" w:hAnsi="" w:eastAsia=""/>
          <w:b/>
          <w:i w:val="0"/>
          <w:color w:val="000000"/>
          <w:sz w:val="22"/>
        </w:rPr>
        <w:t xml:space="preserve">Technical Skills: </w:t>
      </w:r>
      <w:r>
        <w:rPr>
          <w:rFonts w:ascii="" w:hAnsi="" w:eastAsia=""/>
          <w:b w:val="0"/>
          <w:i w:val="0"/>
          <w:color w:val="000000"/>
          <w:sz w:val="22"/>
        </w:rPr>
        <w:t xml:space="preserve">Flutter, JavaScript, Google AppScript, MS Suite, Cisco IOS. </w:t>
      </w:r>
    </w:p>
    <w:p>
      <w:pPr>
        <w:autoSpaceDN w:val="0"/>
        <w:autoSpaceDE w:val="0"/>
        <w:widowControl/>
        <w:spacing w:line="197" w:lineRule="auto" w:before="128" w:after="0"/>
        <w:ind w:left="720" w:right="0" w:firstLine="0"/>
        <w:jc w:val="left"/>
      </w:pPr>
      <w:r>
        <w:rPr>
          <w:rFonts w:ascii="" w:hAnsi="" w:eastAsia=""/>
          <w:b/>
          <w:i w:val="0"/>
          <w:color w:val="000000"/>
          <w:sz w:val="22"/>
        </w:rPr>
        <w:t xml:space="preserve">Soft Skills: </w:t>
      </w:r>
      <w:r>
        <w:rPr>
          <w:rFonts w:ascii="" w:hAnsi="" w:eastAsia=""/>
          <w:b w:val="0"/>
          <w:i w:val="0"/>
          <w:color w:val="000000"/>
          <w:sz w:val="22"/>
        </w:rPr>
        <w:t xml:space="preserve">Communication, Adaptability, Critical Thinking &amp; Problem Solving </w:t>
      </w:r>
    </w:p>
    <w:p>
      <w:pPr>
        <w:autoSpaceDN w:val="0"/>
        <w:autoSpaceDE w:val="0"/>
        <w:widowControl/>
        <w:spacing w:line="197" w:lineRule="auto" w:before="128" w:after="0"/>
        <w:ind w:left="720" w:right="0" w:firstLine="0"/>
        <w:jc w:val="left"/>
      </w:pPr>
      <w:r>
        <w:rPr>
          <w:rFonts w:ascii="" w:hAnsi="" w:eastAsia=""/>
          <w:b/>
          <w:i w:val="0"/>
          <w:color w:val="000000"/>
          <w:sz w:val="22"/>
        </w:rPr>
        <w:t xml:space="preserve">Language: </w:t>
      </w:r>
      <w:r>
        <w:rPr>
          <w:rFonts w:ascii="" w:hAnsi="" w:eastAsia=""/>
          <w:b w:val="0"/>
          <w:i w:val="0"/>
          <w:color w:val="000000"/>
          <w:sz w:val="22"/>
        </w:rPr>
        <w:t xml:space="preserve">Bengali, English (Fluent), Hindi (Speaking &amp; Listening) </w:t>
      </w:r>
    </w:p>
    <w:p>
      <w:pPr>
        <w:autoSpaceDN w:val="0"/>
        <w:autoSpaceDE w:val="0"/>
        <w:widowControl/>
        <w:spacing w:line="226" w:lineRule="auto" w:before="368" w:after="18"/>
        <w:ind w:left="720" w:right="0" w:firstLine="0"/>
        <w:jc w:val="left"/>
      </w:pPr>
      <w:r>
        <w:rPr>
          <w:rFonts w:ascii="" w:hAnsi="" w:eastAsia=""/>
          <w:b/>
          <w:i w:val="0"/>
          <w:color w:val="000000"/>
          <w:sz w:val="28"/>
        </w:rPr>
        <w:t>PERSONAL DETAILS:</w:t>
      </w:r>
      <w:r>
        <w:rPr>
          <w:rFonts w:ascii="Arial" w:hAnsi="Arial" w:eastAsia="Arial"/>
          <w:b/>
          <w:i w:val="0"/>
          <w:color w:val="000000"/>
          <w:sz w:val="28"/>
        </w:rPr>
        <w:t>​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680"/>
        <w:gridCol w:w="4680"/>
      </w:tblGrid>
      <w:tr>
        <w:trPr>
          <w:trHeight w:hRule="exact" w:val="632"/>
        </w:trPr>
        <w:tc>
          <w:tcPr>
            <w:tcW w:type="dxa" w:w="1700"/>
            <w:tcBorders>
              <w:top w:sz="1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2" w:after="0"/>
              <w:ind w:left="20" w:right="144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Date of Birth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>​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Present Address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9140"/>
            <w:tcBorders>
              <w:top w:sz="1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6" w:after="0"/>
              <w:ind w:left="210" w:right="6048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: 22/08/1999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: 7/10, Bank Town, Savar, Dhaka </w:t>
            </w:r>
          </w:p>
        </w:tc>
      </w:tr>
    </w:tbl>
    <w:p>
      <w:pPr>
        <w:autoSpaceDN w:val="0"/>
        <w:tabs>
          <w:tab w:pos="2610" w:val="left"/>
        </w:tabs>
        <w:autoSpaceDE w:val="0"/>
        <w:widowControl/>
        <w:spacing w:line="245" w:lineRule="auto" w:before="0" w:after="0"/>
        <w:ind w:left="720" w:right="5616" w:firstLine="0"/>
        <w:jc w:val="left"/>
      </w:pPr>
      <w:r>
        <w:rPr>
          <w:rFonts w:ascii="" w:hAnsi="" w:eastAsia=""/>
          <w:b w:val="0"/>
          <w:i w:val="0"/>
          <w:color w:val="000000"/>
          <w:sz w:val="22"/>
        </w:rPr>
        <w:t>Permanent Address</w:t>
      </w:r>
      <w:r>
        <w:rPr>
          <w:rFonts w:ascii="Arial" w:hAnsi="Arial" w:eastAsia="Arial"/>
          <w:b w:val="0"/>
          <w:i w:val="0"/>
          <w:color w:val="000000"/>
          <w:sz w:val="22"/>
        </w:rPr>
        <w:t>​</w:t>
      </w:r>
      <w:r>
        <w:rPr>
          <w:rFonts w:ascii="" w:hAnsi="" w:eastAsia=""/>
          <w:b w:val="0"/>
          <w:i w:val="0"/>
          <w:color w:val="000000"/>
          <w:sz w:val="22"/>
        </w:rPr>
        <w:t xml:space="preserve">: Bilnalia, Nagarkanda, Faridpur (Zip – 7841) </w:t>
      </w:r>
      <w:r>
        <w:br/>
      </w:r>
      <w:r>
        <w:rPr>
          <w:rFonts w:ascii="" w:hAnsi="" w:eastAsia=""/>
          <w:b w:val="0"/>
          <w:i w:val="0"/>
          <w:color w:val="000000"/>
          <w:sz w:val="22"/>
        </w:rPr>
        <w:t>Nationality</w:t>
      </w:r>
      <w:r>
        <w:rPr>
          <w:rFonts w:ascii="Arial" w:hAnsi="Arial" w:eastAsia="Arial"/>
          <w:b w:val="0"/>
          <w:i w:val="0"/>
          <w:color w:val="000000"/>
          <w:sz w:val="22"/>
        </w:rPr>
        <w:t>​</w:t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 xml:space="preserve">: Bangladeshi </w:t>
      </w:r>
    </w:p>
    <w:p>
      <w:pPr>
        <w:autoSpaceDN w:val="0"/>
        <w:autoSpaceDE w:val="0"/>
        <w:widowControl/>
        <w:spacing w:line="228" w:lineRule="auto" w:before="366" w:after="0"/>
        <w:ind w:left="720" w:right="0" w:firstLine="0"/>
        <w:jc w:val="left"/>
      </w:pPr>
      <w:r>
        <w:rPr>
          <w:rFonts w:ascii="" w:hAnsi="" w:eastAsia=""/>
          <w:b/>
          <w:i w:val="0"/>
          <w:color w:val="000000"/>
          <w:sz w:val="28"/>
        </w:rPr>
        <w:t>REFERENCES:</w:t>
      </w:r>
      <w:r>
        <w:rPr>
          <w:rFonts w:ascii="Arial" w:hAnsi="Arial" w:eastAsia="Arial"/>
          <w:b/>
          <w:i w:val="0"/>
          <w:color w:val="000000"/>
          <w:sz w:val="28"/>
        </w:rPr>
        <w:t>​</w:t>
      </w:r>
    </w:p>
    <w:p>
      <w:pPr>
        <w:autoSpaceDN w:val="0"/>
        <w:autoSpaceDE w:val="0"/>
        <w:widowControl/>
        <w:spacing w:line="245" w:lineRule="auto" w:before="174" w:after="0"/>
        <w:ind w:left="720" w:right="5760" w:firstLine="0"/>
        <w:jc w:val="left"/>
      </w:pPr>
      <w:r>
        <w:rPr>
          <w:rFonts w:ascii="" w:hAnsi="" w:eastAsia=""/>
          <w:b w:val="0"/>
          <w:i w:val="0"/>
          <w:color w:val="000000"/>
          <w:sz w:val="22"/>
        </w:rPr>
        <w:t xml:space="preserve">Abu Saleh Musajjee </w:t>
      </w:r>
      <w:r>
        <w:br/>
      </w:r>
      <w:r>
        <w:rPr>
          <w:rFonts w:ascii="" w:hAnsi="" w:eastAsia=""/>
          <w:b w:val="0"/>
          <w:i w:val="0"/>
          <w:color w:val="000000"/>
          <w:sz w:val="22"/>
        </w:rPr>
        <w:t xml:space="preserve">GTS Site Support Lead, Bangladesh </w:t>
      </w:r>
      <w:r>
        <w:br/>
      </w:r>
      <w:r>
        <w:rPr>
          <w:rFonts w:ascii="" w:hAnsi="" w:eastAsia=""/>
          <w:b w:val="0"/>
          <w:i w:val="0"/>
          <w:color w:val="000000"/>
          <w:sz w:val="22"/>
        </w:rPr>
        <w:t xml:space="preserve">CRPAP, Information Technology, AP </w:t>
      </w:r>
      <w:r>
        <w:br/>
      </w:r>
      <w:r>
        <w:rPr>
          <w:rFonts w:ascii="" w:hAnsi="" w:eastAsia=""/>
          <w:b w:val="0"/>
          <w:i w:val="0"/>
          <w:color w:val="000000"/>
          <w:sz w:val="22"/>
        </w:rPr>
        <w:t xml:space="preserve">Avery Dennison Corporation </w:t>
      </w:r>
      <w:r>
        <w:br/>
      </w:r>
      <w:r>
        <w:rPr>
          <w:rFonts w:ascii="" w:hAnsi="" w:eastAsia=""/>
          <w:b w:val="0"/>
          <w:i w:val="0"/>
          <w:color w:val="000000"/>
          <w:sz w:val="22"/>
        </w:rPr>
        <w:t xml:space="preserve">+88 02 778 8901-12, +88 01324 414 495 </w:t>
      </w:r>
      <w:r>
        <w:br/>
      </w:r>
      <w:r>
        <w:rPr>
          <w:rFonts w:ascii="" w:hAnsi="" w:eastAsia=""/>
          <w:b w:val="0"/>
          <w:i w:val="0"/>
          <w:color w:val="000000"/>
          <w:sz w:val="22"/>
        </w:rPr>
        <w:t xml:space="preserve">3/F, Uday Tower, 57, Gulshan Avenue, Gulshan -1, Dhaka -1212 </w:t>
      </w:r>
    </w:p>
    <w:sectPr w:rsidR="00FC693F" w:rsidRPr="0006063C" w:rsidSect="00034616">
      <w:pgSz w:w="12240" w:h="15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mailto:sheakhsany369@gmail.com" TargetMode="External"/><Relationship Id="rId11" Type="http://schemas.openxmlformats.org/officeDocument/2006/relationships/hyperlink" Target="https://www.linkedin.com/in/tamzid-sheakh-sani-646946b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