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/>
        <w:jc w:val="center"/>
      </w:pPr>
      <w:r>
        <w:rPr>
          <w:b/>
          <w:color w:val="07925A"/>
          <w:sz w:val="30"/>
        </w:rPr>
        <w:t>SMARTHIRE</w:t>
      </w:r>
    </w:p>
    <w:p>
      <w:pPr>
        <w:jc w:val="center"/>
      </w:pPr>
      <w:r>
        <w:rPr>
          <w:b/>
          <w:color w:val="082B68"/>
          <w:sz w:val="60"/>
        </w:rPr>
        <w:t>Hackathon Demo Playbook</w:t>
      </w:r>
    </w:p>
    <w:p>
      <w:pPr>
        <w:jc w:val="center"/>
      </w:pPr>
      <w:r>
        <w:rPr>
          <w:color w:val="59677F"/>
          <w:sz w:val="28"/>
        </w:rPr>
        <w:t>A complete presenter guide for the AI-powered recruitment platform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2F0"/>
          <w:left w:val="single" w:sz="6" w:color="D9E2F0"/>
          <w:bottom w:val="single" w:sz="6" w:color="D9E2F0"/>
          <w:right w:val="single" w:sz="6" w:color="D9E2F0"/>
          <w:insideH w:val="single" w:sz="6" w:color="D9E2F0"/>
          <w:insideV w:val="single" w:sz="6" w:color="D9E2F0"/>
        </w:tblBorders>
      </w:tblPr>
      <w:tblGrid>
        <w:gridCol w:w="3312"/>
        <w:gridCol w:w="3312"/>
        <w:gridCol w:w="2736"/>
      </w:tblGrid>
      <w:tr>
        <w:tc>
          <w:tcPr>
            <w:tcW w:type="dxa" w:w="3331"/>
            <w:shd w:fill="082B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Demo objective</w:t>
            </w:r>
          </w:p>
        </w:tc>
        <w:tc>
          <w:tcPr>
            <w:tcW w:type="dxa" w:w="3331"/>
            <w:shd w:fill="082B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3331"/>
            <w:shd w:fill="082B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Suggested duration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Demonstrate an explainable, multi-tenant recruitment product from sign-up to admin governance.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Hackathon judges, recruiters, technical reviewers, and potential users.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12-15 minutes live demo + 3-5 minutes Q&amp;A.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6E7DD"/>
          <w:left w:val="single" w:sz="6" w:color="D6E7DD"/>
          <w:bottom w:val="single" w:sz="6" w:color="D6E7DD"/>
          <w:right w:val="single" w:sz="6" w:color="D6E7DD"/>
          <w:insideH w:val="single" w:sz="6" w:color="D6E7DD"/>
          <w:insideV w:val="single" w:sz="6" w:color="D6E7DD"/>
        </w:tblBorders>
      </w:tblPr>
      <w:tblGrid>
        <w:gridCol w:w="9994"/>
      </w:tblGrid>
      <w:tr>
        <w:tc>
          <w:tcPr>
            <w:tcW w:type="dxa" w:w="9994"/>
            <w:shd w:fill="FFF8E8"/>
          </w:tcPr>
          <w:p>
            <w:pPr>
              <w:spacing w:after="40"/>
            </w:pPr>
            <w:r>
              <w:rPr>
                <w:b/>
                <w:color w:val="082B68"/>
              </w:rPr>
              <w:t xml:space="preserve">Presenter promise: </w:t>
            </w:r>
            <w:r>
              <w:t>SmartHire does not automate hiring or rejection. It gives people structured, explainable decision support and keeps final decisions with recruiters.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color w:val="1744BD"/>
        </w:rPr>
        <w:t>1. Product at a glance</w:t>
      </w:r>
    </w:p>
    <w:p>
      <w:pPr>
        <w:spacing w:after="120" w:line="269" w:lineRule="auto"/>
      </w:pPr>
      <w:r>
        <w:t>SmartHire is a role-based recruitment platform built for applicants, employers, and platform administrators. It combines job discovery, candidate management, explainable resume matching, workspace controls, subscription governance, and auditability in one product.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2F0"/>
          <w:left w:val="single" w:sz="6" w:color="D9E2F0"/>
          <w:bottom w:val="single" w:sz="6" w:color="D9E2F0"/>
          <w:right w:val="single" w:sz="6" w:color="D9E2F0"/>
          <w:insideH w:val="single" w:sz="6" w:color="D9E2F0"/>
          <w:insideV w:val="single" w:sz="6" w:color="D9E2F0"/>
        </w:tblBorders>
      </w:tblPr>
      <w:tblGrid>
        <w:gridCol w:w="1584"/>
        <w:gridCol w:w="3888"/>
        <w:gridCol w:w="3888"/>
      </w:tblGrid>
      <w:tr>
        <w:tc>
          <w:tcPr>
            <w:tcW w:type="dxa" w:w="3331"/>
            <w:shd w:fill="082B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331"/>
            <w:shd w:fill="082B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Primary value</w:t>
            </w:r>
          </w:p>
        </w:tc>
        <w:tc>
          <w:tcPr>
            <w:tcW w:type="dxa" w:w="3331"/>
            <w:shd w:fill="082B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What to demonstrate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Applicant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Find relevant work and understand applications.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Profile, job board, salary, resume upload, match report, notifications.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Employer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Run a structured hiring process.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Workspace, jobs, ATS pipeline, scorecards, candidates, plan requests.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Administrator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Protect platform quality and commercial governance.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Admin setup, user controls, operations, SaaS plans, approvals, auditability.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color w:val="1744BD"/>
        </w:rPr>
        <w:t>2. Demo setup before recording</w:t>
      </w:r>
    </w:p>
    <w:p>
      <w:pPr>
        <w:pStyle w:val="ListNumber"/>
        <w:spacing w:after="80"/>
      </w:pPr>
      <w:r>
        <w:t>Start the backend and frontend. Confirm /health returns healthy and open the application in a fresh browser session.</w:t>
      </w:r>
    </w:p>
    <w:p>
      <w:pPr>
        <w:pStyle w:val="ListNumber"/>
        <w:spacing w:after="80"/>
      </w:pPr>
      <w:r>
        <w:t>Prepare one Employer account, one Applicant account, and one Admin account. Use realistic but safe demo data.</w:t>
      </w:r>
    </w:p>
    <w:p>
      <w:pPr>
        <w:pStyle w:val="ListNumber"/>
        <w:spacing w:after="80"/>
      </w:pPr>
      <w:r>
        <w:t>Create at least one published job: Senior Backend Engineer, salary PKR 150,000-250,000/month, skills Python, FastAPI, PostgreSQL.</w:t>
      </w:r>
    </w:p>
    <w:p>
      <w:pPr>
        <w:pStyle w:val="ListNumber"/>
        <w:spacing w:after="80"/>
      </w:pPr>
      <w:r>
        <w:t>Prepare a text-based PDF resume containing some, but not all, required skills.</w:t>
      </w:r>
    </w:p>
    <w:p>
      <w:pPr>
        <w:pStyle w:val="ListNumber"/>
        <w:spacing w:after="80"/>
      </w:pPr>
      <w:r>
        <w:t>Prepare one pending plan-change request so the approval flow can be shown without waiting.</w:t>
      </w:r>
    </w:p>
    <w:p>
      <w:pPr>
        <w:pStyle w:val="ListNumber"/>
        <w:spacing w:after="80"/>
      </w:pPr>
      <w:r>
        <w:t>Open the app in a private/incognito browser for applicant sign-up if you want to demonstrate separate sessions.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6E7DD"/>
          <w:left w:val="single" w:sz="6" w:color="D6E7DD"/>
          <w:bottom w:val="single" w:sz="6" w:color="D6E7DD"/>
          <w:right w:val="single" w:sz="6" w:color="D6E7DD"/>
          <w:insideH w:val="single" w:sz="6" w:color="D6E7DD"/>
          <w:insideV w:val="single" w:sz="6" w:color="D6E7DD"/>
        </w:tblBorders>
      </w:tblPr>
      <w:tblGrid>
        <w:gridCol w:w="9994"/>
      </w:tblGrid>
      <w:tr>
        <w:tc>
          <w:tcPr>
            <w:tcW w:type="dxa" w:w="9994"/>
            <w:shd w:fill="EAF3FF"/>
          </w:tcPr>
          <w:p>
            <w:pPr>
              <w:spacing w:after="40"/>
            </w:pPr>
            <w:r>
              <w:rPr>
                <w:b/>
                <w:color w:val="082B68"/>
              </w:rPr>
              <w:t xml:space="preserve">Recording tip: </w:t>
            </w:r>
            <w:r>
              <w:t>Keep three tabs open: Employer workspace, Applicant workspace, and Admin Control Center. This makes role switching fast and prevents accidental logout.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color w:val="1744BD"/>
        </w:rPr>
        <w:t>3. Suggested live-demo story</w:t>
      </w:r>
    </w:p>
    <w:p>
      <w:pPr>
        <w:spacing w:after="120" w:line="269" w:lineRule="auto"/>
      </w:pPr>
      <w:r>
        <w:t>Use a simple story: “A growing university or technology company needs a backend engineer. The employer creates a transparent job posting. An applicant applies. SmartHire analyzes the resume with evidence. The recruiter manages the candidate. The employer requests a plan upgrade. The platform admin reviews and approves it.”</w:t>
      </w:r>
    </w:p>
    <w:p>
      <w:pPr>
        <w:pStyle w:val="Heading1"/>
        <w:keepNext/>
      </w:pPr>
      <w:r>
        <w:rPr>
          <w:color w:val="1744BD"/>
        </w:rPr>
        <w:t>4. Employer flow</w:t>
      </w:r>
    </w:p>
    <w:p>
      <w:pPr>
        <w:pStyle w:val="Heading2"/>
        <w:keepNext/>
      </w:pPr>
      <w:r>
        <w:rPr>
          <w:color w:val="1744BD"/>
        </w:rPr>
        <w:t>4.1 Employer account creation and verification</w:t>
      </w:r>
    </w:p>
    <w:p>
      <w:pPr>
        <w:pStyle w:val="ListNumber"/>
        <w:spacing w:after="80"/>
      </w:pPr>
      <w:r>
        <w:t>Open Register and select Employer.</w:t>
      </w:r>
    </w:p>
    <w:p>
      <w:pPr>
        <w:pStyle w:val="ListNumber"/>
        <w:spacing w:after="80"/>
      </w:pPr>
      <w:r>
        <w:t>Enter name, work email, company name, and password; alternatively show Google registration.</w:t>
      </w:r>
    </w:p>
    <w:p>
      <w:pPr>
        <w:pStyle w:val="ListNumber"/>
        <w:spacing w:after="80"/>
      </w:pPr>
      <w:r>
        <w:t>Verify the email with the code or verification link.</w:t>
      </w:r>
    </w:p>
    <w:p>
      <w:pPr>
        <w:pStyle w:val="ListNumber"/>
        <w:spacing w:after="80"/>
      </w:pPr>
      <w:r>
        <w:t>Explain that an employer workspace is created and the owner receives workspace management permissions.</w:t>
      </w:r>
    </w:p>
    <w:p>
      <w:pPr>
        <w:pStyle w:val="Heading2"/>
        <w:keepNext/>
      </w:pPr>
      <w:r>
        <w:rPr>
          <w:color w:val="1744BD"/>
        </w:rPr>
        <w:t>4.2 Employer dashboard</w:t>
      </w:r>
    </w:p>
    <w:p>
      <w:pPr>
        <w:pStyle w:val="ListBullet"/>
        <w:spacing w:after="60"/>
      </w:pPr>
      <w:r>
        <w:t>Active jobs, total applicants, average match score, and total jobs provide the opening operational summary.</w:t>
      </w:r>
    </w:p>
    <w:p>
      <w:pPr>
        <w:pStyle w:val="ListBullet"/>
        <w:spacing w:after="60"/>
      </w:pPr>
      <w:r>
        <w:t>Recent jobs provide access to candidate lists.</w:t>
      </w:r>
    </w:p>
    <w:p>
      <w:pPr>
        <w:pStyle w:val="ListBullet"/>
        <w:spacing w:after="60"/>
      </w:pPr>
      <w:r>
        <w:t>The left navigation exposes My Jobs, Post a Job, Hiring Pipeline, Recruiter Team, AI Scorecards, Workspace &amp; Billing, Notifications, and Profile.</w:t>
      </w:r>
    </w:p>
    <w:p>
      <w:pPr>
        <w:pStyle w:val="Heading2"/>
        <w:keepNext/>
      </w:pPr>
      <w:r>
        <w:rPr>
          <w:color w:val="1744BD"/>
        </w:rPr>
        <w:t>4.3 Post a transparent job</w:t>
      </w:r>
    </w:p>
    <w:p>
      <w:pPr>
        <w:pStyle w:val="ListNumber"/>
        <w:spacing w:after="80"/>
      </w:pPr>
      <w:r>
        <w:t>Open Post a Job.</w:t>
      </w:r>
    </w:p>
    <w:p>
      <w:pPr>
        <w:pStyle w:val="ListNumber"/>
        <w:spacing w:after="80"/>
      </w:pPr>
      <w:r>
        <w:t>Enter the title, detailed description, required skills, location, employment type, experience level, and status.</w:t>
      </w:r>
    </w:p>
    <w:p>
      <w:pPr>
        <w:pStyle w:val="ListNumber"/>
        <w:spacing w:after="80"/>
      </w:pPr>
      <w:r>
        <w:t>Enter minimum and maximum monthly salary in PKR. Explain that salary is shown to applicants before they apply.</w:t>
      </w:r>
    </w:p>
    <w:p>
      <w:pPr>
        <w:pStyle w:val="ListNumber"/>
        <w:spacing w:after="80"/>
      </w:pPr>
      <w:r>
        <w:t>Publish the job. Then open My Jobs and show the salary column and applicant 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90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8 0733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0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677F"/>
          <w:sz w:val="18"/>
        </w:rPr>
        <w:t>Figure 1. Employer job-posting experience. Salary fields are included in the current product flow.</w:t>
      </w:r>
    </w:p>
    <w:p>
      <w:pPr>
        <w:pStyle w:val="Heading2"/>
        <w:keepNext/>
      </w:pPr>
      <w:r>
        <w:rPr>
          <w:color w:val="1744BD"/>
        </w:rPr>
        <w:t>4.4 Employer ATS and AI scorecard</w:t>
      </w:r>
    </w:p>
    <w:p>
      <w:pPr>
        <w:pStyle w:val="ListBullet"/>
        <w:spacing w:after="60"/>
      </w:pPr>
      <w:r>
        <w:t>Hiring Pipeline supports recruiter workflow stages, such as Applied, Screening, Interview, Offer, Hired, and Rejected.</w:t>
      </w:r>
    </w:p>
    <w:p>
      <w:pPr>
        <w:pStyle w:val="ListBullet"/>
        <w:spacing w:after="60"/>
      </w:pPr>
      <w:r>
        <w:t>Candidate workspace supports assignments, tags, private notes, and an activity timeline.</w:t>
      </w:r>
    </w:p>
    <w:p>
      <w:pPr>
        <w:pStyle w:val="ListBullet"/>
        <w:spacing w:after="60"/>
      </w:pPr>
      <w:r>
        <w:t>AI Scorecards let the employer configure relevance, skills, experience, role alignment, domain knowledge, and education/certification weights.</w:t>
      </w:r>
    </w:p>
    <w:p>
      <w:pPr>
        <w:pStyle w:val="ListBullet"/>
        <w:spacing w:after="60"/>
      </w:pPr>
      <w:r>
        <w:t>Explain that score changes do not make automatic hiring decisions; human review remains required.</w:t>
      </w:r>
    </w:p>
    <w:p>
      <w:pPr>
        <w:pStyle w:val="Heading1"/>
        <w:keepNext/>
      </w:pPr>
      <w:r>
        <w:rPr>
          <w:color w:val="1744BD"/>
        </w:rPr>
        <w:t>5. Applicant flow</w:t>
      </w:r>
    </w:p>
    <w:p>
      <w:pPr>
        <w:pStyle w:val="Heading2"/>
        <w:keepNext/>
      </w:pPr>
      <w:r>
        <w:rPr>
          <w:color w:val="1744BD"/>
        </w:rPr>
        <w:t>5.1 Applicant registration and profile</w:t>
      </w:r>
    </w:p>
    <w:p>
      <w:pPr>
        <w:pStyle w:val="ListNumber"/>
        <w:spacing w:after="80"/>
      </w:pPr>
      <w:r>
        <w:t>Open Register and choose Applicant.</w:t>
      </w:r>
    </w:p>
    <w:p>
      <w:pPr>
        <w:pStyle w:val="ListNumber"/>
        <w:spacing w:after="80"/>
      </w:pPr>
      <w:r>
        <w:t>Create the account or use Google registration.</w:t>
      </w:r>
    </w:p>
    <w:p>
      <w:pPr>
        <w:pStyle w:val="ListNumber"/>
        <w:spacing w:after="80"/>
      </w:pPr>
      <w:r>
        <w:t>Verify the email.</w:t>
      </w:r>
    </w:p>
    <w:p>
      <w:pPr>
        <w:pStyle w:val="ListNumber"/>
        <w:spacing w:after="80"/>
      </w:pPr>
      <w:r>
        <w:t>Open Profile and show the applicant fields: contact information, headline, skills, education, languages, experience, availability, work preferences, and portfolio links.</w:t>
      </w:r>
    </w:p>
    <w:p>
      <w:pPr>
        <w:pStyle w:val="Heading2"/>
        <w:keepNext/>
      </w:pPr>
      <w:r>
        <w:rPr>
          <w:color w:val="1744BD"/>
        </w:rPr>
        <w:t>5.2 Browse, inspect, and apply</w:t>
      </w:r>
    </w:p>
    <w:p>
      <w:pPr>
        <w:pStyle w:val="ListNumber"/>
        <w:spacing w:after="80"/>
      </w:pPr>
      <w:r>
        <w:t>Open Job Board and search for the backend role.</w:t>
      </w:r>
    </w:p>
    <w:p>
      <w:pPr>
        <w:pStyle w:val="ListNumber"/>
        <w:spacing w:after="80"/>
      </w:pPr>
      <w:r>
        <w:t>Open job details. Highlight company, location, employment type, skills, experience level, and salary range.</w:t>
      </w:r>
    </w:p>
    <w:p>
      <w:pPr>
        <w:pStyle w:val="ListNumber"/>
        <w:spacing w:after="80"/>
      </w:pPr>
      <w:r>
        <w:t>Upload the prepared PDF/DOCX resume and submit.</w:t>
      </w:r>
    </w:p>
    <w:p>
      <w:pPr>
        <w:pStyle w:val="ListNumber"/>
        <w:spacing w:after="80"/>
      </w:pPr>
      <w:r>
        <w:t>Explain the duplicate-application protection: the applicant cannot apply twice to the same job.</w:t>
      </w:r>
    </w:p>
    <w:p>
      <w:pPr>
        <w:pStyle w:val="Heading2"/>
        <w:keepNext/>
      </w:pPr>
      <w:r>
        <w:rPr>
          <w:color w:val="1744BD"/>
        </w:rPr>
        <w:t>5.3 Applicant results and transparency</w:t>
      </w:r>
    </w:p>
    <w:p>
      <w:pPr>
        <w:pStyle w:val="ListBullet"/>
        <w:spacing w:after="60"/>
      </w:pPr>
      <w:r>
        <w:t>My Applications shows processing state, final match score, and AI insight.</w:t>
      </w:r>
    </w:p>
    <w:p>
      <w:pPr>
        <w:pStyle w:val="ListBullet"/>
        <w:spacing w:after="60"/>
      </w:pPr>
      <w:r>
        <w:t>The job details page keeps salary visible at application time.</w:t>
      </w:r>
    </w:p>
    <w:p>
      <w:pPr>
        <w:pStyle w:val="ListBullet"/>
        <w:spacing w:after="60"/>
      </w:pPr>
      <w:r>
        <w:t>The explainable report shows component scores, matched skills, evidence, missing evidence, strengths, gaps, provider state, and recommendation.</w:t>
      </w:r>
    </w:p>
    <w:p>
      <w:pPr>
        <w:pStyle w:val="ListBullet"/>
        <w:spacing w:after="60"/>
      </w:pPr>
      <w:r>
        <w:t>If an application is already submitted, the user sees a clear status rather than another upload form.</w:t>
      </w:r>
    </w:p>
    <w:p>
      <w:pPr>
        <w:pStyle w:val="Heading1"/>
        <w:keepNext/>
      </w:pPr>
      <w:r>
        <w:rPr>
          <w:color w:val="1744BD"/>
        </w:rPr>
        <w:t>6. Explainable AI matching</w:t>
      </w:r>
    </w:p>
    <w:p>
      <w:pPr>
        <w:spacing w:after="120" w:line="269" w:lineRule="auto"/>
      </w:pPr>
      <w:r>
        <w:t>Every valid resume is evaluated by a deterministic evidence engine. Gemini enrichment is optional and never replaces the deterministic result.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2F0"/>
          <w:left w:val="single" w:sz="6" w:color="D9E2F0"/>
          <w:bottom w:val="single" w:sz="6" w:color="D9E2F0"/>
          <w:right w:val="single" w:sz="6" w:color="D9E2F0"/>
          <w:insideH w:val="single" w:sz="6" w:color="D9E2F0"/>
          <w:insideV w:val="single" w:sz="6" w:color="D9E2F0"/>
        </w:tblBorders>
      </w:tblPr>
      <w:tblGrid>
        <w:gridCol w:w="3168"/>
        <w:gridCol w:w="1440"/>
        <w:gridCol w:w="4752"/>
      </w:tblGrid>
      <w:tr>
        <w:tc>
          <w:tcPr>
            <w:tcW w:type="dxa" w:w="3331"/>
            <w:shd w:fill="082B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Deterministic component</w:t>
            </w:r>
          </w:p>
        </w:tc>
        <w:tc>
          <w:tcPr>
            <w:tcW w:type="dxa" w:w="3331"/>
            <w:shd w:fill="082B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Default weight</w:t>
            </w:r>
          </w:p>
        </w:tc>
        <w:tc>
          <w:tcPr>
            <w:tcW w:type="dxa" w:w="3331"/>
            <w:shd w:fill="082B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How it is measured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Skills evidence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35%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Explicit skill evidence, alias normalization, and mandatory/preferred/optional priorities.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Experience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25%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Explicitly stated years compared with role seniority.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Semantic relevance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15%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TF-IDF cosine similarity: 70% word n-grams and 30% character n-grams.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Role alignment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15%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Meaningful job-title term coverage in the resume.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Domain knowledge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5%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Employer-configured domain keyword evidence.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Education/certifications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5%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Configured requirement coverage.</w:t>
            </w:r>
          </w:p>
        </w:tc>
      </w:tr>
    </w:tbl>
    <w:p>
      <w:pPr>
        <w:spacing w:after="60"/>
      </w:pPr>
    </w:p>
    <w:p>
      <w:pPr>
        <w:spacing w:after="120" w:line="269" w:lineRule="auto"/>
      </w:pPr>
      <w:r>
        <w:t>Formula: Deterministic score = sum(component score x component weight). A missing mandatory skill caps the deterministic score at 55%.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2F0"/>
          <w:left w:val="single" w:sz="6" w:color="D9E2F0"/>
          <w:bottom w:val="single" w:sz="6" w:color="D9E2F0"/>
          <w:right w:val="single" w:sz="6" w:color="D9E2F0"/>
          <w:insideH w:val="single" w:sz="6" w:color="D9E2F0"/>
          <w:insideV w:val="single" w:sz="6" w:color="D9E2F0"/>
        </w:tblBorders>
      </w:tblPr>
      <w:tblGrid>
        <w:gridCol w:w="3456"/>
        <w:gridCol w:w="5904"/>
      </w:tblGrid>
      <w:tr>
        <w:tc>
          <w:tcPr>
            <w:tcW w:type="dxa" w:w="4997"/>
            <w:shd w:fill="082B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Hybrid guardrail</w:t>
            </w:r>
          </w:p>
        </w:tc>
        <w:tc>
          <w:tcPr>
            <w:tcW w:type="dxa" w:w="4997"/>
            <w:shd w:fill="082B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Current behavior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Maximum Gemini influence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35% before confidence adjustment.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Effective AI influence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Maximum AI weight x Gemini confidence.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Manual review trigger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Difference of 25 points or more between deterministic and AI scores.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AI failure behavior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Safe deterministic fallback; the application still completes.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Protected traits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Name, email, age, gender, nationality, and other protected traits are excluded from scoring.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6E7DD"/>
          <w:left w:val="single" w:sz="6" w:color="D6E7DD"/>
          <w:bottom w:val="single" w:sz="6" w:color="D6E7DD"/>
          <w:right w:val="single" w:sz="6" w:color="D6E7DD"/>
          <w:insideH w:val="single" w:sz="6" w:color="D6E7DD"/>
          <w:insideV w:val="single" w:sz="6" w:color="D6E7DD"/>
        </w:tblBorders>
      </w:tblPr>
      <w:tblGrid>
        <w:gridCol w:w="9994"/>
      </w:tblGrid>
      <w:tr>
        <w:tc>
          <w:tcPr>
            <w:tcW w:type="dxa" w:w="9994"/>
            <w:shd w:fill="FFF8E8"/>
          </w:tcPr>
          <w:p>
            <w:pPr>
              <w:spacing w:after="40"/>
            </w:pPr>
            <w:r>
              <w:rPr>
                <w:b/>
                <w:color w:val="082B68"/>
              </w:rPr>
              <w:t xml:space="preserve">Judge-ready explanation: </w:t>
            </w:r>
            <w:r>
              <w:t>“The score is not a hiring decision. It is an auditable evidence summary. Recruiters can see why it scored that way and must retain human judgment.”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color w:val="1744BD"/>
        </w:rPr>
        <w:t>7. Admin Control Center</w:t>
      </w:r>
    </w:p>
    <w:p>
      <w:pPr>
        <w:pStyle w:val="Heading2"/>
        <w:keepNext/>
      </w:pPr>
      <w:r>
        <w:rPr>
          <w:color w:val="1744BD"/>
        </w:rPr>
        <w:t>7.1 Secure first-admin creation</w:t>
      </w:r>
    </w:p>
    <w:p>
      <w:pPr>
        <w:pStyle w:val="ListNumber"/>
        <w:spacing w:after="80"/>
      </w:pPr>
      <w:r>
        <w:t>Open /admin/setup only when the database has no administrator.</w:t>
      </w:r>
    </w:p>
    <w:p>
      <w:pPr>
        <w:pStyle w:val="ListNumber"/>
        <w:spacing w:after="80"/>
      </w:pPr>
      <w:r>
        <w:t>Enter name, email, strong password, and the private ADMIN_BOOTSTRAP_TOKEN stored in environment configuration.</w:t>
      </w:r>
    </w:p>
    <w:p>
      <w:pPr>
        <w:pStyle w:val="ListNumber"/>
        <w:spacing w:after="80"/>
      </w:pPr>
      <w:r>
        <w:t>Create the first administrator, then sign in at /admin/login.</w:t>
      </w:r>
    </w:p>
    <w:p>
      <w:pPr>
        <w:pStyle w:val="ListNumber"/>
        <w:spacing w:after="80"/>
      </w:pPr>
      <w:r>
        <w:t>Explain that public registration never creates administrators and the setup route closes once an admin exists.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7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8 0745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677F"/>
          <w:sz w:val="18"/>
        </w:rPr>
        <w:t>Figure 2. Separate Admin Control Center login experience.</w:t>
      </w:r>
    </w:p>
    <w:p>
      <w:pPr>
        <w:pStyle w:val="Heading2"/>
        <w:keepNext/>
      </w:pPr>
      <w:r>
        <w:rPr>
          <w:color w:val="1744BD"/>
        </w:rPr>
        <w:t>7.2 Admin capabilities and protections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2F0"/>
          <w:left w:val="single" w:sz="6" w:color="D9E2F0"/>
          <w:bottom w:val="single" w:sz="6" w:color="D9E2F0"/>
          <w:right w:val="single" w:sz="6" w:color="D9E2F0"/>
          <w:insideH w:val="single" w:sz="6" w:color="D9E2F0"/>
          <w:insideV w:val="single" w:sz="6" w:color="D9E2F0"/>
        </w:tblBorders>
      </w:tblPr>
      <w:tblGrid>
        <w:gridCol w:w="1800"/>
        <w:gridCol w:w="3816"/>
        <w:gridCol w:w="3744"/>
      </w:tblGrid>
      <w:tr>
        <w:tc>
          <w:tcPr>
            <w:tcW w:type="dxa" w:w="3331"/>
            <w:shd w:fill="082B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331"/>
            <w:shd w:fill="082B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Admin capability</w:t>
            </w:r>
          </w:p>
        </w:tc>
        <w:tc>
          <w:tcPr>
            <w:tcW w:type="dxa" w:w="3331"/>
            <w:shd w:fill="082B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Protection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Identity &amp; Access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View users; activate or suspend Applicants and Employers; create additional admins.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Admins cannot change an Employer/Applicant into an Admin. Admin accounts, including the current admin, cannot be suspended, activated, or role-changed through user management.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Content Control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Moderate platform job content and review job/application state.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Administrative RBAC is enforced by backend endpoints.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Operations &amp; Audit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Review activity, job processing, queue state, and platform health.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Audit records capture sensitive actions.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Intelligence Monitor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Review score distribution, AI completion, disagreement, manual-review volume, and overrides.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Protected characteristics are intentionally excluded.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SaaS Accounts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View organizations, plans, status, plan mix, and estimated MRR.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Commercial changes require approval workflow.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color w:val="1744BD"/>
        </w:rPr>
        <w:t>8. SaaS plan governance demo</w:t>
      </w:r>
    </w:p>
    <w:p>
      <w:pPr>
        <w:pStyle w:val="ListNumber"/>
        <w:spacing w:after="80"/>
      </w:pPr>
      <w:r>
        <w:t>As Employer, open Workspace &amp; Billing. Show Starter, Growth, and Scale plan cards, pricing, entitlement limits, current plan, and usage.</w:t>
      </w:r>
    </w:p>
    <w:p>
      <w:pPr>
        <w:pStyle w:val="ListNumber"/>
        <w:spacing w:after="80"/>
      </w:pPr>
      <w:r>
        <w:t>Select a different plan. Explain that this now creates a request rather than activating immediately.</w:t>
      </w:r>
    </w:p>
    <w:p>
      <w:pPr>
        <w:pStyle w:val="ListNumber"/>
        <w:spacing w:after="80"/>
      </w:pPr>
      <w:r>
        <w:t>Show the immediate browser confirmation and the employer Notification Center item.</w:t>
      </w:r>
    </w:p>
    <w:p>
      <w:pPr>
        <w:pStyle w:val="ListNumber"/>
        <w:spacing w:after="80"/>
      </w:pPr>
      <w:r>
        <w:t>As Admin, open the dedicated Plan Requests sidebar item. Show workspace, requester, current plan, requested plan, timestamp, and status.</w:t>
      </w:r>
    </w:p>
    <w:p>
      <w:pPr>
        <w:pStyle w:val="ListNumber"/>
        <w:spacing w:after="80"/>
      </w:pPr>
      <w:r>
        <w:t>Approve or reject the request. On approval, explain that the requested plan activates and the employer receives an in-app notification.</w:t>
      </w:r>
    </w:p>
    <w:p>
      <w:pPr>
        <w:pStyle w:val="ListNumber"/>
        <w:spacing w:after="80"/>
      </w:pPr>
      <w:r>
        <w:t>Return to Employer Workspace &amp; Billing and show the updated plan only after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2F0"/>
          <w:left w:val="single" w:sz="6" w:color="D9E2F0"/>
          <w:bottom w:val="single" w:sz="6" w:color="D9E2F0"/>
          <w:right w:val="single" w:sz="6" w:color="D9E2F0"/>
          <w:insideH w:val="single" w:sz="6" w:color="D9E2F0"/>
          <w:insideV w:val="single" w:sz="6" w:color="D9E2F0"/>
        </w:tblBorders>
      </w:tblPr>
      <w:tblGrid>
        <w:gridCol w:w="1440"/>
        <w:gridCol w:w="1440"/>
        <w:gridCol w:w="6480"/>
      </w:tblGrid>
      <w:tr>
        <w:tc>
          <w:tcPr>
            <w:tcW w:type="dxa" w:w="3331"/>
            <w:shd w:fill="082B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Plan</w:t>
            </w:r>
          </w:p>
        </w:tc>
        <w:tc>
          <w:tcPr>
            <w:tcW w:type="dxa" w:w="3331"/>
            <w:shd w:fill="082B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Price</w:t>
            </w:r>
          </w:p>
        </w:tc>
        <w:tc>
          <w:tcPr>
            <w:tcW w:type="dxa" w:w="3331"/>
            <w:shd w:fill="082B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Entitlements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Starter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$0/month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3 active jobs; 3 team members; 50 AI analyses/month; 500 MB storage.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Growth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$99/month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25 active jobs; 15 team members; 1,500 AI analyses/month; 10 GB storage.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Scale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$299/month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Unlimited active jobs; unlimited team members; unlimited AI analyses; 100 GB storage.</w:t>
            </w:r>
          </w:p>
        </w:tc>
      </w:tr>
    </w:tbl>
    <w:p>
      <w:pPr>
        <w:spacing w:after="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556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8 0829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55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677F"/>
          <w:sz w:val="18"/>
        </w:rPr>
        <w:t>Figure 3. Dedicated Plan Requests navigation in the Admin Control Center.</w:t>
      </w:r>
    </w:p>
    <w:p>
      <w:pPr>
        <w:pStyle w:val="Heading1"/>
        <w:keepNext/>
      </w:pPr>
      <w:r>
        <w:rPr>
          <w:color w:val="1744BD"/>
        </w:rPr>
        <w:t>9. Authentication, privacy, and notifications</w:t>
      </w:r>
    </w:p>
    <w:p>
      <w:pPr>
        <w:pStyle w:val="ListBullet"/>
        <w:spacing w:after="60"/>
      </w:pPr>
      <w:r>
        <w:t>Password sign-in uses hashed passwords and JWT access/refresh sessions.</w:t>
      </w:r>
    </w:p>
    <w:p>
      <w:pPr>
        <w:pStyle w:val="ListBullet"/>
        <w:spacing w:after="60"/>
      </w:pPr>
      <w:r>
        <w:t>Email verification is required for normal password registration.</w:t>
      </w:r>
    </w:p>
    <w:p>
      <w:pPr>
        <w:pStyle w:val="ListBullet"/>
        <w:spacing w:after="60"/>
      </w:pPr>
      <w:r>
        <w:t>Google OAuth supports Applicant and Employer registration/login; administrators use the separate Control Center login.</w:t>
      </w:r>
    </w:p>
    <w:p>
      <w:pPr>
        <w:pStyle w:val="ListBullet"/>
        <w:spacing w:after="60"/>
      </w:pPr>
      <w:r>
        <w:t>Forgot Password creates one-time, expiring reset links and revokes existing refresh sessions after a successful password reset.</w:t>
      </w:r>
    </w:p>
    <w:p>
      <w:pPr>
        <w:pStyle w:val="ListBullet"/>
        <w:spacing w:after="60"/>
      </w:pPr>
      <w:r>
        <w:t>Notifications are stored in-app. Plan requests notify the employer and all active administrators; approval/rejection notifies the requesting employer.</w:t>
      </w:r>
    </w:p>
    <w:p>
      <w:pPr>
        <w:pStyle w:val="ListBullet"/>
        <w:spacing w:after="60"/>
      </w:pPr>
      <w:r>
        <w:t>Resumes are private; employers access only authorized candidate data within their workspace.</w:t>
      </w:r>
    </w:p>
    <w:p>
      <w:pPr>
        <w:pStyle w:val="Heading1"/>
        <w:keepNext/>
      </w:pPr>
      <w:r>
        <w:rPr>
          <w:color w:val="1744BD"/>
        </w:rPr>
        <w:t>10. Recording script and timing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2F0"/>
          <w:left w:val="single" w:sz="6" w:color="D9E2F0"/>
          <w:bottom w:val="single" w:sz="6" w:color="D9E2F0"/>
          <w:right w:val="single" w:sz="6" w:color="D9E2F0"/>
          <w:insideH w:val="single" w:sz="6" w:color="D9E2F0"/>
          <w:insideV w:val="single" w:sz="6" w:color="D9E2F0"/>
        </w:tblBorders>
      </w:tblPr>
      <w:tblGrid>
        <w:gridCol w:w="1008"/>
        <w:gridCol w:w="2880"/>
        <w:gridCol w:w="5472"/>
      </w:tblGrid>
      <w:tr>
        <w:tc>
          <w:tcPr>
            <w:tcW w:type="dxa" w:w="3331"/>
            <w:shd w:fill="082B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3331"/>
            <w:shd w:fill="082B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Screen / action</w:t>
            </w:r>
          </w:p>
        </w:tc>
        <w:tc>
          <w:tcPr>
            <w:tcW w:type="dxa" w:w="3331"/>
            <w:shd w:fill="082B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Presenter line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0:00-0:45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Landing + role overview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“SmartHire supports the full hiring journey: applicants, employers, and governed platform administration.”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0:45-2:30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Employer registration + dashboard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“A verified employer gets an isolated workspace and structured hiring tools.”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2:30-4:00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Post job with salary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“Transparency begins before application: salary, requirements, and experience expectations are visible.”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4:00-6:00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Applicant registration + application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“Applicants discover roles, inspect salary and requirements, then submit a private resume.”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6:00-8:30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Match report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“This is explainable decision support: evidence, weights, missing skills, and human-review guardrails.”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8:30-10:00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Employer ATS pipeline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“Recruiters move from scored application to collaborative candidate workflow.”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10:00-12:00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Employer plan request + Admin approval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“Commercial actions are governed: employers request; admins review; only approval activates.”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12:00-13:30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Admin controls + close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“The Control Center protects identities, content, operations, intelligence, and subscriptions.”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color w:val="1744BD"/>
        </w:rPr>
        <w:t>11. Hackathon Q&amp;A preparation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2F0"/>
          <w:left w:val="single" w:sz="6" w:color="D9E2F0"/>
          <w:bottom w:val="single" w:sz="6" w:color="D9E2F0"/>
          <w:right w:val="single" w:sz="6" w:color="D9E2F0"/>
          <w:insideH w:val="single" w:sz="6" w:color="D9E2F0"/>
          <w:insideV w:val="single" w:sz="6" w:color="D9E2F0"/>
        </w:tblBorders>
      </w:tblPr>
      <w:tblGrid>
        <w:gridCol w:w="3384"/>
        <w:gridCol w:w="5976"/>
      </w:tblGrid>
      <w:tr>
        <w:tc>
          <w:tcPr>
            <w:tcW w:type="dxa" w:w="4997"/>
            <w:shd w:fill="082B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Likely question</w:t>
            </w:r>
          </w:p>
        </w:tc>
        <w:tc>
          <w:tcPr>
            <w:tcW w:type="dxa" w:w="4997"/>
            <w:shd w:fill="082B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Short answer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Does AI make the hiring decision?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No. SmartHire is decision support. Recruiters remain responsible for hiring decisions, and score disagreement triggers manual review.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How is the score explainable?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The platform stores weighted components, evidence snippets, skill coverage, scorecard snapshot, AI confidence, and hybrid weights.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How is tenant data isolated?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Jobs, candidates, pipelines, memberships, notifications, and plan data are organization-scoped; permissions are checked server-side.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How do you prevent unauthorized admin access?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No public admin registration. The first admin requires a private bootstrap token; later admins are created only by authenticated admins.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How does monetization work?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Employer workspaces have Starter, Growth, and Scale entitlements. Plan changes require admin approval in the current controlled workflow.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What is next after the hackathon?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4A"/>
                <w:sz w:val="18"/>
              </w:rPr>
              <w:t>Persistent private object storage, real payment-provider checkout, production email, managed workers, observability, and evaluation against human-reviewed hiring outcomes.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color w:val="1744BD"/>
        </w:rPr>
        <w:t>12. Final pre-demo checklist</w:t>
      </w:r>
    </w:p>
    <w:p>
      <w:pPr>
        <w:pStyle w:val="ListBullet"/>
        <w:spacing w:after="60"/>
      </w:pPr>
      <w:r>
        <w:t>Backend health endpoint is healthy and frontend is open in a clean browser.</w:t>
      </w:r>
    </w:p>
    <w:p>
      <w:pPr>
        <w:pStyle w:val="ListBullet"/>
        <w:spacing w:after="60"/>
      </w:pPr>
      <w:r>
        <w:t>All demo accounts are verified and passwords are known.</w:t>
      </w:r>
    </w:p>
    <w:p>
      <w:pPr>
        <w:pStyle w:val="ListBullet"/>
        <w:spacing w:after="60"/>
      </w:pPr>
      <w:r>
        <w:t>A job with salary is published.</w:t>
      </w:r>
    </w:p>
    <w:p>
      <w:pPr>
        <w:pStyle w:val="ListBullet"/>
        <w:spacing w:after="60"/>
      </w:pPr>
      <w:r>
        <w:t>A resume is ready and text-based.</w:t>
      </w:r>
    </w:p>
    <w:p>
      <w:pPr>
        <w:pStyle w:val="ListBullet"/>
        <w:spacing w:after="60"/>
      </w:pPr>
      <w:r>
        <w:t>At least one applicant application has completed analysis.</w:t>
      </w:r>
    </w:p>
    <w:p>
      <w:pPr>
        <w:pStyle w:val="ListBullet"/>
        <w:spacing w:after="60"/>
      </w:pPr>
      <w:r>
        <w:t>At least one plan request is pending or ready to create.</w:t>
      </w:r>
    </w:p>
    <w:p>
      <w:pPr>
        <w:pStyle w:val="ListBullet"/>
        <w:spacing w:after="60"/>
      </w:pPr>
      <w:r>
        <w:t>Admin Control Center is available and Plan Requests is visible in the sidebar.</w:t>
      </w:r>
    </w:p>
    <w:p>
      <w:pPr>
        <w:pStyle w:val="ListBullet"/>
        <w:spacing w:after="60"/>
      </w:pPr>
      <w:r>
        <w:t>No API keys, tokens, passwords, or database credentials are visible in the recording.</w:t>
      </w:r>
    </w:p>
    <w:p>
      <w:pPr>
        <w:pStyle w:val="ListBullet"/>
        <w:spacing w:after="60"/>
      </w:pPr>
      <w:r>
        <w:t>Use the demo story, not every feature: clarity is stronger than feature volume.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6E7DD"/>
          <w:left w:val="single" w:sz="6" w:color="D6E7DD"/>
          <w:bottom w:val="single" w:sz="6" w:color="D6E7DD"/>
          <w:right w:val="single" w:sz="6" w:color="D6E7DD"/>
          <w:insideH w:val="single" w:sz="6" w:color="D6E7DD"/>
          <w:insideV w:val="single" w:sz="6" w:color="D6E7DD"/>
        </w:tblBorders>
      </w:tblPr>
      <w:tblGrid>
        <w:gridCol w:w="9994"/>
      </w:tblGrid>
      <w:tr>
        <w:tc>
          <w:tcPr>
            <w:tcW w:type="dxa" w:w="9994"/>
            <w:shd w:fill="EAF8F1"/>
          </w:tcPr>
          <w:p>
            <w:pPr>
              <w:spacing w:after="40"/>
            </w:pPr>
            <w:r>
              <w:rPr>
                <w:b/>
                <w:color w:val="082B68"/>
              </w:rPr>
              <w:t xml:space="preserve">Closing line: </w:t>
            </w:r>
            <w:r>
              <w:t>“SmartHire brings transparent job discovery, explainable AI assistance, collaborative ATS workflows, and platform governance into one recruitment experience.”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SmartHire - AI-assisted recruitment decision support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677F"/>
        <w:sz w:val="16"/>
      </w:rPr>
      <w:t>SMARTHIRE  |  HACKATHON DEMO PLAYBOOK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44B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44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82B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