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v1.80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10</w:t>
      </w:r>
    </w:p>
    <w:p>
      <w:pPr>
        <w:pStyle w:val="TOC2"/>
      </w:pPr>
      <w:r>
        <w:t>4.5 The CA tab — verifying constructive alignment</w:t>
        <w:tab/>
        <w:t>11</w:t>
      </w:r>
    </w:p>
    <w:p>
      <w:pPr>
        <w:pStyle w:val="TOC2"/>
      </w:pPr>
      <w:r>
        <w:t>4.6 Students and marks</w:t>
        <w:tab/>
        <w:t>12</w:t>
      </w:r>
    </w:p>
    <w:p>
      <w:pPr>
        <w:pStyle w:val="TOC2"/>
      </w:pPr>
      <w:r>
        <w:t>4.7 Attainment: direct, indirect, combined</w:t>
        <w:tab/>
        <w:t>13</w:t>
      </w:r>
    </w:p>
    <w:p>
      <w:pPr>
        <w:pStyle w:val="TOC2"/>
      </w:pPr>
      <w:r>
        <w:t>4.8 Accreditation Documents</w:t>
        <w:tab/>
        <w:t>13</w:t>
      </w:r>
    </w:p>
    <w:p>
      <w:pPr>
        <w:pStyle w:val="TOC2"/>
      </w:pPr>
      <w:r>
        <w:t>4.9 The CQI tab (BAETE Criteria 3.8 and 5.4.3)</w:t>
        <w:tab/>
        <w:t>15</w:t>
      </w:r>
    </w:p>
    <w:p>
      <w:pPr>
        <w:pStyle w:val="TOC1"/>
      </w:pPr>
      <w:r>
        <w:t>5. Running the CQI Loop Across Semesters</w:t>
        <w:tab/>
        <w:t>15</w:t>
      </w:r>
    </w:p>
    <w:p>
      <w:pPr>
        <w:pStyle w:val="TOC1"/>
      </w:pPr>
      <w:r>
        <w:t>6. Using the AI Prompts</w:t>
        <w:tab/>
        <w:t>17</w:t>
      </w:r>
    </w:p>
    <w:p>
      <w:pPr>
        <w:pStyle w:val="TOC2"/>
      </w:pPr>
      <w:r>
        <w:t>6.1 The six buttons and when to reach for each</w:t>
        <w:tab/>
        <w:t>18</w:t>
      </w:r>
    </w:p>
    <w:p>
      <w:pPr>
        <w:pStyle w:val="TOC2"/>
      </w:pPr>
      <w:r>
        <w:t>6.2 The common workflow</w:t>
        <w:tab/>
        <w:t>18</w:t>
      </w:r>
    </w:p>
    <w:p>
      <w:pPr>
        <w:pStyle w:val="TOC2"/>
      </w:pPr>
      <w:r>
        <w:t>6.3 What the prompts contain — and never contain</w:t>
        <w:tab/>
        <w:t>18</w:t>
      </w:r>
    </w:p>
    <w:p>
      <w:pPr>
        <w:pStyle w:val="TOC2"/>
      </w:pPr>
      <w:r>
        <w:t>6.4 Guardrails and your responsibility</w:t>
        <w:tab/>
        <w:t>19</w:t>
      </w:r>
    </w:p>
    <w:p>
      <w:pPr>
        <w:pStyle w:val="TOC2"/>
      </w:pPr>
      <w:r>
        <w:t>6.5 Practical tips</w:t>
        <w:tab/>
        <w:t>19</w:t>
      </w:r>
    </w:p>
    <w:p>
      <w:pPr>
        <w:pStyle w:val="TOC1"/>
      </w:pPr>
      <w:r>
        <w:t>7. Reference: Calculation Methods</w:t>
        <w:tab/>
        <w:t>19</w:t>
      </w:r>
    </w:p>
    <w:p>
      <w:pPr>
        <w:pStyle w:val="TOC1"/>
      </w:pPr>
      <w:r>
        <w:t>8. Reference: Data Formats</w:t>
        <w:tab/>
        <w:t>20</w:t>
      </w:r>
    </w:p>
    <w:p>
      <w:pPr>
        <w:pStyle w:val="TOC1"/>
      </w:pPr>
      <w:r>
        <w:t>9. FAQ and Troubleshooting</w:t>
        <w:tab/>
        <w:t>20</w:t>
      </w:r>
    </w:p>
    <w:p>
      <w:pPr>
        <w:pStyle w:val="TOC1"/>
      </w:pPr>
      <w:r>
        <w:t>10. Support</w:t>
        <w:tab/>
        <w:t>21</w:t>
      </w:r>
    </w:p>
    <w:p>
      <w:pPr>
        <w:pStyle w:val="TOC1"/>
      </w:pPr>
      <w:r>
        <w:t>Appendix A: The T&amp;L Activity Pool — Descriptions and Selection Justification</w:t>
        <w:tab/>
        <w:t>22</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36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3. Add your own activity directly on a CO's card (type it — matching Activity-Pool names are suggested as you type — and press + Add; optionally tick “also save to T&amp;L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36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 each deselectable per topic with ×, restorable from the dimmed chip's +, without un-adopting it elsewhere); topic-specific activities can be added per topic from the pool or your own (green chips, removable). The card carries its own Topics Template (CSV) / Import buttons; imports preserve Actual Hours, Related COs and topic-specific activities for matching topic names. The T&amp;L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r/>
    </w:p>
    <w:p>
      <w:pPr>
        <w:pStyle w:val="Heading3"/>
      </w:pPr>
      <w:r>
        <w:t>Learning Resources shared with students</w:t>
      </w:r>
    </w:p>
    <w:p>
      <w:pPr/>
      <w:r>
        <w:t>Directly before the Topic-wise plan sits a collapsed register of the materials you share with students — class session slides, the LMS course site, companion sites (e.g., NotebookLM), interactive infographics, videos, rubrics and tip sheets. Each entry records Type, Title, Link/location, Related COs (tick-chips) and Notes; choose the Type first and the Title box suggests only the matching entries of the T&amp;L Resource Pool (Data &amp; Backup) — a curated list of 16 resource kinds, each with a description, engineering-education justification and practical tip; Type “Other” shows the full pool, and free-typed titles are always accepted — and picking a pool entry prefills tip. Custom pool resources can be added under Data &amp; Backup and travel in JSON backups. Links only: the LMS (or hosting site) remains where the material lives. Tag a resource's Related COs once and it flows automatically into the topic plan's Resources column for every topic ticked with those COs (blue chips); a resource can be deselected per topic (the chip dims, with a + to restore), and further topic-specific resources can be added manually (green chips). The register is kept by ⟳ Duplicate for New Semester, prints as Course Outline 17.3 with the CO labels when non-empty, appears in the Annexure H checklist, and is cited by all the AI prompts (which report each topic's effective resource list). A “📋 Copy resource list (for LMS posting)” button copies the register as a formatted list for Google Classroom/Moodle, each entry carries a Verified date (amber badge after six months — re-verify links each offering), and a T&amp;L Resources Summary Table (before the Activities Summary Table) consolidates every registered resource with its pool description, practical tip and Related CO (matched by pool title where one was picked, otherwise by the entry’s Type; your own Notes take precedence over the type-derived tip). In Data &amp; Backup, the Resource Pool card precedes the Activity Pool card. The AI prompts now act on the resources explicitly: narratives cite them as delivery evidence, action plans may add or revise them by name, the closure prompt counts resources added this offering as implemented actions, and the scoped prompts name a supporting resource per suggestion.</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 × deselects one for that topic only, the dimmed chip's + restores it; un-adopting in the CO cards removes it everywhere). You can also attach topic-specific activities of your own — green, removable chips with Activity-Pool autocomplete. A rightmost Resources column shows each topic's resources: blue auto chips from the register's CO tags (deselectable per topic, dimmed with a + to restore), plus manually added green chips (autocomplete) — all preserved by the Topics CSV re-import.</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36 built-in activities) and the CO(s) it serves — keep it open as a lesson-planning reference. A collapsed “▸ Browse the full T&amp;L Activity Pool” toggle beside Recommendations per CO opens a read-only reference table of all 36 activities (Bloom levels, mode/size, descriptions and tips); editing and custom entries stay under Data &amp; Backup.</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(Class Performance, Quiz, Assignment, Mid Term, Final Exam, Lab, Project, …). The Class Performance (CP) type is special: it has no questions — set its total marks (typically 10) and tick the Related COs; the total splits equally among them (each internal per-CO share inherits that CO’s Bloom level), and in Students &amp; Marks you enter one CP mark per student, distributed automatically so every ticked CO receives the same percentage. Courses taught in parts add one CP assessment per part (e.g., “CP — Part A”, “CP — Part B”), each with its own total and COs. “Class Test” was retired for new assessments; existing ones keep working.</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choice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choice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choice questions, groups and choice schemes</w:t>
      </w:r>
    </w:p>
    <w:p>
      <w:pPr/>
      <w:r>
        <w:t>By default every item is Mandatory: a blank mark counts as zero. Untick Mandatory for choice questions (“answer any four of Q2–Q7”): a blank on a choice question means the student legitimately skipped it, and it is excluded from that student's CO calculation — never counted as zero.</w:t>
      </w:r>
    </w:p>
    <w:p>
      <w:pPr/>
      <w:r>
        <w:t>Sub-parts of one choice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choice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choice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choice questions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choice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pPr/>
      <w:r>
        <w:t>Beyond the CO block (which alone feeds indirect attainment), the survey now carries six toggleable course-feedback items — activities helped me learn; resources supported my learning; assessments matched what was taught (student-perceived constructive alignment); rubrics clear in advance; feedback timely; pace manageable — plus an optional usefulness item per registered Learning Resource, and two open questions on the printed form (best aspect; one improvement). Tallies (n, average, % ≥ 4) sit beside the CO grid in the Attainment tab marked “not part of attainment”, print as an additional table under Course Report 5.1, and feed all the AI prompts as perception evidence; the CSV template and import cover the new columns and remain backward-compatible with CO-only files. Duplicate for New Semester clears the tallies but keeps the item toggles.</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four prompts — diagnose (low-attainment analysis), describe (3.8 narratives), decide (Report 6.1 actions), close (Specifications 6.1 closure)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four prompts in order — “📋 (low-attainment analysis)”, “📋 (3.8 narratives)”, “📋 (Report 6.1 actions)”, then “📋 (Spec 6.1 closure)”, which drafts the “Actions reflected” column of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six buttons and when to reach for each</w:t>
      </w:r>
    </w:p>
    <w:p>
      <w:pPr>
        <w:pStyle w:val="ListBullet"/>
      </w:pPr>
      <w:r>
        <w:t>📋 Copy AI Prompt (low-attainment analysis) — CQI tab, inside Low Attainment Analysis. Step 1 of 4: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(the narratives and Report 6.1 actions prompts) and, lens-matched, the two Suggested Modifications prompts: (a) into the T&amp;L tab's, (b) into the Assessments tab's.</w:t>
      </w:r>
    </w:p>
    <w:p>
      <w:pPr>
        <w:pStyle w:val="ListBullet"/>
      </w:pPr>
      <w:r>
        <w:t>📋 Copy AI Prompt (3.8 narratives) — CQI tab, in the BAETE 3.8 card. Step 2 of 4: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(Report 6.1 actions) — CQI tab, in the heading of the “Improvement actions from this offering” table. Step 3 of 4: drafts only the five forward-looking action rows — recommendations for the NEXT offering derived from this offering's evidence. It embeds your pasted analyses, narratives and working notes and requires the actions to be consistent with them.</w:t>
      </w:r>
    </w:p>
    <w:p>
      <w:pPr>
        <w:pStyle w:val="ListBullet"/>
      </w:pPr>
      <w:r>
        <w:t>📋 Copy AI Prompt (Spec 6.1 closure) — CQI tab, in the heading of the “Actions from the previous offering &amp; how they were reflected” table. Step 4 of 4: drafts only the backward-looking “how they were reflected” column (exactly five labelled blocks, with distribution and fallback rules). It needs no marks — run it any time once implementations begin; it declines when Specifications 6.1 has no previous recommendations. Every prompt button sits in the heading of the section it fills.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the learning-resource register with its per-topic plan,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 All prompts also carry an interpretation rule for choice questions (answer k of n): a low attempt rate is read as question/topic avoidance — a perceived-difficulty CQI signal — never as disengagement.</w:t>
      </w:r>
    </w:p>
    <w:p>
      <w:pPr>
        <w:pStyle w:val="Heading2"/>
      </w:pPr>
      <w:r>
        <w:t>6.5 Practical tips</w:t>
      </w:r>
    </w:p>
    <w:p>
      <w:pPr>
        <w:pStyle w:val="ListBullet"/>
      </w:pPr>
      <w:r>
        <w:t>Run the T&amp;L and assessment prompts at PLAN time, when the incoming Specifications 6.1 recommendations are fresh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Student CO score (%) = marks obtained ÷ marks assessed under the CO × 100. A blank mark on a mandatory item counts as 0; a blank on a choice question (unticked in the Assessment Plan) is excluded — no penalty for legitimately skipped questions. Students with no assessed marks under a CO are excluded from its cohort.</w:t>
      </w:r>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36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r w:rsidR="007E205E" w14:paraId="4F101322" w14:textId="77777777">
        <w:tc>
          <w:tcPr>
            <w:tcW w:w="1928" w:type="dxa"/>
          </w:tcPr>
          <w:p w14:paraId="618C5D3C" w14:textId="77777777" w:rsidR="007E205E" w:rsidRDefault="00000000">
            <w:r>
              <w:rPr>
                <w:sz w:val="20"/>
              </w:rPr>
              <w:t>Traditional classroom lecture</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Structured oral exposition with board/slides — the efficient baseline for delivering foundational content to any class size.</w:t>
            </w:r>
          </w:p>
        </w:tc>
        <w:tc>
          <w:tcPr>
            <w:tcW w:w="3402" w:type="dxa"/>
          </w:tcPr>
          <w:p w14:paraId="423D91D3" w14:textId="77777777" w:rsidR="007E205E" w:rsidRDefault="00000000">
            <w:r>
              <w:rPr>
                <w:sz w:val="20"/>
              </w:rPr>
              <w:t>The default of engineering education; retained as an explicit, verifiable entry so adopted 'lectures' can be tracked and paired with active elements (Bligh; Freeman et al. 2014 on its limits).</w:t>
            </w:r>
          </w:p>
        </w:tc>
      </w:tr>
      <w:tr w:rsidR="007E205E" w14:paraId="4F101322" w14:textId="77777777">
        <w:tc>
          <w:tcPr>
            <w:tcW w:w="1928" w:type="dxa"/>
          </w:tcPr>
          <w:p w14:paraId="618C5D3C" w14:textId="77777777" w:rsidR="007E205E" w:rsidRDefault="00000000">
            <w:r>
              <w:rPr>
                <w:sz w:val="20"/>
              </w:rPr>
              <w:t>Inductive teaching &amp; learning</w:t>
            </w:r>
          </w:p>
        </w:tc>
        <w:tc>
          <w:tcPr>
            <w:tcW w:w="907" w:type="dxa"/>
          </w:tcPr>
          <w:p w14:paraId="60E19F49" w14:textId="77777777" w:rsidR="007E205E" w:rsidRDefault="00000000">
            <w:r>
              <w:rPr>
                <w:sz w:val="20"/>
              </w:rPr>
              <w:t>C2–C5</w:t>
            </w:r>
          </w:p>
        </w:tc>
        <w:tc>
          <w:tcPr>
            <w:tcW w:w="2948" w:type="dxa"/>
          </w:tcPr>
          <w:p w14:paraId="4AA8A137" w14:textId="77777777" w:rsidR="007E205E" w:rsidRDefault="00000000">
            <w:r>
              <w:rPr>
                <w:sz w:val="20"/>
              </w:rPr>
              <w:t>Instruction begins with specifics — data, a case or a real problem — from which students induce the governing principles.</w:t>
            </w:r>
          </w:p>
        </w:tc>
        <w:tc>
          <w:tcPr>
            <w:tcW w:w="3402" w:type="dxa"/>
          </w:tcPr>
          <w:p w14:paraId="423D91D3" w14:textId="77777777" w:rsidR="007E205E" w:rsidRDefault="00000000">
            <w:r>
              <w:rPr>
                <w:sz w:val="20"/>
              </w:rPr>
              <w:t>Prince &amp; Felder (2006), J. Engr. Education: inductive methods (inquiry, discovery, JiTT, case- and problem-based) equal or outperform deductive sequencing for conceptual understanding and retention.</w:t>
            </w:r>
          </w:p>
        </w:tc>
      </w:tr>
      <w:tr w:rsidR="007E205E" w14:paraId="4F101322" w14:textId="77777777">
        <w:tc>
          <w:tcPr>
            <w:tcW w:w="1928" w:type="dxa"/>
          </w:tcPr>
          <w:p w14:paraId="618C5D3C" w14:textId="77777777" w:rsidR="007E205E" w:rsidRDefault="00000000">
            <w:r>
              <w:rPr>
                <w:sz w:val="20"/>
              </w:rPr>
              <w:t>In-class group discussion</w:t>
            </w:r>
          </w:p>
        </w:tc>
        <w:tc>
          <w:tcPr>
            <w:tcW w:w="907" w:type="dxa"/>
          </w:tcPr>
          <w:p w14:paraId="60E19F49" w14:textId="77777777" w:rsidR="007E205E" w:rsidRDefault="00000000">
            <w:r>
              <w:rPr>
                <w:sz w:val="20"/>
              </w:rPr>
              <w:t>C2, C4–C5, A</w:t>
            </w:r>
          </w:p>
        </w:tc>
        <w:tc>
          <w:tcPr>
            <w:tcW w:w="2948" w:type="dxa"/>
          </w:tcPr>
          <w:p w14:paraId="4AA8A137" w14:textId="77777777" w:rsidR="007E205E" w:rsidRDefault="00000000">
            <w:r>
              <w:rPr>
                <w:sz w:val="20"/>
              </w:rPr>
              <w:t>Facilitated small-group discussion of a focused question, with groups reporting their conclusions to the class.</w:t>
            </w:r>
          </w:p>
        </w:tc>
        <w:tc>
          <w:tcPr>
            <w:tcW w:w="3402" w:type="dxa"/>
          </w:tcPr>
          <w:p w14:paraId="423D91D3" w14:textId="77777777" w:rsidR="007E205E" w:rsidRDefault="00000000">
            <w:r>
              <w:rPr>
                <w:sz w:val="20"/>
              </w:rPr>
              <w:t>Low-preparation active learning (Barkley et al.); develops argumentation and the affective domain; scales with a reporter structure.</w:t>
            </w:r>
          </w:p>
        </w:tc>
      </w:tr>
      <w:tr w:rsidR="007E205E" w14:paraId="4F101322" w14:textId="77777777">
        <w:tc>
          <w:tcPr>
            <w:tcW w:w="1928" w:type="dxa"/>
          </w:tcPr>
          <w:p w14:paraId="618C5D3C" w14:textId="77777777" w:rsidR="007E205E" w:rsidRDefault="00000000">
            <w:r>
              <w:rPr>
                <w:sz w:val="20"/>
              </w:rPr>
              <w:t>Guided inquiry session</w:t>
            </w:r>
          </w:p>
        </w:tc>
        <w:tc>
          <w:tcPr>
            <w:tcW w:w="907" w:type="dxa"/>
          </w:tcPr>
          <w:p w14:paraId="60E19F49" w14:textId="77777777" w:rsidR="007E205E" w:rsidRDefault="00000000">
            <w:r>
              <w:rPr>
                <w:sz w:val="20"/>
              </w:rPr>
              <w:t>C3–C5</w:t>
            </w:r>
          </w:p>
        </w:tc>
        <w:tc>
          <w:tcPr>
            <w:tcW w:w="2948" w:type="dxa"/>
          </w:tcPr>
          <w:p w14:paraId="4AA8A137" w14:textId="77777777" w:rsidR="007E205E" w:rsidRDefault="00000000">
            <w:r>
              <w:rPr>
                <w:sz w:val="20"/>
              </w:rPr>
              <w:t>Students investigate a driving question through structured, scaffolded steps toward the target concept.</w:t>
            </w:r>
          </w:p>
        </w:tc>
        <w:tc>
          <w:tcPr>
            <w:tcW w:w="3402" w:type="dxa"/>
          </w:tcPr>
          <w:p w14:paraId="423D91D3" w14:textId="77777777" w:rsidR="007E205E" w:rsidRDefault="00000000">
            <w:r>
              <w:rPr>
                <w:sz w:val="20"/>
              </w:rPr>
              <w:t>Inquiry with guidance answers the minimal-guidance critique (Kirschner et al. 2006) while keeping the motivational benefits of discovery.</w:t>
            </w:r>
          </w:p>
        </w:tc>
      </w:tr>
      <w:tr w:rsidR="007E205E" w14:paraId="4F101322" w14:textId="77777777">
        <w:tc>
          <w:tcPr>
            <w:tcW w:w="1928" w:type="dxa"/>
          </w:tcPr>
          <w:p w14:paraId="618C5D3C" w14:textId="77777777" w:rsidR="007E205E" w:rsidRDefault="00000000">
            <w:r>
              <w:rPr>
                <w:sz w:val="20"/>
              </w:rPr>
              <w:t>Just-in-time teaching (JiTT)</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Short web-based responses submitted before class shape that day's session around the revealed gaps.</w:t>
            </w:r>
          </w:p>
        </w:tc>
        <w:tc>
          <w:tcPr>
            <w:tcW w:w="3402" w:type="dxa"/>
          </w:tcPr>
          <w:p w14:paraId="423D91D3" w14:textId="77777777" w:rsidR="007E205E" w:rsidRDefault="00000000">
            <w:r>
              <w:rPr>
                <w:sz w:val="20"/>
              </w:rPr>
              <w:t>Novak et al.: closes the feedback loop before class; pairs naturally with flipped delivery and peer instruction.</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v1.80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