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v1.70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pPr>
        <w:pStyle w:val="TOC1"/>
      </w:pPr>
      <w:r>
        <w:t>Contents</w:t>
        <w:tab/>
        <w:t>2</w:t>
      </w:r>
    </w:p>
    <w:p>
      <w:pPr>
        <w:pStyle w:val="TOC1"/>
      </w:pPr>
      <w:r>
        <w:t>1. Introduction</w:t>
        <w:tab/>
        <w:t>4</w:t>
      </w:r>
    </w:p>
    <w:p>
      <w:pPr>
        <w:pStyle w:val="TOC2"/>
      </w:pPr>
      <w:r>
        <w:t>1.1 Purpose of this tool</w:t>
        <w:tab/>
        <w:t>4</w:t>
      </w:r>
    </w:p>
    <w:p>
      <w:pPr>
        <w:pStyle w:val="TOC2"/>
      </w:pPr>
      <w:r>
        <w:t>1.2 What the tool produces</w:t>
        <w:tab/>
        <w:t>4</w:t>
      </w:r>
    </w:p>
    <w:p>
      <w:pPr>
        <w:pStyle w:val="TOC2"/>
      </w:pPr>
      <w:r>
        <w:t>1.3 System requirements</w:t>
        <w:tab/>
        <w:t>4</w:t>
      </w:r>
    </w:p>
    <w:p>
      <w:pPr>
        <w:pStyle w:val="TOC2"/>
      </w:pPr>
      <w:r>
        <w:t>1.4 Key terms</w:t>
        <w:tab/>
        <w:t>4</w:t>
      </w:r>
    </w:p>
    <w:p>
      <w:pPr>
        <w:pStyle w:val="TOC1"/>
      </w:pPr>
      <w:r>
        <w:t>2. Getting Started</w:t>
        <w:tab/>
        <w:t>5</w:t>
      </w:r>
    </w:p>
    <w:p>
      <w:pPr>
        <w:pStyle w:val="TOC2"/>
      </w:pPr>
      <w:r>
        <w:t>2.1 Opening the tool</w:t>
        <w:tab/>
        <w:t>5</w:t>
      </w:r>
    </w:p>
    <w:p>
      <w:pPr>
        <w:pStyle w:val="TOC2"/>
      </w:pPr>
      <w:r>
        <w:t>2.2 The interface at a glance</w:t>
        <w:tab/>
        <w:t>5</w:t>
      </w:r>
    </w:p>
    <w:p>
      <w:pPr>
        <w:pStyle w:val="TOC2"/>
      </w:pPr>
      <w:r>
        <w:t>2.3 Explore with the sample course</w:t>
        <w:tab/>
        <w:t>5</w:t>
      </w:r>
    </w:p>
    <w:p>
      <w:pPr>
        <w:pStyle w:val="TOC2"/>
      </w:pPr>
      <w:r>
        <w:t>2.4 Create your own course</w:t>
        <w:tab/>
        <w:t>5</w:t>
      </w:r>
    </w:p>
    <w:p>
      <w:pPr>
        <w:pStyle w:val="TOC2"/>
      </w:pPr>
      <w:r>
        <w:t>2.5 The Dashboard: your Suggested Workflow</w:t>
        <w:tab/>
        <w:t>6</w:t>
      </w:r>
    </w:p>
    <w:p>
      <w:pPr>
        <w:pStyle w:val="TOC1"/>
      </w:pPr>
      <w:r>
        <w:t>3. Keeping Your Data Safe</w:t>
        <w:tab/>
        <w:t>6</w:t>
      </w:r>
    </w:p>
    <w:p>
      <w:pPr>
        <w:pStyle w:val="TOC2"/>
      </w:pPr>
      <w:r>
        <w:t>3.1 Work on a file (strongly recommended)</w:t>
        <w:tab/>
        <w:t>6</w:t>
      </w:r>
    </w:p>
    <w:p>
      <w:pPr>
        <w:pStyle w:val="TOC2"/>
      </w:pPr>
      <w:r>
        <w:t>3.2 If you do not link a file</w:t>
        <w:tab/>
        <w:t>6</w:t>
      </w:r>
    </w:p>
    <w:p>
      <w:pPr>
        <w:pStyle w:val="TOC2"/>
      </w:pPr>
      <w:r>
        <w:t>3.3 Sharing and backups</w:t>
        <w:tab/>
        <w:t>6</w:t>
      </w:r>
    </w:p>
    <w:p>
      <w:pPr>
        <w:pStyle w:val="TOC1"/>
      </w:pPr>
      <w:r>
        <w:t>4. Semester Workflow — Step by Step</w:t>
        <w:tab/>
        <w:t>7</w:t>
      </w:r>
    </w:p>
    <w:p>
      <w:pPr>
        <w:pStyle w:val="TOC2"/>
      </w:pPr>
      <w:r>
        <w:t>4.1 Course Info and attainment settings</w:t>
        <w:tab/>
        <w:t>7</w:t>
      </w:r>
    </w:p>
    <w:p>
      <w:pPr>
        <w:pStyle w:val="TOC2"/>
      </w:pPr>
      <w:r>
        <w:t>4.2 Course Outcomes and CO-PO mapping</w:t>
        <w:tab/>
        <w:t>7</w:t>
      </w:r>
    </w:p>
    <w:p>
      <w:pPr>
        <w:pStyle w:val="TOC2"/>
      </w:pPr>
      <w:r>
        <w:t>4.3 T&amp;L (CQI-aware recommendations)</w:t>
        <w:tab/>
        <w:t>7</w:t>
      </w:r>
    </w:p>
    <w:p>
      <w:pPr>
        <w:pStyle w:val="TOC2"/>
      </w:pPr>
      <w:r>
        <w:t>4.4 Assessment plan</w:t>
        <w:tab/>
        <w:t>9</w:t>
      </w:r>
    </w:p>
    <w:p>
      <w:pPr>
        <w:pStyle w:val="TOC2"/>
      </w:pPr>
      <w:r>
        <w:t>4.5 The CA tab — verifying constructive alignment</w:t>
        <w:tab/>
        <w:t>10</w:t>
      </w:r>
    </w:p>
    <w:p>
      <w:pPr>
        <w:pStyle w:val="TOC2"/>
      </w:pPr>
      <w:r>
        <w:t>4.6 Students and marks</w:t>
        <w:tab/>
        <w:t>11</w:t>
      </w:r>
    </w:p>
    <w:p>
      <w:pPr>
        <w:pStyle w:val="TOC2"/>
      </w:pPr>
      <w:r>
        <w:t>4.7 Attainment: direct, indirect, combined</w:t>
        <w:tab/>
        <w:t>12</w:t>
      </w:r>
    </w:p>
    <w:p>
      <w:pPr>
        <w:pStyle w:val="TOC2"/>
      </w:pPr>
      <w:r>
        <w:t>4.8 Accreditation Documents</w:t>
        <w:tab/>
        <w:t>12</w:t>
      </w:r>
    </w:p>
    <w:p>
      <w:pPr>
        <w:pStyle w:val="TOC2"/>
      </w:pPr>
      <w:r>
        <w:t>4.9 The CQI tab (BAETE Criteria 3.8 and 5.4.3)</w:t>
        <w:tab/>
        <w:t>14</w:t>
      </w:r>
    </w:p>
    <w:p>
      <w:pPr>
        <w:pStyle w:val="TOC1"/>
      </w:pPr>
      <w:r>
        <w:t>5. Running the CQI Loop Across Semesters</w:t>
        <w:tab/>
        <w:t>14</w:t>
      </w:r>
    </w:p>
    <w:p>
      <w:pPr>
        <w:pStyle w:val="TOC1"/>
      </w:pPr>
      <w:r>
        <w:t>6. Using the AI Prompts</w:t>
        <w:tab/>
        <w:t>17</w:t>
      </w:r>
    </w:p>
    <w:p>
      <w:pPr>
        <w:pStyle w:val="TOC2"/>
      </w:pPr>
      <w:r>
        <w:t>6.1 The five buttons and when to reach for each</w:t>
        <w:tab/>
        <w:t>17</w:t>
      </w:r>
    </w:p>
    <w:p>
      <w:pPr>
        <w:pStyle w:val="TOC2"/>
      </w:pPr>
      <w:r>
        <w:t>6.2 The common workflow</w:t>
        <w:tab/>
        <w:t>17</w:t>
      </w:r>
    </w:p>
    <w:p>
      <w:pPr>
        <w:pStyle w:val="TOC2"/>
      </w:pPr>
      <w:r>
        <w:t>6.3 What the prompts contain — and never contain</w:t>
        <w:tab/>
        <w:t>17</w:t>
      </w:r>
    </w:p>
    <w:p>
      <w:pPr>
        <w:pStyle w:val="TOC2"/>
      </w:pPr>
      <w:r>
        <w:t>6.4 Guardrails and your responsibility</w:t>
        <w:tab/>
        <w:t>18</w:t>
      </w:r>
    </w:p>
    <w:p>
      <w:pPr>
        <w:pStyle w:val="TOC2"/>
      </w:pPr>
      <w:r>
        <w:t>6.5 Practical tips</w:t>
        <w:tab/>
        <w:t>18</w:t>
      </w:r>
    </w:p>
    <w:p>
      <w:pPr>
        <w:pStyle w:val="TOC1"/>
      </w:pPr>
      <w:r>
        <w:t>7. Reference: Calculation Methods</w:t>
        <w:tab/>
        <w:t>18</w:t>
      </w:r>
    </w:p>
    <w:p>
      <w:pPr>
        <w:pStyle w:val="TOC1"/>
      </w:pPr>
      <w:r>
        <w:t>8. Reference: Data Formats</w:t>
        <w:tab/>
        <w:t>18</w:t>
      </w:r>
    </w:p>
    <w:p>
      <w:pPr>
        <w:pStyle w:val="TOC1"/>
      </w:pPr>
      <w:r>
        <w:t>9. FAQ and Troubleshooting</w:t>
        <w:tab/>
        <w:t>19</w:t>
      </w:r>
    </w:p>
    <w:p>
      <w:pPr>
        <w:pStyle w:val="TOC1"/>
      </w:pPr>
      <w:r>
        <w:t>10. Support</w:t>
        <w:tab/>
        <w:t>20</w:t>
      </w:r>
    </w:p>
    <w:p>
      <w:pPr>
        <w:pStyle w:val="TOC1"/>
      </w:pPr>
      <w:r>
        <w:t>Appendix A: The T&amp;L Activity Pool — Descriptions and Selection Justification</w:t>
        <w:tab/>
        <w:t>21</w:t>
      </w:r>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 user-managed assessment-methods percentage table (§15, with a prefill button and a 100% check), and the 14-week plan with CSV template/import (§16).</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eleven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14F1C5A" w14:textId="77777777">
        <w:tc>
          <w:tcPr>
            <w:tcW w:w="2381" w:type="dxa"/>
          </w:tcPr>
          <w:p w14:paraId="35C1F518" w14:textId="77777777" w:rsidR="007E205E" w:rsidRDefault="00000000">
            <w:r>
              <w:rPr>
                <w:sz w:val="20"/>
              </w:rPr>
              <w:t>CA</w:t>
            </w:r>
          </w:p>
        </w:tc>
        <w:tc>
          <w:tcPr>
            <w:tcW w:w="6803" w:type="dxa"/>
          </w:tcPr>
          <w:p w14:paraId="6CE466F8" w14:textId="77777777" w:rsidR="007E205E" w:rsidRDefault="00000000">
            <w:r>
              <w:rPr>
                <w:sz w:val="20"/>
              </w:rPr>
              <w:t>Live constructive-alignment check — Biggs triangles for the course and for every CO, with suggestions and one-click Adopt to close gaps (see 4.5).</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 every field saves automatically as you edit, and so do the Attainment Settings below it.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pPr>
        <w:pStyle w:val="Heading2"/>
      </w:pPr>
      <w:r>
        <w:t>2.5 The Dashboard: your Suggested Workflow</w:t>
      </w:r>
    </w:p>
    <w:p>
      <w:pPr/>
      <w:r>
        <w:t>The Dashboard opens every session with a Suggested Workflow — nine steps grouped by the Plan–Do–Check–Act (PDCA) phases of one course offering: PLAN before the semester (1 Course Info &amp; settings · 2 COs &amp; CO-PO mapping · 3 T&amp;L activities · 4 assessment plan), DO during the semester (5 teach and track actual hours · 6 students &amp; marks), CHECK when marks are in (7 attainment — direct, survey and combined — with low-attainment analysis) and ACT at the end (8 CQI actions &amp; documents · 9 Duplicate for New Semester).</w:t>
      </w:r>
    </w:p>
    <w:p>
      <w:pPr/>
      <w:r>
        <w:t>Each step carries a stepper circle — ✓ done, a highlighted next, or pending — computed live from your course data, with a one-line gist that expands into full instructions when clicked. Whenever you wonder what to do next, the Dashboard answers it. The same card hosts ⟳ Duplicate for New Semester and Delete This Course.</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Course Evaluation 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for the combined attainment. Only the Direct weight is edited; Indirect is always 100 − Direct, so the pair can never exceed 100%.</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36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3. Add your own activity directly on a CO's card (type it — matching Activity-Pool names are suggested as you type — and press + Add; optionally tick “also save to T&amp;L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36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topic-specific activities can be added per topic from the pool or your own (green chips, removable). The card carries its own Topics Template (CSV) / Import buttons; imports preserve Actual Hours, Related COs and topic-specific activities for matching topic names. The T&amp;L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editable when expanded: all five loop rows offer entry boxes for the Specifications 6.1 recommendations from the previous offering — one shared dataset, so edits made in the T&amp;L or Assessments tab appear instantly in the documents and the CQI tab. (This offering’s suggested actions for the next offering are written in the CQI tab or Course Report 6.1, not in these cards.)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r/>
    </w:p>
    <w:p>
      <w:pPr>
        <w:pStyle w:val="Heading3"/>
      </w:pPr>
      <w:r>
        <w:t>Topic-wise T&amp;L Plan</w:t>
      </w:r>
    </w:p>
    <w:p>
      <w:pPr/>
      <w:r>
        <w:t>Below the CO cards sits the Topic-wise T&amp;L Plan — a table of Topics and Planned Contact Hours ⛓ shared with Course Specifications 4.1 (one dataset: edit in either place). Tick the Related COs for each topic and the T&amp;L Methods column fills itself with the union of those COs' adopted activities (blue chips, removed only by un-adopting in the CO cards). You can also attach topic-specific activities of your own — green, removable chips with Activity-Pool autocomplete.</w:t>
      </w:r>
    </w:p>
    <w:p>
      <w:pPr/>
      <w:r>
        <w:t>The card carries its own ⬇ Topics Template (CSV) and ⬆ Import Topics (CSV) buttons. The template includes the current topics, so it doubles as an export for editing in Excel; on re-import, topics whose names match keep their Actual Hours, variation reasons, Related COs and topic-specific activities.</w:t>
      </w:r>
    </w:p>
    <w:p>
      <w:pPr>
        <w:pStyle w:val="Heading3"/>
      </w:pPr>
      <w:r>
        <w:t>T&amp;L Activities Summary Table</w:t>
      </w:r>
    </w:p>
    <w:p>
      <w:pPr/>
      <w:r>
        <w:t>At the bottom of the tab, the Summary Table lists every adopted activity with a short description, classroom-ready practical tips (authored for all 36 built-in activities) and the CO(s) it serves — keep it open as a lesson-planning reference.</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2. 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choice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choice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live Biggs triangles — the course-level triangle on top, and a compact triangle repeated in every CO card (edges colored by that CO’s own state, with the CO statement and Bloom’s Domain &amp; Level shown in the card header) — with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 Maximum marks also accept fractions (e.g., 1 2/3, stored as a decimal), and ▲▼ buttons reorder assessments and items — the order flows to the marks grid and the CSV export.</w:t>
      </w:r>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pPr>
        <w:pStyle w:val="Heading3"/>
      </w:pPr>
      <w:r>
        <w:t>Advanced: choice questions, groups and choice schemes</w:t>
      </w:r>
    </w:p>
    <w:p>
      <w:pPr/>
      <w:r>
        <w:t>By default every item is Mandatory: a blank mark counts as zero. Untick Mandatory for choice questions (“answer any four of Q2–Q7”): a blank on a choice question means the student legitimately skipped it, and it is excluded from that student's CO calculation — never counted as zero.</w:t>
      </w:r>
    </w:p>
    <w:p>
      <w:pPr/>
      <w:r>
        <w:t>Sub-parts of one choice question can share a Group (e.g., Q3a/Q3b → “Q3”): attempting any part engages the whole question, so its unanswered parts do count as zero — partial answers to a chosen question are penalized, while wholly skipped questions are not.</w:t>
      </w:r>
    </w:p>
    <w:p>
      <w:pPr/>
      <w:r>
        <w:t>Each assessment's collapsed ⚙ Advanced (question choice) section can also declare a choice scheme — “students must answer k of the choice questions”. A student attempting fewer than k has the shortfall counted as zeros, drawn from the unattempted questions with the highest marks; a student with no marks at all in that assessment is treated as absent and excluded. The full algebra, with worked examples, is in Attainment_Calculation_Methodology.docx.</w:t>
      </w:r>
    </w:p>
    <w:p>
      <w:pPr>
        <w:pStyle w:val="Heading3"/>
      </w:pPr>
      <w:r>
        <w:t>Item Bloom Level and the ↑ warning</w:t>
      </w:r>
    </w:p>
    <w:p>
      <w:pPr/>
      <w:r>
        <w:t>Every item carries its own Bloom Level, inherited from its CO. Setting it above the CO's declared level raises a constructive-alignment warning with a visible ↑ marker: either reword or split the question, raise the CO's level if the higher demand is intended, or keep the override deliberately — the marker persists as a reminder and re-appears in the CA tab.</w:t>
      </w:r>
    </w:p>
    <w:p>
      <w:pPr>
        <w:pStyle w:val="Heading2"/>
      </w:pPr>
      <w:r>
        <w:t>4.5 The CA tab — verifying constructive alignment</w:t>
      </w:r>
    </w:p>
    <w:p>
      <w:pPr/>
      <w:r>
        <w:t>The CA tab turns Biggs' constructive-alignment triangle into a live dashboard: Course Outcomes at the apex, T&amp;L Activities and Assessments at the base corners, KSA (Knowledge · Skills · Attitudes) at the centre. A course-level triangle at the top summarises the whole course; below it, every CO card repeats the triangle for that CO alone, with the CO statement and its Bloom's Domain &amp; Level (e.g., Cognitive · C5 Evaluate) in the card header.</w:t>
      </w:r>
    </w:p>
    <w:p>
      <w:pPr>
        <w:pStyle w:val="Heading3"/>
      </w:pPr>
      <w:r>
        <w:t>Reading the triangles</w:t>
      </w:r>
    </w:p>
    <w:p>
      <w:pPr/>
      <w:r>
        <w:t>Each edge is colored from your actual course data — nothing is filled in by hand. Green (aligned): the CO has at least one verified activity (left edge) or a sound assessment (right edge). Amber (partially aligned): activities exist but none verifiably matches the CO's domain/level, an item exceeds the CO's level, or the CO is measured only through choice questions. Red (not aligned): no activity adopted, or no assessment item measures the CO. The base edge combines the two sides.</w:t>
      </w:r>
    </w:p>
    <w:p>
      <w:pPr>
        <w:pStyle w:val="Heading3"/>
      </w:pPr>
      <w:r>
        <w:t>Activity chips and item flags</w:t>
      </w:r>
    </w:p>
    <w:p>
      <w:pPr/>
      <w:r>
        <w:t>Activity chips: green = verified fit (a pool activity suiting the CO's domain and level); amber = a pool activity that does not match; grey = a free-text activity whose fit cannot be checked — match it to an Activity-Pool name to enable verification and CQI tracking. Assessment items: † marks choice questions and ↑ marks items exceeding the CO's level; the CO's total marks and share of the course appear beneath the chips.</w:t>
      </w:r>
    </w:p>
    <w:p>
      <w:pPr>
        <w:pStyle w:val="Heading3"/>
      </w:pPr>
      <w:r>
        <w:t>The suggestions — and their one-click fixes</w:t>
      </w:r>
    </w:p>
    <w:p>
      <w:pPr>
        <w:pStyle w:val="ListBullet"/>
      </w:pPr>
      <w:r>
        <w:t>Unassessed CO — add at least one item in the Assessments tab.</w:t>
      </w:r>
    </w:p>
    <w:p>
      <w:pPr>
        <w:pStyle w:val="ListBullet"/>
      </w:pPr>
      <w:r>
        <w:t>No matching activity — ranked suggestions appear with a one-click + Adopt button.</w:t>
      </w:r>
    </w:p>
    <w:p>
      <w:pPr>
        <w:pStyle w:val="ListBullet"/>
      </w:pPr>
      <w:r>
        <w:t>Item exceeds the CO's level (↑) — reword or split the item, or raise the CO's level.</w:t>
      </w:r>
    </w:p>
    <w:p>
      <w:pPr>
        <w:pStyle w:val="ListBullet"/>
      </w:pPr>
      <w:r>
        <w:t>CO measured only through choice questions — add a mandatory item so no student can avoid it entirely.</w:t>
      </w:r>
    </w:p>
    <w:p>
      <w:pPr>
        <w:pStyle w:val="ListBullet"/>
      </w:pPr>
      <w:r>
        <w:t>Possibly under-assessed — the CO carries less than 10% of total marks; rebalance if unintended.</w:t>
      </w:r>
    </w:p>
    <w:p>
      <w:pPr>
        <w:pStyle w:val="ListBullet"/>
      </w:pPr>
      <w:r>
        <w:t>High-level CO assessed only by quizzes/class tests — add a project, design task, open-ended assignment or presentation item.</w:t>
      </w:r>
    </w:p>
    <w:p>
      <w:pPr/>
      <w:r>
        <w:t>Visit the CA tab after any change to COs, activities or the assessment plan — most importantly after building the assessment plan, and again before printing documents. A fully green page means outcomes, activities and assessments genuinely agree.</w:t>
      </w:r>
    </w:p>
    <w:p w14:paraId="6584502A" w14:textId="77777777" w:rsidR="007E205E" w:rsidRDefault="00000000">
      <w:pPr>
        <w:pStyle w:val="Heading2"/>
      </w:pPr>
      <w:r>
        <w:t>4.6 Students and marks</w:t>
      </w:r>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 The grid scrolls inside its own box with the header rows frozen at the top, and the #, Student ID and Name columns frozen at the left — so long classes and many items stay navigable. Cells accept decimals (1.67), fractions (2/3) and mixed numbers (1 2/3) — the value is stored as a decimal; unreadable input is rejected and the cell reverts.</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r>
        <w:t>4.7 Attainment: direct, indirect, combined</w:t>
      </w:r>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r>
        <w:t>4.8 Accreditation Documents</w:t>
      </w:r>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user-managed assessment-method percentages (§15) and the 14-week plan with CSV template/import (§16)</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with delivery methods (from the T&amp;L </w:t>
            </w:r>
            <w:r>
              <w:rPr>
                <w:sz w:val="20"/>
              </w:rPr>
              <w:lastRenderedPageBreak/>
              <w:t>tab, shown in full in auto-growing boxes) and assessment methods auto-filled per CO from the Assessments tab (plus a box for additions),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(typed in, or pasted in bulk via the screen-only paste box under table 4.1),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pPr>
        <w:pStyle w:val="Heading3"/>
      </w:pPr>
      <w:r>
        <w:t>Conveniences inside the documents</w:t>
      </w:r>
    </w:p>
    <w:p>
      <w:pPr/>
      <w:r>
        <w:t>Course Outline: §15 Percentages of Assessment Methods is a standalone, user-managed table — add or delete Method + Percentage rows freely (e.g., Attendance, per the approved grading policy); the Total row flags sums that differ from 100%, and a screen-only ⛏ Prefill from Assessments tab button seeds the rows from the course's assessments as a starting point. §16 Week-wise distribution offers ⬇ Download Template (CSV) and ⬆ Import (CSV): weeks present in the file overwrite those weeks after a confirmation; the others keep their content.</w:t>
      </w:r>
    </w:p>
    <w:p>
      <w:pPr/>
      <w:r>
        <w:t>Course Report: §4.1 accepts pasted IUMS grade counts (either one “A+ 5” line per grade, or a single row of ten counts in A+…F order); §§4.2–4.3 embed the CO and PO attainment charts exactly as shown on the Attainment tab; §5.1 summarises the Course Evaluation Survey; and §3 derives the contact-hour variation, TLA effectiveness and resources analyses from data entered in the tabs.</w:t>
      </w:r>
    </w:p>
    <w:p w14:paraId="0346876D" w14:textId="77777777" w:rsidR="007E205E" w:rsidRDefault="00000000">
      <w:pPr>
        <w:pStyle w:val="Heading2"/>
      </w:pPr>
      <w:r>
        <w:t>4.9 The CQI tab (BAETE Criteria 3.8 and 5.4.3)</w:t>
      </w:r>
    </w:p>
    <w:p w14:paraId="43C60457" w14:textId="77777777" w:rsidR="007E205E" w:rsidRDefault="00000000">
      <w:pPr>
        <w:spacing w:after="120"/>
      </w:pPr>
      <w:r>
        <w:t>The CQI tab consolidates everything an accreditation visit asks for regarding the course-level CQI loop. Its cards follow the working order — diagnose (Low Attainment) → describe (3.8) → decide (5.4.3) — while the printable CQI Report re-arranges everything into BAETE's reading order automatically:</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Finish at the bottom of the tab: the “🖨 Open Printable CQI Report” button sits in a closing card after the Annexure H checklist — printing is the last act of the workflow. The report is fully auto-generated (it re-arranges the tab's content into BAETE's reading order); file it with the underlying documents as Annexure H evidence. For AI assistance, work top to bottom through the tab’s three prompts — diagnose (low-attainment analysis), describe (3.8 narratives), decide (5.4.3 action plans) — pasting each result back before running the next (see Section 6).</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Step 5 — ACT (Review &amp; Report): Close the loop in writing. Run the CQI tab’s three prompts in order — “📋 (low-attainment analysis)”, “📋 (3.8 narratives)”, then “📋 (5.4.3 action plans)”, which drafts the Course Report 6.1 actions and the “Actions reflected” closure text for Specifications 6.1 — then print the CQI Report from Accreditation Documents; every entry flows into it automatically.</w:t>
      </w:r>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report comments, the two “Suggested Modifications” working boxes (T&amp;L and Assessments tabs), and the CQI tab’s narratives, low-attainment analyses, stakeholder register and evidence ticks — and it automatically carries the Course Report's CQI action plans into the new Course Specifications (6.1), and keeps the activity-effectiveness history so the T&amp;L recommender ranks down what did not work. Set the new Semester in Course Info and the loop is closed.</w:t>
      </w:r>
    </w:p>
    <w:p>
      <w:pPr>
        <w:pStyle w:val="Heading1"/>
      </w:pPr>
      <w:r>
        <w:t>6. Using the AI Prompts</w:t>
      </w:r>
    </w:p>
    <w:p>
      <w:pPr/>
      <w:r>
        <w:t>Several buttons across the app copy a carefully curated prompt to the clipboard for pasting into any AI tool (ChatGPT, Claude, Gemini, …). The app itself never calls an AI service — the privacy model is unchanged — and the prompts are designed so that the AI's output pastes back into the app's own boxes, field by field.</w:t>
      </w:r>
    </w:p>
    <w:p>
      <w:pPr>
        <w:pStyle w:val="Heading2"/>
      </w:pPr>
      <w:r>
        <w:t>6.1 The five buttons and when to reach for each</w:t>
      </w:r>
    </w:p>
    <w:p>
      <w:pPr>
        <w:pStyle w:val="ListBullet"/>
      </w:pPr>
      <w:r>
        <w:t>📋 Copy AI Prompt (low-attainment analysis) — CQI tab, inside Low Attainment Analysis. Step 1 of 3: run first. The prompt is tiered: a full (a)/(b)/(c) diagnosis for each not-attained CO; brief preventive “improvement watch” notes for attained-but-borderline COs (below KPI + 15 points, or carrying an item whose class average is below the pass marks); and one collective no-action sentence for strongly attained COs. The pasted findings then feed Steps 2-3 and, lens-matched, the two Suggested Modifications prompts: (a) into the T&amp;L tab's, (b) into the Assessments tab's.</w:t>
      </w:r>
    </w:p>
    <w:p>
      <w:pPr>
        <w:pStyle w:val="ListBullet"/>
      </w:pPr>
      <w:r>
        <w:t>📋 Copy AI Prompt (3.8 narratives) — CQI tab, in the BAETE 3.8 card. Step 2 of 3: drafts only the four narrative boxes (complex problems &amp; POs · effectiveness · tool design · moderation/vetting), engaging critically with the Step-1 analyses — acknowledging diagnosed causes rather than glossing over them.</w:t>
      </w:r>
    </w:p>
    <w:p>
      <w:pPr>
        <w:pStyle w:val="ListBullet"/>
      </w:pPr>
      <w:r>
        <w:t>📋 Copy AI Prompt (5.4.3 action plans) — CQI tab, in the BAETE 5.4.3 card. Step 3 of 3: drafts the five Course Report 6.1 loop rows (as exactly five labelled blocks) and the Specifications 6.1 “Actions reflected” closure text. It embeds your pasted analyses, narratives and working notes and requires the actions to be consistent with them — the plans are the conclusion of the earlier steps.</w:t>
      </w:r>
    </w:p>
    <w:p>
      <w:pPr>
        <w:pStyle w:val="ListBullet"/>
      </w:pPr>
      <w:r>
        <w:t>📋 Copy AI Prompt (T&amp;L suggestions only) — T&amp;L tab, in the Suggested Modifications working box. Extracts just the teaching-learning advice from the incoming Specifications 6.1 and returns it as adoptable pool activities. Use it at PLAN time.</w:t>
      </w:r>
    </w:p>
    <w:p>
      <w:pPr>
        <w:pStyle w:val="ListBullet"/>
      </w:pPr>
      <w:r>
        <w:t>📋 Copy AI Prompt (assessment suggestions only) — Assessments tab, same design, scoped to assessment technique.</w:t>
      </w:r>
    </w:p>
    <w:p>
      <w:pPr>
        <w:pStyle w:val="Heading2"/>
      </w:pPr>
      <w:r>
        <w:t>6.2 The common workflow</w:t>
      </w:r>
    </w:p>
    <w:p>
      <w:pPr/>
      <w:r>
        <w:t>1. Click the button — the complete prompt is copied to the clipboard (a toast confirms it).</w:t>
      </w:r>
    </w:p>
    <w:p>
      <w:pPr/>
      <w:r>
        <w:t>2. Paste it into your AI tool of choice and run it as-is; the prompt already contains all context the AI needs.</w:t>
      </w:r>
    </w:p>
    <w:p>
      <w:pPr/>
      <w:r>
        <w:t>3. Review the output critically — check each suggestion's justification sentence against your knowledge of the class.</w:t>
      </w:r>
    </w:p>
    <w:p>
      <w:pPr/>
      <w:r>
        <w:t>4. Paste back the parts you endorse, field by field: the output headings mirror the app's boxes (narratives, the five loop rows, tasks (a)/(b)/(c)), so nothing needs reformatting.</w:t>
      </w:r>
    </w:p>
    <w:p>
      <w:pPr>
        <w:pStyle w:val="Heading2"/>
      </w:pPr>
      <w:r>
        <w:t>6.3 What the prompts contain — and never contain</w:t>
      </w:r>
    </w:p>
    <w:p>
      <w:pPr/>
      <w:r>
        <w:t>Included: the AUST attainment methodology and thresholds, CO statements with mapped Washington Accord POs and Bloom levels, the assessment plan, aggregate attainment results (direct, indirect, combined), attempt counts and score bands, grade distribution, T&amp;L activity history, and the previous offering's recommendations. Never included: student names, IDs or any per-student record — every statistic is aggregated and anonymised before it reaches the clipboard.</w:t>
      </w:r>
    </w:p>
    <w:p>
      <w:pPr>
        <w:pStyle w:val="Heading2"/>
      </w:pPr>
      <w:r>
        <w:t>6.4 Guardrails and your responsibility</w:t>
      </w:r>
    </w:p>
    <w:p>
      <w:pPr/>
      <w:r>
        <w:t>Every prompt instructs the AI to justify each suggestion in one sentence — its pedagogical fit, the recommendation it addresses, or the evidence motivating it — so unsupported output is easy to spot and discard. The AI drafts; you decide. The narratives, action plans and analyses go out under your signature, so treat the output as a first draft from a well-briefed assistant, not as a conclusion.</w:t>
      </w:r>
    </w:p>
    <w:p>
      <w:pPr>
        <w:pStyle w:val="Heading2"/>
      </w:pPr>
      <w:r>
        <w:t>6.5 Practical tips</w:t>
      </w:r>
    </w:p>
    <w:p>
      <w:pPr>
        <w:pStyle w:val="ListBullet"/>
      </w:pPr>
      <w:r>
        <w:t>Run the T&amp;L and assessment prompts at PLAN time, when the incoming Specifications 6.1 recommendations are fresh (from v1.65 they also carry your lens-matched low-attainment findings, and run even when only those findings exist); run the three CQI-tab prompts only after marks and the survey are in, and in their numbered order — diagnose (low attainment) → describe (3.8) → decide (5.4.3) — pasting each result back before the next.</w:t>
      </w:r>
    </w:p>
    <w:p>
      <w:pPr>
        <w:pStyle w:val="ListBullet"/>
      </w:pPr>
      <w:r>
        <w:t>Keep distilled output in the Suggested Modifications working boxes (T&amp;L and Assessments tabs) while you act on it — pool activities named in the T&amp;L box are boosted in the recommendations, and the boxes feed the “Actions reflected” synthesis later.</w:t>
      </w:r>
    </w:p>
    <w:p>
      <w:pPr>
        <w:pStyle w:val="ListBullet"/>
      </w:pPr>
      <w:r>
        <w:t>If a run returns fewer than five loop-row blocks or thin narratives, simply run it again — the prompt's fallback rules instruct the AI how to fill sparse sources.</w:t>
      </w:r>
    </w:p>
    <w:p w14:paraId="1A1DEB35" w14:textId="77777777" w:rsidR="007E205E" w:rsidRDefault="00000000">
      <w:pPr>
        <w:pStyle w:val="Heading1"/>
      </w:pPr>
      <w:r>
        <w:t>7. Reference: Calculation Methods</w:t>
      </w:r>
    </w:p>
    <w:p w14:paraId="08D5103F" w14:textId="77777777" w:rsidR="007E205E" w:rsidRDefault="00000000">
      <w:pPr>
        <w:pStyle w:val="ListBullet"/>
        <w:spacing w:after="80"/>
      </w:pPr>
      <w:r>
        <w:rPr>
          <w:b/>
        </w:rPr>
        <w:t>Student CO score (%) = marks obtained ÷ marks assessed under the CO × 100. A blank mark on a mandatory item counts as 0; a blank on a choice question (unticked in the Assessment Plan) is excluded — no penalty for legitimately skipped questions. Students with no assessed marks under a CO are excluded from its cohort.</w:t>
      </w:r>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r>
        <w:t>8. Reference: Data Formats</w:t>
      </w:r>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the item label when unique, e.g. “PartA_CO5”; “Assessment::Item” where labels collide — the legacy “Assessment :: Item” form is also accepted)</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Course Evaluation 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r>
        <w:t>9. FAQ and Troubleshooting</w:t>
      </w:r>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r>
        <w:t>10. Support</w:t>
      </w:r>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r w:rsidR="007E205E" w14:paraId="4F101322" w14:textId="77777777">
        <w:tc>
          <w:tcPr>
            <w:tcW w:w="1928" w:type="dxa"/>
          </w:tcPr>
          <w:p w14:paraId="618C5D3C" w14:textId="77777777" w:rsidR="007E205E" w:rsidRDefault="00000000">
            <w:r>
              <w:rPr>
                <w:sz w:val="20"/>
              </w:rPr>
              <w:t>Traditional classroom lecture</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Structured oral exposition with board/slides — the efficient baseline for delivering foundational content to any class size.</w:t>
            </w:r>
          </w:p>
        </w:tc>
        <w:tc>
          <w:tcPr>
            <w:tcW w:w="3402" w:type="dxa"/>
          </w:tcPr>
          <w:p w14:paraId="423D91D3" w14:textId="77777777" w:rsidR="007E205E" w:rsidRDefault="00000000">
            <w:r>
              <w:rPr>
                <w:sz w:val="20"/>
              </w:rPr>
              <w:t>The default of engineering education; retained as an explicit, verifiable entry so adopted 'lectures' can be tracked and paired with active elements (Bligh; Freeman et al. 2014 on its limits).</w:t>
            </w:r>
          </w:p>
        </w:tc>
      </w:tr>
      <w:tr w:rsidR="007E205E" w14:paraId="4F101322" w14:textId="77777777">
        <w:tc>
          <w:tcPr>
            <w:tcW w:w="1928" w:type="dxa"/>
          </w:tcPr>
          <w:p w14:paraId="618C5D3C" w14:textId="77777777" w:rsidR="007E205E" w:rsidRDefault="00000000">
            <w:r>
              <w:rPr>
                <w:sz w:val="20"/>
              </w:rPr>
              <w:t>Inductive teaching &amp; learning</w:t>
            </w:r>
          </w:p>
        </w:tc>
        <w:tc>
          <w:tcPr>
            <w:tcW w:w="907" w:type="dxa"/>
          </w:tcPr>
          <w:p w14:paraId="60E19F49" w14:textId="77777777" w:rsidR="007E205E" w:rsidRDefault="00000000">
            <w:r>
              <w:rPr>
                <w:sz w:val="20"/>
              </w:rPr>
              <w:t>C2–C5</w:t>
            </w:r>
          </w:p>
        </w:tc>
        <w:tc>
          <w:tcPr>
            <w:tcW w:w="2948" w:type="dxa"/>
          </w:tcPr>
          <w:p w14:paraId="4AA8A137" w14:textId="77777777" w:rsidR="007E205E" w:rsidRDefault="00000000">
            <w:r>
              <w:rPr>
                <w:sz w:val="20"/>
              </w:rPr>
              <w:t>Instruction begins with specifics — data, a case or a real problem — from which students induce the governing principles.</w:t>
            </w:r>
          </w:p>
        </w:tc>
        <w:tc>
          <w:tcPr>
            <w:tcW w:w="3402" w:type="dxa"/>
          </w:tcPr>
          <w:p w14:paraId="423D91D3" w14:textId="77777777" w:rsidR="007E205E" w:rsidRDefault="00000000">
            <w:r>
              <w:rPr>
                <w:sz w:val="20"/>
              </w:rPr>
              <w:t>Prince &amp; Felder (2006), J. Engr. Education: inductive methods (inquiry, discovery, JiTT, case- and problem-based) equal or outperform deductive sequencing for conceptual understanding and retention.</w:t>
            </w:r>
          </w:p>
        </w:tc>
      </w:tr>
      <w:tr w:rsidR="007E205E" w14:paraId="4F101322" w14:textId="77777777">
        <w:tc>
          <w:tcPr>
            <w:tcW w:w="1928" w:type="dxa"/>
          </w:tcPr>
          <w:p w14:paraId="618C5D3C" w14:textId="77777777" w:rsidR="007E205E" w:rsidRDefault="00000000">
            <w:r>
              <w:rPr>
                <w:sz w:val="20"/>
              </w:rPr>
              <w:t>In-class group discussion</w:t>
            </w:r>
          </w:p>
        </w:tc>
        <w:tc>
          <w:tcPr>
            <w:tcW w:w="907" w:type="dxa"/>
          </w:tcPr>
          <w:p w14:paraId="60E19F49" w14:textId="77777777" w:rsidR="007E205E" w:rsidRDefault="00000000">
            <w:r>
              <w:rPr>
                <w:sz w:val="20"/>
              </w:rPr>
              <w:t>C2, C4–C5, A</w:t>
            </w:r>
          </w:p>
        </w:tc>
        <w:tc>
          <w:tcPr>
            <w:tcW w:w="2948" w:type="dxa"/>
          </w:tcPr>
          <w:p w14:paraId="4AA8A137" w14:textId="77777777" w:rsidR="007E205E" w:rsidRDefault="00000000">
            <w:r>
              <w:rPr>
                <w:sz w:val="20"/>
              </w:rPr>
              <w:t>Facilitated small-group discussion of a focused question, with groups reporting their conclusions to the class.</w:t>
            </w:r>
          </w:p>
        </w:tc>
        <w:tc>
          <w:tcPr>
            <w:tcW w:w="3402" w:type="dxa"/>
          </w:tcPr>
          <w:p w14:paraId="423D91D3" w14:textId="77777777" w:rsidR="007E205E" w:rsidRDefault="00000000">
            <w:r>
              <w:rPr>
                <w:sz w:val="20"/>
              </w:rPr>
              <w:t>Low-preparation active learning (Barkley et al.); develops argumentation and the affective domain; scales with a reporter structure.</w:t>
            </w:r>
          </w:p>
        </w:tc>
      </w:tr>
      <w:tr w:rsidR="007E205E" w14:paraId="4F101322" w14:textId="77777777">
        <w:tc>
          <w:tcPr>
            <w:tcW w:w="1928" w:type="dxa"/>
          </w:tcPr>
          <w:p w14:paraId="618C5D3C" w14:textId="77777777" w:rsidR="007E205E" w:rsidRDefault="00000000">
            <w:r>
              <w:rPr>
                <w:sz w:val="20"/>
              </w:rPr>
              <w:t>Guided inquiry session</w:t>
            </w:r>
          </w:p>
        </w:tc>
        <w:tc>
          <w:tcPr>
            <w:tcW w:w="907" w:type="dxa"/>
          </w:tcPr>
          <w:p w14:paraId="60E19F49" w14:textId="77777777" w:rsidR="007E205E" w:rsidRDefault="00000000">
            <w:r>
              <w:rPr>
                <w:sz w:val="20"/>
              </w:rPr>
              <w:t>C3–C5</w:t>
            </w:r>
          </w:p>
        </w:tc>
        <w:tc>
          <w:tcPr>
            <w:tcW w:w="2948" w:type="dxa"/>
          </w:tcPr>
          <w:p w14:paraId="4AA8A137" w14:textId="77777777" w:rsidR="007E205E" w:rsidRDefault="00000000">
            <w:r>
              <w:rPr>
                <w:sz w:val="20"/>
              </w:rPr>
              <w:t>Students investigate a driving question through structured, scaffolded steps toward the target concept.</w:t>
            </w:r>
          </w:p>
        </w:tc>
        <w:tc>
          <w:tcPr>
            <w:tcW w:w="3402" w:type="dxa"/>
          </w:tcPr>
          <w:p w14:paraId="423D91D3" w14:textId="77777777" w:rsidR="007E205E" w:rsidRDefault="00000000">
            <w:r>
              <w:rPr>
                <w:sz w:val="20"/>
              </w:rPr>
              <w:t>Inquiry with guidance answers the minimal-guidance critique (Kirschner et al. 2006) while keeping the motivational benefits of discovery.</w:t>
            </w:r>
          </w:p>
        </w:tc>
      </w:tr>
      <w:tr w:rsidR="007E205E" w14:paraId="4F101322" w14:textId="77777777">
        <w:tc>
          <w:tcPr>
            <w:tcW w:w="1928" w:type="dxa"/>
          </w:tcPr>
          <w:p w14:paraId="618C5D3C" w14:textId="77777777" w:rsidR="007E205E" w:rsidRDefault="00000000">
            <w:r>
              <w:rPr>
                <w:sz w:val="20"/>
              </w:rPr>
              <w:t>Just-in-time teaching (JiTT)</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Short web-based responses submitted before class shape that day's session around the revealed gaps.</w:t>
            </w:r>
          </w:p>
        </w:tc>
        <w:tc>
          <w:tcPr>
            <w:tcW w:w="3402" w:type="dxa"/>
          </w:tcPr>
          <w:p w14:paraId="423D91D3" w14:textId="77777777" w:rsidR="007E205E" w:rsidRDefault="00000000">
            <w:r>
              <w:rPr>
                <w:sz w:val="20"/>
              </w:rPr>
              <w:t>Novak et al.: closes the feedback loop before class; pairs naturally with flipped delivery and peer instruction.</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v1.70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