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v1.20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Activities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 Exit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 Exit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 Activities</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(exit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Activities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Untick it for optional questions (e.g., “answer any four of Q2–Q7”) — students are then not penalized for the ones they legitimately skip. If an optional question has sub-parts (Q3a, Q3b), give them a common Group name (e.g., Q3): attempting any part engages the whole question, so unanswered parts count as 0 — partial answers to a chosen question are penalized. If the exam requires answering k of the optional questions, declare it in the assessment's Choice scheme: students attempting fewer than k have the shortfall counted as zeros; a student with no marks in the assessment is treated as absent and excluded.</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 Exit Survey)</w:t>
      </w:r>
    </w:p>
    <w:p w14:paraId="6AD4C82F" w14:textId="77777777" w:rsidR="007E205E" w:rsidRDefault="00000000">
      <w:pPr>
        <w:spacing w:after="80"/>
        <w:ind w:left="340"/>
      </w:pPr>
      <w:r>
        <w:rPr>
          <w:b/>
        </w:rPr>
        <w:t xml:space="preserve">1. </w:t>
      </w:r>
      <w:r>
        <w:t>Print the survey from Accreditation Documents → CO Exit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and select the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 Exit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Activities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v1.20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