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v1.20 · © 2026 Prof. Mazharul Islam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Optional items that are sub-parts of one question share a group name (Q3a, Q3b → group “Q3”). The group is the unit of the student's choice.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but the student attempted another item of the same group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Optional item left blank, and no item of its group was attempted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optional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 varies per CO by design. </w:t>
      </w:r>
      <w:r>
        <w:rPr>
          <w:b w:val="0"/>
          <w:i w:val="0"/>
          <w:color w:val="1F2D3D"/>
          <w:sz w:val="22"/>
        </w:rPr>
        <w:t>A small n on a CO assessed only through optional questions means few students chose it — a curriculum signal in itself, visible before any percentage is read.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 xml:space="preserve">Status: implemented in v1.20. </w:t>
      </w:r>
      <w:r>
        <w:rPr>
          <w:b w:val="0"/>
          <w:i w:val="0"/>
          <w:color w:val="1F2D3D"/>
        </w:rPr>
        <w:t>The rules below describe how the tool treats students who answer fewer optional questions than the exam requires.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Declaration: </w:t>
      </w:r>
      <w:r>
        <w:rPr>
          <w:b w:val="0"/>
          <w:i w:val="0"/>
          <w:color w:val="1F2D3D"/>
          <w:sz w:val="22"/>
        </w:rPr>
        <w:t>each assessment gains a field — “students must answer k of the optional questions” (e.g., 4 of 6). A question-unit is a group (Q3a+Q3b = one question) or an ungrouped optional item.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optional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