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20" w:line="274" w:lineRule="auto"/>
        <w:jc w:val="left"/>
      </w:pPr>
      <w:r>
        <w:rPr>
          <w:rFonts w:ascii="Calibri" w:hAnsi="Calibri"/>
          <w:b/>
          <w:i w:val="0"/>
          <w:color w:val="0F6B5C"/>
          <w:sz w:val="22"/>
        </w:rPr>
        <w:t>OBE COURSE MANAGER</w:t>
      </w:r>
    </w:p>
    <w:p>
      <w:pPr>
        <w:spacing w:before="0" w:after="120" w:line="274" w:lineRule="auto"/>
        <w:jc w:val="left"/>
      </w:pPr>
      <w:r>
        <w:rPr>
          <w:rFonts w:ascii="Calibri" w:hAnsi="Calibri"/>
          <w:b/>
          <w:i w:val="0"/>
          <w:color w:val="083A32"/>
          <w:sz w:val="80"/>
        </w:rPr>
        <w:t>User Guide</w:t>
      </w:r>
    </w:p>
    <w:p>
      <w:pPr>
        <w:spacing w:before="0" w:after="520" w:line="274" w:lineRule="auto"/>
        <w:jc w:val="left"/>
      </w:pPr>
      <w:r>
        <w:rPr>
          <w:rFonts w:ascii="Calibri" w:hAnsi="Calibri"/>
          <w:b w:val="0"/>
          <w:i/>
          <w:color w:val="5C6B68"/>
          <w:sz w:val="30"/>
        </w:rPr>
        <w:t>A practical guide for teachers who are new to Outcome-Based Education</w:t>
      </w:r>
    </w:p>
    <w:p>
      <w:pPr>
        <w:spacing w:before="0" w:after="80" w:line="274" w:lineRule="auto"/>
        <w:jc w:val="left"/>
      </w:pPr>
      <w:r>
        <w:rPr>
          <w:rFonts w:ascii="Calibri" w:hAnsi="Calibri"/>
          <w:b/>
          <w:i w:val="0"/>
          <w:color w:val="083A32"/>
          <w:sz w:val="24"/>
        </w:rPr>
        <w:t>Version 2.36  ·  September 2026</w:t>
      </w:r>
    </w:p>
    <w:p>
      <w:pPr>
        <w:spacing w:before="0" w:after="440" w:line="274" w:lineRule="auto"/>
        <w:jc w:val="left"/>
      </w:pPr>
      <w:r>
        <w:rPr>
          <w:rFonts w:ascii="Calibri" w:hAnsi="Calibri"/>
          <w:b w:val="0"/>
          <w:i w:val="0"/>
          <w:color w:val="0F6B5C"/>
          <w:sz w:val="24"/>
        </w:rPr>
        <w:t>mazhar17.github.io/ocm</w:t>
      </w:r>
    </w:p>
    <w:p>
      <w:pPr>
        <w:spacing w:before="0" w:after="200" w:line="274" w:lineRule="auto"/>
        <w:jc w:val="left"/>
      </w:pPr>
      <w:r>
        <w:rPr>
          <w:rFonts w:ascii="Calibri" w:hAnsi="Calibri"/>
          <w:b w:val="0"/>
          <w:i w:val="0"/>
          <w:color w:val="5C6B68"/>
          <w:sz w:val="20"/>
        </w:rPr>
        <w:t>© 2026 Prof. Mazharul Islam. Distributed under the Creative Commons Attribution (CC BY) 4.0 International Licence. You may copy, adapt and share this guide, including for your own university, provided you give credit.</w:t>
      </w:r>
    </w:p>
    <w:p>
      <w:pPr>
        <w:pBdr>
          <w:left w:val="single" w:sz="14" w:space="8" w:color="0F6B5C"/>
        </w:pBdr>
        <w:spacing w:before="100" w:after="180" w:line="271" w:lineRule="auto"/>
        <w:ind w:left="230"/>
      </w:pPr>
      <w:r>
        <w:rPr>
          <w:rFonts w:ascii="Calibri" w:hAnsi="Calibri"/>
          <w:b/>
          <w:color w:val="0F6B5C"/>
          <w:sz w:val="21"/>
        </w:rPr>
        <w:t xml:space="preserve">Who this guide is for.  </w:t>
      </w:r>
      <w:r>
        <w:rPr>
          <w:rFonts w:ascii="Calibri" w:hAnsi="Calibri"/>
          <w:color w:val="1F2A28"/>
          <w:sz w:val="21"/>
        </w:rPr>
        <w:t>You teach a course. Your department has to show an accreditation body that students achieved what the course promised. This guide shows you how to do that with the OBE Course Manager, without assuming you already know the vocabulary. If a word is new to you, look in Section 2. Every term is explained the first time it appears.</w:t>
      </w:r>
    </w:p>
    <w:p>
      <w:r>
        <w:br w:type="page"/>
      </w:r>
    </w:p>
    <w:p>
      <w:pPr>
        <w:pStyle w:val="Heading1"/>
      </w:pPr>
      <w:r>
        <w:t>Contents</w:t>
      </w:r>
    </w:p>
    <w:p>
      <w:pPr>
        <w:spacing w:before="160" w:after="40" w:line="274" w:lineRule="auto"/>
        <w:jc w:val="left"/>
      </w:pPr>
      <w:r>
        <w:rPr>
          <w:rFonts w:ascii="Calibri" w:hAnsi="Calibri"/>
          <w:b/>
          <w:i w:val="0"/>
          <w:color w:val="0F6B5C"/>
          <w:sz w:val="24"/>
        </w:rPr>
        <w:t>Part 1 — Start here</w:t>
      </w:r>
    </w:p>
    <w:p>
      <w:pPr>
        <w:spacing w:before="0" w:after="40" w:line="274" w:lineRule="auto"/>
        <w:ind w:left="288"/>
        <w:jc w:val="left"/>
      </w:pPr>
      <w:r>
        <w:rPr>
          <w:rFonts w:ascii="Calibri" w:hAnsi="Calibri"/>
          <w:b w:val="0"/>
          <w:i w:val="0"/>
          <w:color w:val="1F2A28"/>
          <w:sz w:val="22"/>
        </w:rPr>
        <w:t>1. What this tool does</w:t>
      </w:r>
    </w:p>
    <w:p>
      <w:pPr>
        <w:spacing w:before="0" w:after="40" w:line="274" w:lineRule="auto"/>
        <w:ind w:left="288"/>
        <w:jc w:val="left"/>
      </w:pPr>
      <w:r>
        <w:rPr>
          <w:rFonts w:ascii="Calibri" w:hAnsi="Calibri"/>
          <w:b w:val="0"/>
          <w:i w:val="0"/>
          <w:color w:val="1F2A28"/>
          <w:sz w:val="22"/>
        </w:rPr>
        <w:t>2. Words you will meet</w:t>
      </w:r>
    </w:p>
    <w:p>
      <w:pPr>
        <w:spacing w:before="0" w:after="40" w:line="274" w:lineRule="auto"/>
        <w:ind w:left="288"/>
        <w:jc w:val="left"/>
      </w:pPr>
      <w:r>
        <w:rPr>
          <w:rFonts w:ascii="Calibri" w:hAnsi="Calibri"/>
          <w:b w:val="0"/>
          <w:i w:val="0"/>
          <w:color w:val="1F2A28"/>
          <w:sz w:val="22"/>
        </w:rPr>
        <w:t>3. Your first hour</w:t>
      </w:r>
    </w:p>
    <w:p>
      <w:pPr>
        <w:spacing w:before="0" w:after="40" w:line="274" w:lineRule="auto"/>
        <w:ind w:left="288"/>
        <w:jc w:val="left"/>
      </w:pPr>
      <w:r>
        <w:rPr>
          <w:rFonts w:ascii="Calibri" w:hAnsi="Calibri"/>
          <w:b w:val="0"/>
          <w:i w:val="0"/>
          <w:color w:val="1F2A28"/>
          <w:sz w:val="22"/>
        </w:rPr>
        <w:t>4. Your first semester</w:t>
      </w:r>
    </w:p>
    <w:p>
      <w:pPr>
        <w:spacing w:before="160" w:after="40" w:line="274" w:lineRule="auto"/>
        <w:jc w:val="left"/>
      </w:pPr>
      <w:r>
        <w:rPr>
          <w:rFonts w:ascii="Calibri" w:hAnsi="Calibri"/>
          <w:b/>
          <w:i w:val="0"/>
          <w:color w:val="0F6B5C"/>
          <w:sz w:val="24"/>
        </w:rPr>
        <w:t>Part 2 — Setting up</w:t>
      </w:r>
    </w:p>
    <w:p>
      <w:pPr>
        <w:spacing w:before="0" w:after="40" w:line="274" w:lineRule="auto"/>
        <w:ind w:left="288"/>
        <w:jc w:val="left"/>
      </w:pPr>
      <w:r>
        <w:rPr>
          <w:rFonts w:ascii="Calibri" w:hAnsi="Calibri"/>
          <w:b w:val="0"/>
          <w:i w:val="0"/>
          <w:color w:val="1F2A28"/>
          <w:sz w:val="22"/>
        </w:rPr>
        <w:t>5. Opening the tool</w:t>
      </w:r>
    </w:p>
    <w:p>
      <w:pPr>
        <w:spacing w:before="0" w:after="40" w:line="274" w:lineRule="auto"/>
        <w:ind w:left="288"/>
        <w:jc w:val="left"/>
      </w:pPr>
      <w:r>
        <w:rPr>
          <w:rFonts w:ascii="Calibri" w:hAnsi="Calibri"/>
          <w:b w:val="0"/>
          <w:i w:val="0"/>
          <w:color w:val="1F2A28"/>
          <w:sz w:val="22"/>
        </w:rPr>
        <w:t>6. Keeping your data safe</w:t>
      </w:r>
    </w:p>
    <w:p>
      <w:pPr>
        <w:spacing w:before="0" w:after="40" w:line="274" w:lineRule="auto"/>
        <w:ind w:left="288"/>
        <w:jc w:val="left"/>
      </w:pPr>
      <w:r>
        <w:rPr>
          <w:rFonts w:ascii="Calibri" w:hAnsi="Calibri"/>
          <w:b w:val="0"/>
          <w:i w:val="0"/>
          <w:color w:val="1F2A28"/>
          <w:sz w:val="22"/>
        </w:rPr>
        <w:t>7. Setup: make it your university's</w:t>
      </w:r>
    </w:p>
    <w:p>
      <w:pPr>
        <w:spacing w:before="0" w:after="40" w:line="274" w:lineRule="auto"/>
        <w:ind w:left="288"/>
        <w:jc w:val="left"/>
      </w:pPr>
      <w:r>
        <w:rPr>
          <w:rFonts w:ascii="Calibri" w:hAnsi="Calibri"/>
          <w:b w:val="0"/>
          <w:i w:val="0"/>
          <w:color w:val="1F2A28"/>
          <w:sz w:val="22"/>
        </w:rPr>
        <w:t>8. Choosing the framework</w:t>
      </w:r>
    </w:p>
    <w:p>
      <w:pPr>
        <w:spacing w:before="160" w:after="40" w:line="274" w:lineRule="auto"/>
        <w:jc w:val="left"/>
      </w:pPr>
      <w:r>
        <w:rPr>
          <w:rFonts w:ascii="Calibri" w:hAnsi="Calibri"/>
          <w:b/>
          <w:i w:val="0"/>
          <w:color w:val="0F6B5C"/>
          <w:sz w:val="24"/>
        </w:rPr>
        <w:t>Part 3 — Working through a semester</w:t>
      </w:r>
    </w:p>
    <w:p>
      <w:pPr>
        <w:spacing w:before="0" w:after="40" w:line="274" w:lineRule="auto"/>
        <w:ind w:left="288"/>
        <w:jc w:val="left"/>
      </w:pPr>
      <w:r>
        <w:rPr>
          <w:rFonts w:ascii="Calibri" w:hAnsi="Calibri"/>
          <w:b w:val="0"/>
          <w:i w:val="0"/>
          <w:color w:val="1F2A28"/>
          <w:sz w:val="22"/>
        </w:rPr>
        <w:t>9. Course Info and the four settings that matter</w:t>
      </w:r>
    </w:p>
    <w:p>
      <w:pPr>
        <w:spacing w:before="0" w:after="40" w:line="274" w:lineRule="auto"/>
        <w:ind w:left="288"/>
        <w:jc w:val="left"/>
      </w:pPr>
      <w:r>
        <w:rPr>
          <w:rFonts w:ascii="Calibri" w:hAnsi="Calibri"/>
          <w:b w:val="0"/>
          <w:i w:val="0"/>
          <w:color w:val="1F2A28"/>
          <w:sz w:val="22"/>
        </w:rPr>
        <w:t>10. Writing Course Outcomes</w:t>
      </w:r>
    </w:p>
    <w:p>
      <w:pPr>
        <w:spacing w:before="0" w:after="40" w:line="274" w:lineRule="auto"/>
        <w:ind w:left="288"/>
        <w:jc w:val="left"/>
      </w:pPr>
      <w:r>
        <w:rPr>
          <w:rFonts w:ascii="Calibri" w:hAnsi="Calibri"/>
          <w:b w:val="0"/>
          <w:i w:val="0"/>
          <w:color w:val="1F2A28"/>
          <w:sz w:val="22"/>
        </w:rPr>
        <w:t>11. Mapping COs to Programme Outcomes</w:t>
      </w:r>
    </w:p>
    <w:p>
      <w:pPr>
        <w:spacing w:before="0" w:after="40" w:line="274" w:lineRule="auto"/>
        <w:ind w:left="288"/>
        <w:jc w:val="left"/>
      </w:pPr>
      <w:r>
        <w:rPr>
          <w:rFonts w:ascii="Calibri" w:hAnsi="Calibri"/>
          <w:b w:val="0"/>
          <w:i w:val="0"/>
          <w:color w:val="1F2A28"/>
          <w:sz w:val="22"/>
        </w:rPr>
        <w:t>12. §14: Knowledge Profile, complex problems, complex activities</w:t>
      </w:r>
    </w:p>
    <w:p>
      <w:pPr>
        <w:spacing w:before="0" w:after="40" w:line="274" w:lineRule="auto"/>
        <w:ind w:left="288"/>
        <w:jc w:val="left"/>
      </w:pPr>
      <w:r>
        <w:rPr>
          <w:rFonts w:ascii="Calibri" w:hAnsi="Calibri"/>
          <w:b w:val="0"/>
          <w:i w:val="0"/>
          <w:color w:val="1F2A28"/>
          <w:sz w:val="22"/>
        </w:rPr>
        <w:t>13. The Sustainable Development Goals</w:t>
      </w:r>
    </w:p>
    <w:p>
      <w:pPr>
        <w:spacing w:before="0" w:after="40" w:line="274" w:lineRule="auto"/>
        <w:ind w:left="288"/>
        <w:jc w:val="left"/>
      </w:pPr>
      <w:r>
        <w:rPr>
          <w:rFonts w:ascii="Calibri" w:hAnsi="Calibri"/>
          <w:b w:val="0"/>
          <w:i w:val="0"/>
          <w:color w:val="1F2A28"/>
          <w:sz w:val="22"/>
        </w:rPr>
        <w:t>14. Teaching and learning activities</w:t>
      </w:r>
    </w:p>
    <w:p>
      <w:pPr>
        <w:spacing w:before="0" w:after="40" w:line="274" w:lineRule="auto"/>
        <w:ind w:left="288"/>
        <w:jc w:val="left"/>
      </w:pPr>
      <w:r>
        <w:rPr>
          <w:rFonts w:ascii="Calibri" w:hAnsi="Calibri"/>
          <w:b w:val="0"/>
          <w:i w:val="0"/>
          <w:color w:val="1F2A28"/>
          <w:sz w:val="22"/>
        </w:rPr>
        <w:t>15. Learning resources and the topic plan</w:t>
      </w:r>
    </w:p>
    <w:p>
      <w:pPr>
        <w:spacing w:before="0" w:after="40" w:line="274" w:lineRule="auto"/>
        <w:ind w:left="288"/>
        <w:jc w:val="left"/>
      </w:pPr>
      <w:r>
        <w:rPr>
          <w:rFonts w:ascii="Calibri" w:hAnsi="Calibri"/>
          <w:b w:val="0"/>
          <w:i w:val="0"/>
          <w:color w:val="1F2A28"/>
          <w:sz w:val="22"/>
        </w:rPr>
        <w:t>16. The assessment plan</w:t>
      </w:r>
    </w:p>
    <w:p>
      <w:pPr>
        <w:spacing w:before="0" w:after="40" w:line="274" w:lineRule="auto"/>
        <w:ind w:left="288"/>
        <w:jc w:val="left"/>
      </w:pPr>
      <w:r>
        <w:rPr>
          <w:rFonts w:ascii="Calibri" w:hAnsi="Calibri"/>
          <w:b w:val="0"/>
          <w:i w:val="0"/>
          <w:color w:val="1F2A28"/>
          <w:sz w:val="22"/>
        </w:rPr>
        <w:t>17. Tagging questions, audits and rubrics</w:t>
      </w:r>
    </w:p>
    <w:p>
      <w:pPr>
        <w:spacing w:before="0" w:after="40" w:line="274" w:lineRule="auto"/>
        <w:ind w:left="288"/>
        <w:jc w:val="left"/>
      </w:pPr>
      <w:r>
        <w:rPr>
          <w:rFonts w:ascii="Calibri" w:hAnsi="Calibri"/>
          <w:b w:val="0"/>
          <w:i w:val="0"/>
          <w:color w:val="1F2A28"/>
          <w:sz w:val="22"/>
        </w:rPr>
        <w:t>18. Constructive Alignment: the CA Section</w:t>
      </w:r>
    </w:p>
    <w:p>
      <w:pPr>
        <w:spacing w:before="0" w:after="40" w:line="274" w:lineRule="auto"/>
        <w:ind w:left="288"/>
        <w:jc w:val="left"/>
      </w:pPr>
      <w:r>
        <w:rPr>
          <w:rFonts w:ascii="Calibri" w:hAnsi="Calibri"/>
          <w:b w:val="0"/>
          <w:i w:val="0"/>
          <w:color w:val="1F2A28"/>
          <w:sz w:val="22"/>
        </w:rPr>
        <w:t>19. Students and marks</w:t>
      </w:r>
    </w:p>
    <w:p>
      <w:pPr>
        <w:spacing w:before="0" w:after="40" w:line="274" w:lineRule="auto"/>
        <w:ind w:left="288"/>
        <w:jc w:val="left"/>
      </w:pPr>
      <w:r>
        <w:rPr>
          <w:rFonts w:ascii="Calibri" w:hAnsi="Calibri"/>
          <w:b w:val="0"/>
          <w:i w:val="0"/>
          <w:color w:val="1F2A28"/>
          <w:sz w:val="22"/>
        </w:rPr>
        <w:t>20. Attainment: direct, indirect, combined</w:t>
      </w:r>
    </w:p>
    <w:p>
      <w:pPr>
        <w:spacing w:before="0" w:after="40" w:line="274" w:lineRule="auto"/>
        <w:ind w:left="288"/>
        <w:jc w:val="left"/>
      </w:pPr>
      <w:r>
        <w:rPr>
          <w:rFonts w:ascii="Calibri" w:hAnsi="Calibri"/>
          <w:b w:val="0"/>
          <w:i w:val="0"/>
          <w:color w:val="1F2A28"/>
          <w:sz w:val="22"/>
        </w:rPr>
        <w:t>21. Comparing offerings</w:t>
      </w:r>
    </w:p>
    <w:p>
      <w:pPr>
        <w:spacing w:before="0" w:after="40" w:line="274" w:lineRule="auto"/>
        <w:ind w:left="288"/>
        <w:jc w:val="left"/>
      </w:pPr>
      <w:r>
        <w:rPr>
          <w:rFonts w:ascii="Calibri" w:hAnsi="Calibri"/>
          <w:b w:val="0"/>
          <w:i w:val="0"/>
          <w:color w:val="1F2A28"/>
          <w:sz w:val="22"/>
        </w:rPr>
        <w:t>22. CQI: closing the loop</w:t>
      </w:r>
    </w:p>
    <w:p>
      <w:pPr>
        <w:spacing w:before="0" w:after="40" w:line="274" w:lineRule="auto"/>
        <w:ind w:left="288"/>
        <w:jc w:val="left"/>
      </w:pPr>
      <w:r>
        <w:rPr>
          <w:rFonts w:ascii="Calibri" w:hAnsi="Calibri"/>
          <w:b w:val="0"/>
          <w:i w:val="0"/>
          <w:color w:val="1F2A28"/>
          <w:sz w:val="22"/>
        </w:rPr>
        <w:t>23. The twelve documents</w:t>
      </w:r>
    </w:p>
    <w:p>
      <w:pPr>
        <w:spacing w:before="0" w:after="40" w:line="274" w:lineRule="auto"/>
        <w:ind w:left="288"/>
        <w:jc w:val="left"/>
      </w:pPr>
      <w:r>
        <w:rPr>
          <w:rFonts w:ascii="Calibri" w:hAnsi="Calibri"/>
          <w:b w:val="0"/>
          <w:i w:val="0"/>
          <w:color w:val="1F2A28"/>
          <w:sz w:val="22"/>
        </w:rPr>
        <w:t>24. Changing something already approved</w:t>
      </w:r>
    </w:p>
    <w:p>
      <w:pPr>
        <w:spacing w:before="160" w:after="40" w:line="274" w:lineRule="auto"/>
        <w:jc w:val="left"/>
      </w:pPr>
      <w:r>
        <w:rPr>
          <w:rFonts w:ascii="Calibri" w:hAnsi="Calibri"/>
          <w:b/>
          <w:i w:val="0"/>
          <w:color w:val="0F6B5C"/>
          <w:sz w:val="24"/>
        </w:rPr>
        <w:t>Part 4 — Reference</w:t>
      </w:r>
    </w:p>
    <w:p>
      <w:pPr>
        <w:spacing w:before="0" w:after="40" w:line="274" w:lineRule="auto"/>
        <w:ind w:left="288"/>
        <w:jc w:val="left"/>
      </w:pPr>
      <w:r>
        <w:rPr>
          <w:rFonts w:ascii="Calibri" w:hAnsi="Calibri"/>
          <w:b w:val="0"/>
          <w:i w:val="0"/>
          <w:color w:val="1F2A28"/>
          <w:sz w:val="22"/>
        </w:rPr>
        <w:t>25. How the numbers are worked out</w:t>
      </w:r>
    </w:p>
    <w:p>
      <w:pPr>
        <w:spacing w:before="0" w:after="40" w:line="274" w:lineRule="auto"/>
        <w:ind w:left="288"/>
        <w:jc w:val="left"/>
      </w:pPr>
      <w:r>
        <w:rPr>
          <w:rFonts w:ascii="Calibri" w:hAnsi="Calibri"/>
          <w:b w:val="0"/>
          <w:i w:val="0"/>
          <w:color w:val="1F2A28"/>
          <w:sz w:val="22"/>
        </w:rPr>
        <w:t>26. Data formats</w:t>
      </w:r>
    </w:p>
    <w:p>
      <w:pPr>
        <w:spacing w:before="0" w:after="40" w:line="274" w:lineRule="auto"/>
        <w:ind w:left="288"/>
        <w:jc w:val="left"/>
      </w:pPr>
      <w:r>
        <w:rPr>
          <w:rFonts w:ascii="Calibri" w:hAnsi="Calibri"/>
          <w:b w:val="0"/>
          <w:i w:val="0"/>
          <w:color w:val="1F2A28"/>
          <w:sz w:val="22"/>
        </w:rPr>
        <w:t>27. Questions people ask</w:t>
      </w:r>
    </w:p>
    <w:p>
      <w:pPr>
        <w:spacing w:before="0" w:after="40" w:line="274" w:lineRule="auto"/>
        <w:ind w:left="288"/>
        <w:jc w:val="left"/>
      </w:pPr>
      <w:r>
        <w:rPr>
          <w:rFonts w:ascii="Calibri" w:hAnsi="Calibri"/>
          <w:b w:val="0"/>
          <w:i w:val="0"/>
          <w:color w:val="1F2A28"/>
          <w:sz w:val="22"/>
        </w:rPr>
        <w:t>28. Where to get help</w:t>
      </w:r>
    </w:p>
    <w:p>
      <w:pPr>
        <w:spacing w:before="0" w:after="40" w:line="274" w:lineRule="auto"/>
        <w:ind w:left="288"/>
        <w:jc w:val="left"/>
      </w:pPr>
      <w:r>
        <w:rPr>
          <w:rFonts w:ascii="Calibri" w:hAnsi="Calibri"/>
          <w:b w:val="0"/>
          <w:i w:val="0"/>
          <w:color w:val="1F2A28"/>
          <w:sz w:val="22"/>
        </w:rPr>
        <w:t>Appendix A — the teaching and learning activity pool</w:t>
      </w:r>
    </w:p>
    <w:p>
      <w:r>
        <w:br w:type="page"/>
      </w:r>
    </w:p>
    <w:p>
      <w:pPr>
        <w:pStyle w:val="Heading1"/>
      </w:pPr>
      <w:r>
        <w:t>Part 1 — Start here</w:t>
      </w:r>
    </w:p>
    <w:p>
      <w:pPr>
        <w:spacing w:before="0" w:after="140" w:line="274" w:lineRule="auto"/>
        <w:jc w:val="left"/>
      </w:pPr>
      <w:r>
        <w:rPr>
          <w:rFonts w:ascii="Calibri" w:hAnsi="Calibri"/>
          <w:b w:val="0"/>
          <w:i/>
          <w:color w:val="5C6B68"/>
          <w:sz w:val="22"/>
        </w:rPr>
        <w:t>Four short sections. Read them once and you can begin.</w:t>
      </w:r>
    </w:p>
    <w:p>
      <w:pPr>
        <w:pStyle w:val="Heading2"/>
      </w:pPr>
      <w:r>
        <w:t>1. What this tool does</w:t>
      </w:r>
    </w:p>
    <w:p>
      <w:pPr>
        <w:spacing w:before="0" w:after="140" w:line="274" w:lineRule="auto"/>
        <w:jc w:val="left"/>
      </w:pPr>
      <w:r>
        <w:rPr>
          <w:rFonts w:ascii="Calibri" w:hAnsi="Calibri"/>
          <w:b w:val="0"/>
          <w:i w:val="0"/>
          <w:color w:val="1F2A28"/>
          <w:sz w:val="22"/>
        </w:rPr>
        <w:t>Outcome-Based Education starts from a simple question: what should a student be able to do at the end of this course? You answer that question in writing. Then you teach towards it, assess it, and show what the results were.</w:t>
      </w:r>
    </w:p>
    <w:p>
      <w:pPr>
        <w:spacing w:before="0" w:after="140" w:line="274" w:lineRule="auto"/>
        <w:jc w:val="left"/>
      </w:pPr>
      <w:r>
        <w:rPr>
          <w:rFonts w:ascii="Calibri" w:hAnsi="Calibri"/>
          <w:b w:val="0"/>
          <w:i w:val="0"/>
          <w:color w:val="1F2A28"/>
          <w:sz w:val="22"/>
        </w:rPr>
        <w:t>The OBE Course Manager helps you do all four. It is one file that runs in your web browser. There is nothing to install, no account to make, and no fee. Your data stays on your own computer.</w:t>
      </w:r>
    </w:p>
    <w:p>
      <w:pPr>
        <w:spacing w:before="0" w:after="140" w:line="274" w:lineRule="auto"/>
        <w:jc w:val="left"/>
      </w:pPr>
      <w:r>
        <w:rPr>
          <w:rFonts w:ascii="Calibri" w:hAnsi="Calibri"/>
          <w:b w:val="0"/>
          <w:i w:val="0"/>
          <w:color w:val="1F2A28"/>
          <w:sz w:val="22"/>
        </w:rPr>
        <w:t>It does five things:</w:t>
      </w:r>
    </w:p>
    <w:p>
      <w:pPr>
        <w:spacing w:after="60" w:line="269" w:lineRule="auto"/>
        <w:ind w:left="490" w:hanging="490"/>
      </w:pPr>
      <w:r>
        <w:rPr>
          <w:rFonts w:ascii="Calibri" w:hAnsi="Calibri"/>
          <w:b/>
          <w:color w:val="0F6B5C"/>
          <w:sz w:val="22"/>
        </w:rPr>
        <w:t xml:space="preserve">1.   </w:t>
      </w:r>
      <w:r>
        <w:rPr>
          <w:rFonts w:ascii="Calibri" w:hAnsi="Calibri"/>
          <w:b/>
          <w:color w:val="083A32"/>
          <w:sz w:val="22"/>
        </w:rPr>
        <w:t xml:space="preserve">You state the outcomes.  </w:t>
      </w:r>
      <w:r>
        <w:rPr>
          <w:rFonts w:ascii="Calibri" w:hAnsi="Calibri"/>
          <w:color w:val="1F2A28"/>
          <w:sz w:val="22"/>
        </w:rPr>
        <w:t>You write what students should be able to do, and link each one to your programme's goals.</w:t>
      </w:r>
    </w:p>
    <w:p>
      <w:pPr>
        <w:spacing w:after="60" w:line="269" w:lineRule="auto"/>
        <w:ind w:left="490" w:hanging="490"/>
      </w:pPr>
      <w:r>
        <w:rPr>
          <w:rFonts w:ascii="Calibri" w:hAnsi="Calibri"/>
          <w:b/>
          <w:color w:val="0F6B5C"/>
          <w:sz w:val="22"/>
        </w:rPr>
        <w:t xml:space="preserve">2.   </w:t>
      </w:r>
      <w:r>
        <w:rPr>
          <w:rFonts w:ascii="Calibri" w:hAnsi="Calibri"/>
          <w:b/>
          <w:color w:val="083A32"/>
          <w:sz w:val="22"/>
        </w:rPr>
        <w:t xml:space="preserve">You plan the teaching.  </w:t>
      </w:r>
      <w:r>
        <w:rPr>
          <w:rFonts w:ascii="Calibri" w:hAnsi="Calibri"/>
          <w:color w:val="1F2A28"/>
          <w:sz w:val="22"/>
        </w:rPr>
        <w:t>For each outcome, the tool suggests teaching methods that suit it.</w:t>
      </w:r>
    </w:p>
    <w:p>
      <w:pPr>
        <w:spacing w:after="60" w:line="269" w:lineRule="auto"/>
        <w:ind w:left="490" w:hanging="490"/>
      </w:pPr>
      <w:r>
        <w:rPr>
          <w:rFonts w:ascii="Calibri" w:hAnsi="Calibri"/>
          <w:b/>
          <w:color w:val="0F6B5C"/>
          <w:sz w:val="22"/>
        </w:rPr>
        <w:t xml:space="preserve">3.   </w:t>
      </w:r>
      <w:r>
        <w:rPr>
          <w:rFonts w:ascii="Calibri" w:hAnsi="Calibri"/>
          <w:b/>
          <w:color w:val="083A32"/>
          <w:sz w:val="22"/>
        </w:rPr>
        <w:t xml:space="preserve">You plan the assessment.  </w:t>
      </w:r>
      <w:r>
        <w:rPr>
          <w:rFonts w:ascii="Calibri" w:hAnsi="Calibri"/>
          <w:color w:val="1F2A28"/>
          <w:sz w:val="22"/>
        </w:rPr>
        <w:t>Every exam question, assignment and laboratory task is labelled with the outcome it measures.</w:t>
      </w:r>
    </w:p>
    <w:p>
      <w:pPr>
        <w:spacing w:after="60" w:line="269" w:lineRule="auto"/>
        <w:ind w:left="490" w:hanging="490"/>
      </w:pPr>
      <w:r>
        <w:rPr>
          <w:rFonts w:ascii="Calibri" w:hAnsi="Calibri"/>
          <w:b/>
          <w:color w:val="0F6B5C"/>
          <w:sz w:val="22"/>
        </w:rPr>
        <w:t xml:space="preserve">4.   </w:t>
      </w:r>
      <w:r>
        <w:rPr>
          <w:rFonts w:ascii="Calibri" w:hAnsi="Calibri"/>
          <w:b/>
          <w:color w:val="083A32"/>
          <w:sz w:val="22"/>
        </w:rPr>
        <w:t xml:space="preserve">You enter marks.  </w:t>
      </w:r>
      <w:r>
        <w:rPr>
          <w:rFonts w:ascii="Calibri" w:hAnsi="Calibri"/>
          <w:color w:val="1F2A28"/>
          <w:sz w:val="22"/>
        </w:rPr>
        <w:t>Enter the marks and the tool works out how far each outcome was achieved.</w:t>
      </w:r>
    </w:p>
    <w:p>
      <w:pPr>
        <w:spacing w:after="60" w:line="269" w:lineRule="auto"/>
        <w:ind w:left="490" w:hanging="490"/>
      </w:pPr>
      <w:r>
        <w:rPr>
          <w:rFonts w:ascii="Calibri" w:hAnsi="Calibri"/>
          <w:b/>
          <w:color w:val="0F6B5C"/>
          <w:sz w:val="22"/>
        </w:rPr>
        <w:t xml:space="preserve">5.   </w:t>
      </w:r>
      <w:r>
        <w:rPr>
          <w:rFonts w:ascii="Calibri" w:hAnsi="Calibri"/>
          <w:b/>
          <w:color w:val="083A32"/>
          <w:sz w:val="22"/>
        </w:rPr>
        <w:t xml:space="preserve">You print the evidence.  </w:t>
      </w:r>
      <w:r>
        <w:rPr>
          <w:rFonts w:ascii="Calibri" w:hAnsi="Calibri"/>
          <w:color w:val="1F2A28"/>
          <w:sz w:val="22"/>
        </w:rPr>
        <w:t>Twelve documents are filled in from what you have already entered. You print them.</w:t>
      </w:r>
    </w:p>
    <w:p>
      <w:pPr>
        <w:pBdr>
          <w:left w:val="single" w:sz="14" w:space="8" w:color="A87210"/>
        </w:pBdr>
        <w:spacing w:before="100" w:after="180" w:line="271" w:lineRule="auto"/>
        <w:ind w:left="230"/>
      </w:pPr>
      <w:r>
        <w:rPr>
          <w:rFonts w:ascii="Calibri" w:hAnsi="Calibri"/>
          <w:b/>
          <w:color w:val="A87210"/>
          <w:sz w:val="21"/>
        </w:rPr>
        <w:t xml:space="preserve">What it is not.  </w:t>
      </w:r>
      <w:r>
        <w:rPr>
          <w:rFonts w:ascii="Calibri" w:hAnsi="Calibri"/>
          <w:color w:val="1F2A28"/>
          <w:sz w:val="21"/>
        </w:rPr>
        <w:t>It is not a learning-management system. It does not enrol students, collect submissions or publish results. It also does not make decisions for you. It calculates, it checks, and it tells you when something does not add up. What to do about that is your judgement.</w:t>
      </w:r>
    </w:p>
    <w:p>
      <w:pPr>
        <w:pStyle w:val="Heading2"/>
      </w:pPr>
      <w:r>
        <w:t>2. Words you will meet</w:t>
      </w:r>
    </w:p>
    <w:p>
      <w:pPr>
        <w:spacing w:before="0" w:after="140" w:line="274" w:lineRule="auto"/>
        <w:jc w:val="left"/>
      </w:pPr>
      <w:r>
        <w:rPr>
          <w:rFonts w:ascii="Calibri" w:hAnsi="Calibri"/>
          <w:b w:val="0"/>
          <w:i w:val="0"/>
          <w:color w:val="1F2A28"/>
          <w:sz w:val="22"/>
        </w:rPr>
        <w:t>Accreditation has its own vocabulary. Here is the short version. Keep this page open for the first week; after that you will not need it.</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2664"/>
            <w:shd w:val="clear" w:color="auto" w:fill="E9F3EF"/>
          </w:tcPr>
          <w:p>
            <w:pPr>
              <w:spacing w:before="40" w:after="40" w:line="259" w:lineRule="auto"/>
            </w:pPr>
            <w:r>
              <w:rPr>
                <w:rFonts w:ascii="Calibri" w:hAnsi="Calibri"/>
                <w:b/>
                <w:color w:val="083A32"/>
                <w:sz w:val="19"/>
              </w:rPr>
              <w:t>Term</w:t>
            </w:r>
          </w:p>
        </w:tc>
        <w:tc>
          <w:tcPr>
            <w:tcW w:type="dxa" w:w="6840"/>
            <w:shd w:val="clear" w:color="auto" w:fill="E9F3EF"/>
          </w:tcPr>
          <w:p>
            <w:pPr>
              <w:spacing w:before="40" w:after="40" w:line="259" w:lineRule="auto"/>
            </w:pPr>
            <w:r>
              <w:rPr>
                <w:rFonts w:ascii="Calibri" w:hAnsi="Calibri"/>
                <w:b/>
                <w:color w:val="083A32"/>
                <w:sz w:val="19"/>
              </w:rPr>
              <w:t>What it means</w:t>
            </w:r>
          </w:p>
        </w:tc>
      </w:tr>
      <w:tr>
        <w:tc>
          <w:tcPr>
            <w:tcW w:type="dxa" w:w="2664"/>
          </w:tcPr>
          <w:p>
            <w:pPr>
              <w:spacing w:before="40" w:after="40" w:line="259" w:lineRule="auto"/>
            </w:pPr>
            <w:r>
              <w:rPr>
                <w:rFonts w:ascii="Calibri" w:hAnsi="Calibri"/>
                <w:b w:val="0"/>
                <w:color w:val="1F2A28"/>
                <w:sz w:val="19"/>
              </w:rPr>
              <w:t>CO — Course Outcome</w:t>
            </w:r>
          </w:p>
        </w:tc>
        <w:tc>
          <w:tcPr>
            <w:tcW w:type="dxa" w:w="6840"/>
          </w:tcPr>
          <w:p>
            <w:pPr>
              <w:spacing w:before="40" w:after="40" w:line="259" w:lineRule="auto"/>
            </w:pPr>
            <w:r>
              <w:rPr>
                <w:rFonts w:ascii="Calibri" w:hAnsi="Calibri"/>
                <w:b w:val="0"/>
                <w:color w:val="1F2A28"/>
                <w:sz w:val="19"/>
              </w:rPr>
              <w:t>A statement of what a student can do after finishing your course. You write these. A course usually has four to six.</w:t>
            </w:r>
          </w:p>
        </w:tc>
      </w:tr>
      <w:tr>
        <w:tc>
          <w:tcPr>
            <w:tcW w:type="dxa" w:w="2664"/>
          </w:tcPr>
          <w:p>
            <w:pPr>
              <w:spacing w:before="40" w:after="40" w:line="259" w:lineRule="auto"/>
            </w:pPr>
            <w:r>
              <w:rPr>
                <w:rFonts w:ascii="Calibri" w:hAnsi="Calibri"/>
                <w:b w:val="0"/>
                <w:color w:val="1F2A28"/>
                <w:sz w:val="19"/>
              </w:rPr>
              <w:t>PO — Programme Outcome</w:t>
            </w:r>
          </w:p>
        </w:tc>
        <w:tc>
          <w:tcPr>
            <w:tcW w:type="dxa" w:w="6840"/>
          </w:tcPr>
          <w:p>
            <w:pPr>
              <w:spacing w:before="40" w:after="40" w:line="259" w:lineRule="auto"/>
            </w:pPr>
            <w:r>
              <w:rPr>
                <w:rFonts w:ascii="Calibri" w:hAnsi="Calibri"/>
                <w:b w:val="0"/>
                <w:color w:val="1F2A28"/>
                <w:sz w:val="19"/>
              </w:rPr>
              <w:t>A statement of what a graduate of the whole degree can do. There are twelve, set by the accreditation body. You do not write these; you map your COs to them.</w:t>
            </w:r>
          </w:p>
        </w:tc>
      </w:tr>
      <w:tr>
        <w:tc>
          <w:tcPr>
            <w:tcW w:type="dxa" w:w="2664"/>
          </w:tcPr>
          <w:p>
            <w:pPr>
              <w:spacing w:before="40" w:after="40" w:line="259" w:lineRule="auto"/>
            </w:pPr>
            <w:r>
              <w:rPr>
                <w:rFonts w:ascii="Calibri" w:hAnsi="Calibri"/>
                <w:b w:val="0"/>
                <w:color w:val="1F2A28"/>
                <w:sz w:val="19"/>
              </w:rPr>
              <w:t>PI — Performance Indicator</w:t>
            </w:r>
          </w:p>
        </w:tc>
        <w:tc>
          <w:tcPr>
            <w:tcW w:type="dxa" w:w="6840"/>
          </w:tcPr>
          <w:p>
            <w:pPr>
              <w:spacing w:before="40" w:after="40" w:line="259" w:lineRule="auto"/>
            </w:pPr>
            <w:r>
              <w:rPr>
                <w:rFonts w:ascii="Calibri" w:hAnsi="Calibri"/>
                <w:b w:val="0"/>
                <w:color w:val="1F2A28"/>
                <w:sz w:val="19"/>
              </w:rPr>
              <w:t>A more specific version of a PO, used to say exactly which part of a PO your course addresses. Version 3 suggests 46 of them.</w:t>
            </w:r>
          </w:p>
        </w:tc>
      </w:tr>
      <w:tr>
        <w:tc>
          <w:tcPr>
            <w:tcW w:type="dxa" w:w="2664"/>
          </w:tcPr>
          <w:p>
            <w:pPr>
              <w:spacing w:before="40" w:after="40" w:line="259" w:lineRule="auto"/>
            </w:pPr>
            <w:r>
              <w:rPr>
                <w:rFonts w:ascii="Calibri" w:hAnsi="Calibri"/>
                <w:b w:val="0"/>
                <w:color w:val="1F2A28"/>
                <w:sz w:val="19"/>
              </w:rPr>
              <w:t>Bloom's level</w:t>
            </w:r>
          </w:p>
        </w:tc>
        <w:tc>
          <w:tcPr>
            <w:tcW w:type="dxa" w:w="6840"/>
          </w:tcPr>
          <w:p>
            <w:pPr>
              <w:spacing w:before="40" w:after="40" w:line="259" w:lineRule="auto"/>
            </w:pPr>
            <w:r>
              <w:rPr>
                <w:rFonts w:ascii="Calibri" w:hAnsi="Calibri"/>
                <w:b w:val="0"/>
                <w:color w:val="1F2A28"/>
                <w:sz w:val="19"/>
              </w:rPr>
              <w:t>How demanding a task is: remember, understand, apply, analyse, evaluate, design. Written C1 to C6. You give each CO a level.</w:t>
            </w:r>
          </w:p>
        </w:tc>
      </w:tr>
      <w:tr>
        <w:tc>
          <w:tcPr>
            <w:tcW w:type="dxa" w:w="2664"/>
          </w:tcPr>
          <w:p>
            <w:pPr>
              <w:spacing w:before="40" w:after="40" w:line="259" w:lineRule="auto"/>
            </w:pPr>
            <w:r>
              <w:rPr>
                <w:rFonts w:ascii="Calibri" w:hAnsi="Calibri"/>
                <w:b w:val="0"/>
                <w:color w:val="1F2A28"/>
                <w:sz w:val="19"/>
              </w:rPr>
              <w:t>Attainment</w:t>
            </w:r>
          </w:p>
        </w:tc>
        <w:tc>
          <w:tcPr>
            <w:tcW w:type="dxa" w:w="6840"/>
          </w:tcPr>
          <w:p>
            <w:pPr>
              <w:spacing w:before="40" w:after="40" w:line="259" w:lineRule="auto"/>
            </w:pPr>
            <w:r>
              <w:rPr>
                <w:rFonts w:ascii="Calibri" w:hAnsi="Calibri"/>
                <w:b w:val="0"/>
                <w:color w:val="1F2A28"/>
                <w:sz w:val="19"/>
              </w:rPr>
              <w:t>The percentage of students who reached the standard you set for an outcome. The main number this tool produces.</w:t>
            </w:r>
          </w:p>
        </w:tc>
      </w:tr>
      <w:tr>
        <w:tc>
          <w:tcPr>
            <w:tcW w:type="dxa" w:w="2664"/>
          </w:tcPr>
          <w:p>
            <w:pPr>
              <w:spacing w:before="40" w:after="40" w:line="259" w:lineRule="auto"/>
            </w:pPr>
            <w:r>
              <w:rPr>
                <w:rFonts w:ascii="Calibri" w:hAnsi="Calibri"/>
                <w:b w:val="0"/>
                <w:color w:val="1F2A28"/>
                <w:sz w:val="19"/>
              </w:rPr>
              <w:t>KPI</w:t>
            </w:r>
          </w:p>
        </w:tc>
        <w:tc>
          <w:tcPr>
            <w:tcW w:type="dxa" w:w="6840"/>
          </w:tcPr>
          <w:p>
            <w:pPr>
              <w:spacing w:before="40" w:after="40" w:line="259" w:lineRule="auto"/>
            </w:pPr>
            <w:r>
              <w:rPr>
                <w:rFonts w:ascii="Calibri" w:hAnsi="Calibri"/>
                <w:b w:val="0"/>
                <w:color w:val="1F2A28"/>
                <w:sz w:val="19"/>
              </w:rPr>
              <w:t>The percentage of students who must reach the standard before you call the outcome attained. Commonly 50.</w:t>
            </w:r>
          </w:p>
        </w:tc>
      </w:tr>
      <w:tr>
        <w:tc>
          <w:tcPr>
            <w:tcW w:type="dxa" w:w="2664"/>
          </w:tcPr>
          <w:p>
            <w:pPr>
              <w:spacing w:before="40" w:after="40" w:line="259" w:lineRule="auto"/>
            </w:pPr>
            <w:r>
              <w:rPr>
                <w:rFonts w:ascii="Calibri" w:hAnsi="Calibri"/>
                <w:b w:val="0"/>
                <w:color w:val="1F2A28"/>
                <w:sz w:val="19"/>
              </w:rPr>
              <w:t>Direct measurement</w:t>
            </w:r>
          </w:p>
        </w:tc>
        <w:tc>
          <w:tcPr>
            <w:tcW w:type="dxa" w:w="6840"/>
          </w:tcPr>
          <w:p>
            <w:pPr>
              <w:spacing w:before="40" w:after="40" w:line="259" w:lineRule="auto"/>
            </w:pPr>
            <w:r>
              <w:rPr>
                <w:rFonts w:ascii="Calibri" w:hAnsi="Calibri"/>
                <w:b w:val="0"/>
                <w:color w:val="1F2A28"/>
                <w:sz w:val="19"/>
              </w:rPr>
              <w:t>Attainment worked out from marks. This is the strong evidence.</w:t>
            </w:r>
          </w:p>
        </w:tc>
      </w:tr>
      <w:tr>
        <w:tc>
          <w:tcPr>
            <w:tcW w:type="dxa" w:w="2664"/>
          </w:tcPr>
          <w:p>
            <w:pPr>
              <w:spacing w:before="40" w:after="40" w:line="259" w:lineRule="auto"/>
            </w:pPr>
            <w:r>
              <w:rPr>
                <w:rFonts w:ascii="Calibri" w:hAnsi="Calibri"/>
                <w:b w:val="0"/>
                <w:color w:val="1F2A28"/>
                <w:sz w:val="19"/>
              </w:rPr>
              <w:t>Indirect measurement</w:t>
            </w:r>
          </w:p>
        </w:tc>
        <w:tc>
          <w:tcPr>
            <w:tcW w:type="dxa" w:w="6840"/>
          </w:tcPr>
          <w:p>
            <w:pPr>
              <w:spacing w:before="40" w:after="40" w:line="259" w:lineRule="auto"/>
            </w:pPr>
            <w:r>
              <w:rPr>
                <w:rFonts w:ascii="Calibri" w:hAnsi="Calibri"/>
                <w:b w:val="0"/>
                <w:color w:val="1F2A28"/>
                <w:sz w:val="19"/>
              </w:rPr>
              <w:t>Attainment estimated from what students say in a survey. Supporting evidence only.</w:t>
            </w:r>
          </w:p>
        </w:tc>
      </w:tr>
      <w:tr>
        <w:tc>
          <w:tcPr>
            <w:tcW w:type="dxa" w:w="2664"/>
          </w:tcPr>
          <w:p>
            <w:pPr>
              <w:spacing w:before="40" w:after="40" w:line="259" w:lineRule="auto"/>
            </w:pPr>
            <w:r>
              <w:rPr>
                <w:rFonts w:ascii="Calibri" w:hAnsi="Calibri"/>
                <w:b w:val="0"/>
                <w:color w:val="1F2A28"/>
                <w:sz w:val="19"/>
              </w:rPr>
              <w:t>CQI — Continuous Quality Improvement</w:t>
            </w:r>
          </w:p>
        </w:tc>
        <w:tc>
          <w:tcPr>
            <w:tcW w:type="dxa" w:w="6840"/>
          </w:tcPr>
          <w:p>
            <w:pPr>
              <w:spacing w:before="40" w:after="40" w:line="259" w:lineRule="auto"/>
            </w:pPr>
            <w:r>
              <w:rPr>
                <w:rFonts w:ascii="Calibri" w:hAnsi="Calibri"/>
                <w:b w:val="0"/>
                <w:color w:val="1F2A28"/>
                <w:sz w:val="19"/>
              </w:rPr>
              <w:t>Looking at this semester's results, deciding what to change, doing it, and showing next semester that it worked.</w:t>
            </w:r>
          </w:p>
        </w:tc>
      </w:tr>
      <w:tr>
        <w:tc>
          <w:tcPr>
            <w:tcW w:type="dxa" w:w="2664"/>
          </w:tcPr>
          <w:p>
            <w:pPr>
              <w:spacing w:before="40" w:after="40" w:line="259" w:lineRule="auto"/>
            </w:pPr>
            <w:r>
              <w:rPr>
                <w:rFonts w:ascii="Calibri" w:hAnsi="Calibri"/>
                <w:b w:val="0"/>
                <w:color w:val="1F2A28"/>
                <w:sz w:val="19"/>
              </w:rPr>
              <w:t>WK1–WK9</w:t>
            </w:r>
          </w:p>
        </w:tc>
        <w:tc>
          <w:tcPr>
            <w:tcW w:type="dxa" w:w="6840"/>
          </w:tcPr>
          <w:p>
            <w:pPr>
              <w:spacing w:before="40" w:after="40" w:line="259" w:lineRule="auto"/>
            </w:pPr>
            <w:r>
              <w:rPr>
                <w:rFonts w:ascii="Calibri" w:hAnsi="Calibri"/>
                <w:b w:val="0"/>
                <w:color w:val="1F2A28"/>
                <w:sz w:val="19"/>
              </w:rPr>
              <w:t>Knowledge Profile. The kinds of knowledge an engineering outcome can rest on. WK is 'Washington Accord Knowledge'.</w:t>
            </w:r>
          </w:p>
        </w:tc>
      </w:tr>
      <w:tr>
        <w:tc>
          <w:tcPr>
            <w:tcW w:type="dxa" w:w="2664"/>
          </w:tcPr>
          <w:p>
            <w:pPr>
              <w:spacing w:before="40" w:after="40" w:line="259" w:lineRule="auto"/>
            </w:pPr>
            <w:r>
              <w:rPr>
                <w:rFonts w:ascii="Calibri" w:hAnsi="Calibri"/>
                <w:b w:val="0"/>
                <w:color w:val="1F2A28"/>
                <w:sz w:val="19"/>
              </w:rPr>
              <w:t>WP1–WP7</w:t>
            </w:r>
          </w:p>
        </w:tc>
        <w:tc>
          <w:tcPr>
            <w:tcW w:type="dxa" w:w="6840"/>
          </w:tcPr>
          <w:p>
            <w:pPr>
              <w:spacing w:before="40" w:after="40" w:line="259" w:lineRule="auto"/>
            </w:pPr>
            <w:r>
              <w:rPr>
                <w:rFonts w:ascii="Calibri" w:hAnsi="Calibri"/>
                <w:b w:val="0"/>
                <w:color w:val="1F2A28"/>
                <w:sz w:val="19"/>
              </w:rPr>
              <w:t>The features that make an engineering problem complex — depth, conflicting requirements, and so on.</w:t>
            </w:r>
          </w:p>
        </w:tc>
      </w:tr>
      <w:tr>
        <w:tc>
          <w:tcPr>
            <w:tcW w:type="dxa" w:w="2664"/>
          </w:tcPr>
          <w:p>
            <w:pPr>
              <w:spacing w:before="40" w:after="40" w:line="259" w:lineRule="auto"/>
            </w:pPr>
            <w:r>
              <w:rPr>
                <w:rFonts w:ascii="Calibri" w:hAnsi="Calibri"/>
                <w:b w:val="0"/>
                <w:color w:val="1F2A28"/>
                <w:sz w:val="19"/>
              </w:rPr>
              <w:t>EA1–EA5</w:t>
            </w:r>
          </w:p>
        </w:tc>
        <w:tc>
          <w:tcPr>
            <w:tcW w:type="dxa" w:w="6840"/>
          </w:tcPr>
          <w:p>
            <w:pPr>
              <w:spacing w:before="40" w:after="40" w:line="259" w:lineRule="auto"/>
            </w:pPr>
            <w:r>
              <w:rPr>
                <w:rFonts w:ascii="Calibri" w:hAnsi="Calibri"/>
                <w:b w:val="0"/>
                <w:color w:val="1F2A28"/>
                <w:sz w:val="19"/>
              </w:rPr>
              <w:t>The features that make an engineering activity complex.</w:t>
            </w:r>
          </w:p>
        </w:tc>
      </w:tr>
      <w:tr>
        <w:tc>
          <w:tcPr>
            <w:tcW w:type="dxa" w:w="2664"/>
          </w:tcPr>
          <w:p>
            <w:pPr>
              <w:spacing w:before="40" w:after="40" w:line="259" w:lineRule="auto"/>
            </w:pPr>
            <w:r>
              <w:rPr>
                <w:rFonts w:ascii="Calibri" w:hAnsi="Calibri"/>
                <w:b w:val="0"/>
                <w:color w:val="1F2A28"/>
                <w:sz w:val="19"/>
              </w:rPr>
              <w:t>CEP / CEA</w:t>
            </w:r>
          </w:p>
        </w:tc>
        <w:tc>
          <w:tcPr>
            <w:tcW w:type="dxa" w:w="6840"/>
          </w:tcPr>
          <w:p>
            <w:pPr>
              <w:spacing w:before="40" w:after="40" w:line="259" w:lineRule="auto"/>
            </w:pPr>
            <w:r>
              <w:rPr>
                <w:rFonts w:ascii="Calibri" w:hAnsi="Calibri"/>
                <w:b w:val="0"/>
                <w:color w:val="1F2A28"/>
                <w:sz w:val="19"/>
              </w:rPr>
              <w:t>Complex Engineering Problem and Complex Engineering Activity. A task that carries several of the WP or EA features.</w:t>
            </w:r>
          </w:p>
        </w:tc>
      </w:tr>
      <w:tr>
        <w:tc>
          <w:tcPr>
            <w:tcW w:type="dxa" w:w="2664"/>
          </w:tcPr>
          <w:p>
            <w:pPr>
              <w:spacing w:before="40" w:after="40" w:line="259" w:lineRule="auto"/>
            </w:pPr>
            <w:r>
              <w:rPr>
                <w:rFonts w:ascii="Calibri" w:hAnsi="Calibri"/>
                <w:b w:val="0"/>
                <w:color w:val="1F2A28"/>
                <w:sz w:val="19"/>
              </w:rPr>
              <w:t>SDG</w:t>
            </w:r>
          </w:p>
        </w:tc>
        <w:tc>
          <w:tcPr>
            <w:tcW w:type="dxa" w:w="6840"/>
          </w:tcPr>
          <w:p>
            <w:pPr>
              <w:spacing w:before="40" w:after="40" w:line="259" w:lineRule="auto"/>
            </w:pPr>
            <w:r>
              <w:rPr>
                <w:rFonts w:ascii="Calibri" w:hAnsi="Calibri"/>
                <w:b w:val="0"/>
                <w:color w:val="1F2A28"/>
                <w:sz w:val="19"/>
              </w:rPr>
              <w:t>One of the seventeen United Nations Sustainable Development Goals. Version 3 asks you to show where your course addresses them.</w:t>
            </w:r>
          </w:p>
        </w:tc>
      </w:tr>
      <w:tr>
        <w:tc>
          <w:tcPr>
            <w:tcW w:type="dxa" w:w="2664"/>
          </w:tcPr>
          <w:p>
            <w:pPr>
              <w:spacing w:before="40" w:after="40" w:line="259" w:lineRule="auto"/>
            </w:pPr>
            <w:r>
              <w:rPr>
                <w:rFonts w:ascii="Calibri" w:hAnsi="Calibri"/>
                <w:b w:val="0"/>
                <w:color w:val="1F2A28"/>
                <w:sz w:val="19"/>
              </w:rPr>
              <w:t>SAR</w:t>
            </w:r>
          </w:p>
        </w:tc>
        <w:tc>
          <w:tcPr>
            <w:tcW w:type="dxa" w:w="6840"/>
          </w:tcPr>
          <w:p>
            <w:pPr>
              <w:spacing w:before="40" w:after="40" w:line="259" w:lineRule="auto"/>
            </w:pPr>
            <w:r>
              <w:rPr>
                <w:rFonts w:ascii="Calibri" w:hAnsi="Calibri"/>
                <w:b w:val="0"/>
                <w:color w:val="1F2A28"/>
                <w:sz w:val="19"/>
              </w:rPr>
              <w:t>Self-Assessment Report. The document your programme submits to the accreditation body. Your course files feed it.</w:t>
            </w:r>
          </w:p>
        </w:tc>
      </w:tr>
    </w:tbl>
    <w:p>
      <w:pPr>
        <w:spacing w:before="0" w:after="80" w:line="274" w:lineRule="auto"/>
        <w:jc w:val="left"/>
      </w:pPr>
    </w:p>
    <w:p>
      <w:pPr>
        <w:pBdr>
          <w:left w:val="single" w:sz="14" w:space="8" w:color="0F6B5C"/>
        </w:pBdr>
        <w:spacing w:before="100" w:after="180" w:line="271" w:lineRule="auto"/>
        <w:ind w:left="230"/>
      </w:pPr>
      <w:r>
        <w:rPr>
          <w:rFonts w:ascii="Calibri" w:hAnsi="Calibri"/>
          <w:b/>
          <w:color w:val="0F6B5C"/>
          <w:sz w:val="21"/>
        </w:rPr>
        <w:t xml:space="preserve">If you remember one thing:  </w:t>
      </w:r>
      <w:r>
        <w:rPr>
          <w:rFonts w:ascii="Calibri" w:hAnsi="Calibri"/>
          <w:color w:val="1F2A28"/>
          <w:sz w:val="21"/>
        </w:rPr>
        <w:t>a CO is a promise, and everything else in this tool is the evidence that you kept it.</w:t>
      </w:r>
    </w:p>
    <w:p>
      <w:pPr>
        <w:pStyle w:val="Heading2"/>
      </w:pPr>
      <w:r>
        <w:t>3. Your first hour</w:t>
      </w:r>
    </w:p>
    <w:p>
      <w:pPr>
        <w:spacing w:before="0" w:after="140" w:line="274" w:lineRule="auto"/>
        <w:jc w:val="left"/>
      </w:pPr>
      <w:r>
        <w:rPr>
          <w:rFonts w:ascii="Calibri" w:hAnsi="Calibri"/>
          <w:b w:val="0"/>
          <w:i w:val="0"/>
          <w:color w:val="1F2A28"/>
          <w:sz w:val="22"/>
        </w:rPr>
        <w:t>Do this once, in order. It takes about an hour, and most of it is reading rather than typing.</w:t>
      </w:r>
    </w:p>
    <w:p>
      <w:pPr>
        <w:spacing w:after="60" w:line="269" w:lineRule="auto"/>
        <w:ind w:left="490" w:hanging="490"/>
      </w:pPr>
      <w:r>
        <w:rPr>
          <w:rFonts w:ascii="Calibri" w:hAnsi="Calibri"/>
          <w:b/>
          <w:color w:val="0F6B5C"/>
          <w:sz w:val="22"/>
        </w:rPr>
        <w:t xml:space="preserve">1.   </w:t>
      </w:r>
      <w:r>
        <w:rPr>
          <w:rFonts w:ascii="Calibri" w:hAnsi="Calibri"/>
          <w:b/>
          <w:color w:val="083A32"/>
          <w:sz w:val="22"/>
        </w:rPr>
        <w:t xml:space="preserve">Open the tool.  </w:t>
      </w:r>
      <w:r>
        <w:rPr>
          <w:rFonts w:ascii="Calibri" w:hAnsi="Calibri"/>
          <w:color w:val="1F2A28"/>
          <w:sz w:val="22"/>
        </w:rPr>
        <w:t>Type mazhar17.github.io/ocm into Chrome or Edge on a desktop or laptop. Add it to your bookmarks.</w:t>
      </w:r>
    </w:p>
    <w:p>
      <w:pPr>
        <w:spacing w:after="60" w:line="269" w:lineRule="auto"/>
        <w:ind w:left="490" w:hanging="490"/>
      </w:pPr>
      <w:r>
        <w:rPr>
          <w:rFonts w:ascii="Calibri" w:hAnsi="Calibri"/>
          <w:b/>
          <w:color w:val="0F6B5C"/>
          <w:sz w:val="22"/>
        </w:rPr>
        <w:t xml:space="preserve">2.   </w:t>
      </w:r>
      <w:r>
        <w:rPr>
          <w:rFonts w:ascii="Calibri" w:hAnsi="Calibri"/>
          <w:b/>
          <w:color w:val="083A32"/>
          <w:sz w:val="22"/>
        </w:rPr>
        <w:t xml:space="preserve">Load a demonstration course.  </w:t>
      </w:r>
      <w:r>
        <w:rPr>
          <w:rFonts w:ascii="Calibri" w:hAnsi="Calibri"/>
          <w:color w:val="1F2A28"/>
          <w:sz w:val="22"/>
        </w:rPr>
        <w:t>Go to Data &amp; Backup → File &amp; Backups and press one of the four demonstration buttons. A complete course appears — outcomes, marks, attainment, documents, everything — with its cards already open so you can read it rather than hunt through it. Click through every Section. Nothing you do here can harm anything.</w:t>
      </w:r>
    </w:p>
    <w:p>
      <w:pPr>
        <w:spacing w:after="60" w:line="269" w:lineRule="auto"/>
        <w:ind w:left="490" w:hanging="490"/>
      </w:pPr>
      <w:r>
        <w:rPr>
          <w:rFonts w:ascii="Calibri" w:hAnsi="Calibri"/>
          <w:b/>
          <w:color w:val="0F6B5C"/>
          <w:sz w:val="22"/>
        </w:rPr>
        <w:t xml:space="preserve">3.   </w:t>
      </w:r>
      <w:r>
        <w:rPr>
          <w:rFonts w:ascii="Calibri" w:hAnsi="Calibri"/>
          <w:b/>
          <w:color w:val="083A32"/>
          <w:sz w:val="22"/>
        </w:rPr>
        <w:t xml:space="preserve">Read one guidance card.  </w:t>
      </w:r>
      <w:r>
        <w:rPr>
          <w:rFonts w:ascii="Calibri" w:hAnsi="Calibri"/>
          <w:color w:val="1F2A28"/>
          <w:sz w:val="22"/>
        </w:rPr>
        <w:t>Each Section opens with a card headed “What to do in this Section”. It is open the first time you visit that Section. It tells you what goes in, what you do, and what comes out. Close it when you no longer need it and it stays closed.</w:t>
      </w:r>
    </w:p>
    <w:p>
      <w:pPr>
        <w:spacing w:after="60" w:line="269" w:lineRule="auto"/>
        <w:ind w:left="490" w:hanging="490"/>
      </w:pPr>
      <w:r>
        <w:rPr>
          <w:rFonts w:ascii="Calibri" w:hAnsi="Calibri"/>
          <w:b/>
          <w:color w:val="0F6B5C"/>
          <w:sz w:val="22"/>
        </w:rPr>
        <w:t xml:space="preserve">4.   </w:t>
      </w:r>
      <w:r>
        <w:rPr>
          <w:rFonts w:ascii="Calibri" w:hAnsi="Calibri"/>
          <w:b/>
          <w:color w:val="083A32"/>
          <w:sz w:val="22"/>
        </w:rPr>
        <w:t xml:space="preserve">Set up your institution.  </w:t>
      </w:r>
      <w:r>
        <w:rPr>
          <w:rFonts w:ascii="Calibri" w:hAnsi="Calibri"/>
          <w:color w:val="1F2A28"/>
          <w:sz w:val="22"/>
        </w:rPr>
        <w:t>Open the Setup Section and type your university's name and address. Upload your logo. This appears on every document you will ever print.</w:t>
      </w:r>
    </w:p>
    <w:p>
      <w:pPr>
        <w:spacing w:after="60" w:line="269" w:lineRule="auto"/>
        <w:ind w:left="490" w:hanging="490"/>
      </w:pPr>
      <w:r>
        <w:rPr>
          <w:rFonts w:ascii="Calibri" w:hAnsi="Calibri"/>
          <w:b/>
          <w:color w:val="0F6B5C"/>
          <w:sz w:val="22"/>
        </w:rPr>
        <w:t xml:space="preserve">5.   </w:t>
      </w:r>
      <w:r>
        <w:rPr>
          <w:rFonts w:ascii="Calibri" w:hAnsi="Calibri"/>
          <w:b/>
          <w:color w:val="083A32"/>
          <w:sz w:val="22"/>
        </w:rPr>
        <w:t xml:space="preserve">Add your own course.  </w:t>
      </w:r>
      <w:r>
        <w:rPr>
          <w:rFonts w:ascii="Calibri" w:hAnsi="Calibri"/>
          <w:color w:val="1F2A28"/>
          <w:sz w:val="22"/>
        </w:rPr>
        <w:t>Press + New Course. Fill in the code, title, semester and your name. Choose OBE Framework: Version 3. Nothing needs saving — every field saves as you type.</w:t>
      </w:r>
    </w:p>
    <w:p>
      <w:pPr>
        <w:spacing w:after="60" w:line="269" w:lineRule="auto"/>
        <w:ind w:left="490" w:hanging="490"/>
      </w:pPr>
      <w:r>
        <w:rPr>
          <w:rFonts w:ascii="Calibri" w:hAnsi="Calibri"/>
          <w:b/>
          <w:color w:val="0F6B5C"/>
          <w:sz w:val="22"/>
        </w:rPr>
        <w:t xml:space="preserve">6.   </w:t>
      </w:r>
      <w:r>
        <w:rPr>
          <w:rFonts w:ascii="Calibri" w:hAnsi="Calibri"/>
          <w:b/>
          <w:color w:val="083A32"/>
          <w:sz w:val="22"/>
        </w:rPr>
        <w:t xml:space="preserve">Point it at a real file.  </w:t>
      </w:r>
      <w:r>
        <w:rPr>
          <w:rFonts w:ascii="Calibri" w:hAnsi="Calibri"/>
          <w:color w:val="1F2A28"/>
          <w:sz w:val="22"/>
        </w:rPr>
        <w:t>Go to Data &amp; Backup → File &amp; Backups → Work on a File and choose Save to New File. Put the file in a OneDrive or Google Drive folder. From now on every change is written straight to that file.</w:t>
      </w:r>
    </w:p>
    <w:p>
      <w:pPr>
        <w:spacing w:after="60" w:line="269" w:lineRule="auto"/>
        <w:ind w:left="490" w:hanging="490"/>
      </w:pPr>
      <w:r>
        <w:rPr>
          <w:rFonts w:ascii="Calibri" w:hAnsi="Calibri"/>
          <w:b/>
          <w:color w:val="0F6B5C"/>
          <w:sz w:val="22"/>
        </w:rPr>
        <w:t xml:space="preserve">7.   </w:t>
      </w:r>
      <w:r>
        <w:rPr>
          <w:rFonts w:ascii="Calibri" w:hAnsi="Calibri"/>
          <w:b/>
          <w:color w:val="083A32"/>
          <w:sz w:val="22"/>
        </w:rPr>
        <w:t xml:space="preserve">Clear the demonstrations.  </w:t>
      </w:r>
      <w:r>
        <w:rPr>
          <w:rFonts w:ascii="Calibri" w:hAnsi="Calibri"/>
          <w:color w:val="1F2A28"/>
          <w:sz w:val="22"/>
        </w:rPr>
        <w:t>When the demonstration courses have served their purpose, press Remove Demonstration Courses in the same Section. Your own course is untouched.</w:t>
      </w:r>
    </w:p>
    <w:p>
      <w:pPr>
        <w:pBdr>
          <w:left w:val="single" w:sz="14" w:space="8" w:color="0F6B5C"/>
        </w:pBdr>
        <w:spacing w:before="100" w:after="180" w:line="271" w:lineRule="auto"/>
        <w:ind w:left="230"/>
      </w:pPr>
      <w:r>
        <w:rPr>
          <w:rFonts w:ascii="Calibri" w:hAnsi="Calibri"/>
          <w:b/>
          <w:color w:val="0F6B5C"/>
          <w:sz w:val="21"/>
        </w:rPr>
        <w:t xml:space="preserve">A word about saving.  </w:t>
      </w:r>
      <w:r>
        <w:rPr>
          <w:rFonts w:ascii="Calibri" w:hAnsi="Calibri"/>
          <w:color w:val="1F2A28"/>
          <w:sz w:val="21"/>
        </w:rPr>
        <w:t>There is no Save button anywhere in this tool, and this is deliberate. Every field is written the moment you leave it. If you have linked a file, it is written there too. Ctrl+S forces an immediate write if you want the reassurance.</w:t>
      </w:r>
    </w:p>
    <w:p>
      <w:pPr>
        <w:pStyle w:val="Heading2"/>
      </w:pPr>
      <w:r>
        <w:t>4. Your first semester</w:t>
      </w:r>
    </w:p>
    <w:p>
      <w:pPr>
        <w:spacing w:before="0" w:after="140" w:line="274" w:lineRule="auto"/>
        <w:jc w:val="left"/>
      </w:pPr>
      <w:r>
        <w:rPr>
          <w:rFonts w:ascii="Calibri" w:hAnsi="Calibri"/>
          <w:b w:val="0"/>
          <w:i w:val="0"/>
          <w:color w:val="1F2A28"/>
          <w:sz w:val="22"/>
        </w:rPr>
        <w:t>The work is spread across the semester rather than piled up at the end. That is the point: most accreditation evidence can only be produced while the course is actually running.</w:t>
      </w:r>
    </w:p>
    <w:tbl>
      <w:tblPr>
        <w:tblStyle w:val="TableGrid"/>
        <w:tblW w:type="auto" w:w="0"/>
        <w:jc w:val="center"/>
        <w:tblLook w:firstColumn="1" w:firstRow="1" w:lastColumn="0" w:lastRow="0" w:noHBand="0" w:noVBand="1" w:val="04A0"/>
      </w:tblPr>
      <w:tblGrid>
        <w:gridCol w:w="3168"/>
        <w:gridCol w:w="3168"/>
        <w:gridCol w:w="3168"/>
      </w:tblGrid>
      <w:tr>
        <w:trPr>
          <w:tblHeader w:val="true"/>
        </w:trPr>
        <w:tc>
          <w:tcPr>
            <w:tcW w:type="dxa" w:w="1800"/>
            <w:shd w:val="clear" w:color="auto" w:fill="E9F3EF"/>
          </w:tcPr>
          <w:p>
            <w:pPr>
              <w:spacing w:before="40" w:after="40" w:line="259" w:lineRule="auto"/>
            </w:pPr>
            <w:r>
              <w:rPr>
                <w:rFonts w:ascii="Calibri" w:hAnsi="Calibri"/>
                <w:b/>
                <w:color w:val="083A32"/>
                <w:sz w:val="19"/>
              </w:rPr>
              <w:t>When</w:t>
            </w:r>
          </w:p>
        </w:tc>
        <w:tc>
          <w:tcPr>
            <w:tcW w:type="dxa" w:w="5184"/>
            <w:shd w:val="clear" w:color="auto" w:fill="E9F3EF"/>
          </w:tcPr>
          <w:p>
            <w:pPr>
              <w:spacing w:before="40" w:after="40" w:line="259" w:lineRule="auto"/>
            </w:pPr>
            <w:r>
              <w:rPr>
                <w:rFonts w:ascii="Calibri" w:hAnsi="Calibri"/>
                <w:b/>
                <w:color w:val="083A32"/>
                <w:sz w:val="19"/>
              </w:rPr>
              <w:t>What you do</w:t>
            </w:r>
          </w:p>
        </w:tc>
        <w:tc>
          <w:tcPr>
            <w:tcW w:type="dxa" w:w="2520"/>
            <w:shd w:val="clear" w:color="auto" w:fill="E9F3EF"/>
          </w:tcPr>
          <w:p>
            <w:pPr>
              <w:spacing w:before="40" w:after="40" w:line="259" w:lineRule="auto"/>
            </w:pPr>
            <w:r>
              <w:rPr>
                <w:rFonts w:ascii="Calibri" w:hAnsi="Calibri"/>
                <w:b/>
                <w:color w:val="083A32"/>
                <w:sz w:val="19"/>
              </w:rPr>
              <w:t>Where in the tool</w:t>
            </w:r>
          </w:p>
        </w:tc>
      </w:tr>
      <w:tr>
        <w:tc>
          <w:tcPr>
            <w:tcW w:type="dxa" w:w="1800"/>
          </w:tcPr>
          <w:p>
            <w:pPr>
              <w:spacing w:before="40" w:after="40" w:line="259" w:lineRule="auto"/>
            </w:pPr>
            <w:r>
              <w:rPr>
                <w:rFonts w:ascii="Calibri" w:hAnsi="Calibri"/>
                <w:b w:val="0"/>
                <w:color w:val="1F2A28"/>
                <w:sz w:val="19"/>
              </w:rPr>
              <w:t>Before week 1</w:t>
            </w:r>
          </w:p>
        </w:tc>
        <w:tc>
          <w:tcPr>
            <w:tcW w:type="dxa" w:w="5184"/>
          </w:tcPr>
          <w:p>
            <w:pPr>
              <w:spacing w:before="40" w:after="40" w:line="259" w:lineRule="auto"/>
            </w:pPr>
            <w:r>
              <w:rPr>
                <w:rFonts w:ascii="Calibri" w:hAnsi="Calibri"/>
                <w:b w:val="0"/>
                <w:color w:val="1F2A28"/>
                <w:sz w:val="19"/>
              </w:rPr>
              <w:t>Write the COs. Map them to POs. Claim your WK, WP and EA attributes and any SDGs. Plan the teaching. Plan the assessments and their marks. Print the Course Outline for students.</w:t>
            </w:r>
          </w:p>
        </w:tc>
        <w:tc>
          <w:tcPr>
            <w:tcW w:type="dxa" w:w="2520"/>
          </w:tcPr>
          <w:p>
            <w:pPr>
              <w:spacing w:before="40" w:after="40" w:line="259" w:lineRule="auto"/>
            </w:pPr>
            <w:r>
              <w:rPr>
                <w:rFonts w:ascii="Calibri" w:hAnsi="Calibri"/>
                <w:b w:val="0"/>
                <w:color w:val="1F2A28"/>
                <w:sz w:val="19"/>
              </w:rPr>
              <w:t>COs · T&amp;L · Assessments · Documents</w:t>
            </w:r>
          </w:p>
        </w:tc>
      </w:tr>
      <w:tr>
        <w:tc>
          <w:tcPr>
            <w:tcW w:type="dxa" w:w="1800"/>
          </w:tcPr>
          <w:p>
            <w:pPr>
              <w:spacing w:before="40" w:after="40" w:line="259" w:lineRule="auto"/>
            </w:pPr>
            <w:r>
              <w:rPr>
                <w:rFonts w:ascii="Calibri" w:hAnsi="Calibri"/>
                <w:b w:val="0"/>
                <w:color w:val="1F2A28"/>
                <w:sz w:val="19"/>
              </w:rPr>
              <w:t>Weeks 1–14</w:t>
            </w:r>
          </w:p>
        </w:tc>
        <w:tc>
          <w:tcPr>
            <w:tcW w:type="dxa" w:w="5184"/>
          </w:tcPr>
          <w:p>
            <w:pPr>
              <w:spacing w:before="40" w:after="40" w:line="259" w:lineRule="auto"/>
            </w:pPr>
            <w:r>
              <w:rPr>
                <w:rFonts w:ascii="Calibri" w:hAnsi="Calibri"/>
                <w:b w:val="0"/>
                <w:color w:val="1F2A28"/>
                <w:sz w:val="19"/>
              </w:rPr>
              <w:t>Record actual contact hours against your plan. Tag each exam or assignment question as you write it. Note the date you returned each set of results to students.</w:t>
            </w:r>
          </w:p>
        </w:tc>
        <w:tc>
          <w:tcPr>
            <w:tcW w:type="dxa" w:w="2520"/>
          </w:tcPr>
          <w:p>
            <w:pPr>
              <w:spacing w:before="40" w:after="40" w:line="259" w:lineRule="auto"/>
            </w:pPr>
            <w:r>
              <w:rPr>
                <w:rFonts w:ascii="Calibri" w:hAnsi="Calibri"/>
                <w:b w:val="0"/>
                <w:color w:val="1F2A28"/>
                <w:sz w:val="19"/>
              </w:rPr>
              <w:t>T&amp;L · Assessments</w:t>
            </w:r>
          </w:p>
        </w:tc>
      </w:tr>
      <w:tr>
        <w:tc>
          <w:tcPr>
            <w:tcW w:type="dxa" w:w="1800"/>
          </w:tcPr>
          <w:p>
            <w:pPr>
              <w:spacing w:before="40" w:after="40" w:line="259" w:lineRule="auto"/>
            </w:pPr>
            <w:r>
              <w:rPr>
                <w:rFonts w:ascii="Calibri" w:hAnsi="Calibri"/>
                <w:b w:val="0"/>
                <w:color w:val="1F2A28"/>
                <w:sz w:val="19"/>
              </w:rPr>
              <w:t>Before the final exam</w:t>
            </w:r>
          </w:p>
        </w:tc>
        <w:tc>
          <w:tcPr>
            <w:tcW w:type="dxa" w:w="5184"/>
          </w:tcPr>
          <w:p>
            <w:pPr>
              <w:spacing w:before="40" w:after="40" w:line="259" w:lineRule="auto"/>
            </w:pPr>
            <w:r>
              <w:rPr>
                <w:rFonts w:ascii="Calibri" w:hAnsi="Calibri"/>
                <w:b w:val="0"/>
                <w:color w:val="1F2A28"/>
                <w:sz w:val="19"/>
              </w:rPr>
              <w:t>Print the Final Exam Vetting Form. Check that every CO is covered and that a complex-problem claim is really carried by the paper. Have projects and open-ended labs moderated.</w:t>
            </w:r>
          </w:p>
        </w:tc>
        <w:tc>
          <w:tcPr>
            <w:tcW w:type="dxa" w:w="2520"/>
          </w:tcPr>
          <w:p>
            <w:pPr>
              <w:spacing w:before="40" w:after="40" w:line="259" w:lineRule="auto"/>
            </w:pPr>
            <w:r>
              <w:rPr>
                <w:rFonts w:ascii="Calibri" w:hAnsi="Calibri"/>
                <w:b w:val="0"/>
                <w:color w:val="1F2A28"/>
                <w:sz w:val="19"/>
              </w:rPr>
              <w:t>Documents · Assessments</w:t>
            </w:r>
          </w:p>
        </w:tc>
      </w:tr>
      <w:tr>
        <w:tc>
          <w:tcPr>
            <w:tcW w:type="dxa" w:w="1800"/>
          </w:tcPr>
          <w:p>
            <w:pPr>
              <w:spacing w:before="40" w:after="40" w:line="259" w:lineRule="auto"/>
            </w:pPr>
            <w:r>
              <w:rPr>
                <w:rFonts w:ascii="Calibri" w:hAnsi="Calibri"/>
                <w:b w:val="0"/>
                <w:color w:val="1F2A28"/>
                <w:sz w:val="19"/>
              </w:rPr>
              <w:t>After results</w:t>
            </w:r>
          </w:p>
        </w:tc>
        <w:tc>
          <w:tcPr>
            <w:tcW w:type="dxa" w:w="5184"/>
          </w:tcPr>
          <w:p>
            <w:pPr>
              <w:spacing w:before="40" w:after="40" w:line="259" w:lineRule="auto"/>
            </w:pPr>
            <w:r>
              <w:rPr>
                <w:rFonts w:ascii="Calibri" w:hAnsi="Calibri"/>
                <w:b w:val="0"/>
                <w:color w:val="1F2A28"/>
                <w:sz w:val="19"/>
              </w:rPr>
              <w:t>Enter the marks. Run the survey. Read the attainment figures and write your analysis. Look at the gap findings. Decide what changes next time. Print the Course Report.</w:t>
            </w:r>
          </w:p>
        </w:tc>
        <w:tc>
          <w:tcPr>
            <w:tcW w:type="dxa" w:w="2520"/>
          </w:tcPr>
          <w:p>
            <w:pPr>
              <w:spacing w:before="40" w:after="40" w:line="259" w:lineRule="auto"/>
            </w:pPr>
            <w:r>
              <w:rPr>
                <w:rFonts w:ascii="Calibri" w:hAnsi="Calibri"/>
                <w:b w:val="0"/>
                <w:color w:val="1F2A28"/>
                <w:sz w:val="19"/>
              </w:rPr>
              <w:t>Marks · Attainment · CQI · Documents</w:t>
            </w:r>
          </w:p>
        </w:tc>
      </w:tr>
      <w:tr>
        <w:tc>
          <w:tcPr>
            <w:tcW w:type="dxa" w:w="1800"/>
          </w:tcPr>
          <w:p>
            <w:pPr>
              <w:spacing w:before="40" w:after="40" w:line="259" w:lineRule="auto"/>
            </w:pPr>
            <w:r>
              <w:rPr>
                <w:rFonts w:ascii="Calibri" w:hAnsi="Calibri"/>
                <w:b w:val="0"/>
                <w:color w:val="1F2A28"/>
                <w:sz w:val="19"/>
              </w:rPr>
              <w:t>Next semester</w:t>
            </w:r>
          </w:p>
        </w:tc>
        <w:tc>
          <w:tcPr>
            <w:tcW w:type="dxa" w:w="5184"/>
          </w:tcPr>
          <w:p>
            <w:pPr>
              <w:spacing w:before="40" w:after="40" w:line="259" w:lineRule="auto"/>
            </w:pPr>
            <w:r>
              <w:rPr>
                <w:rFonts w:ascii="Calibri" w:hAnsi="Calibri"/>
                <w:b w:val="0"/>
                <w:color w:val="1F2A28"/>
                <w:sz w:val="19"/>
              </w:rPr>
              <w:t>Press ⟳ Duplicate for New Semester. Your actions carry forward automatically, and the comparison between the two offerings becomes your improvement evidence.</w:t>
            </w:r>
          </w:p>
        </w:tc>
        <w:tc>
          <w:tcPr>
            <w:tcW w:type="dxa" w:w="2520"/>
          </w:tcPr>
          <w:p>
            <w:pPr>
              <w:spacing w:before="40" w:after="40" w:line="259" w:lineRule="auto"/>
            </w:pPr>
            <w:r>
              <w:rPr>
                <w:rFonts w:ascii="Calibri" w:hAnsi="Calibri"/>
                <w:b w:val="0"/>
                <w:color w:val="1F2A28"/>
                <w:sz w:val="19"/>
              </w:rPr>
              <w:t>Dashboard</w:t>
            </w:r>
          </w:p>
        </w:tc>
      </w:tr>
    </w:tbl>
    <w:p>
      <w:pPr>
        <w:spacing w:before="0" w:after="80" w:line="274" w:lineRule="auto"/>
        <w:jc w:val="left"/>
      </w:pPr>
    </w:p>
    <w:p>
      <w:pPr>
        <w:pBdr>
          <w:left w:val="single" w:sz="14" w:space="8" w:color="A87210"/>
        </w:pBdr>
        <w:spacing w:before="100" w:after="180" w:line="271" w:lineRule="auto"/>
        <w:ind w:left="230"/>
      </w:pPr>
      <w:r>
        <w:rPr>
          <w:rFonts w:ascii="Calibri" w:hAnsi="Calibri"/>
          <w:b/>
          <w:color w:val="A87210"/>
          <w:sz w:val="21"/>
        </w:rPr>
        <w:t xml:space="preserve">Why the order matters.  </w:t>
      </w:r>
      <w:r>
        <w:rPr>
          <w:rFonts w:ascii="Calibri" w:hAnsi="Calibri"/>
          <w:color w:val="1F2A28"/>
          <w:sz w:val="21"/>
        </w:rPr>
        <w:t>You cannot write a credible justification for a project in the week before an accreditation visit. Written at the time, it takes two minutes. Written from memory a year later, it is not really evidence at all.</w:t>
      </w:r>
    </w:p>
    <w:p>
      <w:r>
        <w:br w:type="page"/>
      </w:r>
    </w:p>
    <w:p>
      <w:pPr>
        <w:pStyle w:val="Heading1"/>
      </w:pPr>
      <w:r>
        <w:t>Part 2 — Setting up</w:t>
      </w:r>
    </w:p>
    <w:p>
      <w:pPr>
        <w:spacing w:before="0" w:after="140" w:line="274" w:lineRule="auto"/>
        <w:jc w:val="left"/>
      </w:pPr>
      <w:r>
        <w:rPr>
          <w:rFonts w:ascii="Calibri" w:hAnsi="Calibri"/>
          <w:b w:val="0"/>
          <w:i/>
          <w:color w:val="5C6B68"/>
          <w:sz w:val="22"/>
        </w:rPr>
        <w:t>Done once, on your own computer. Twenty minutes.</w:t>
      </w:r>
    </w:p>
    <w:p>
      <w:pPr>
        <w:pStyle w:val="Heading2"/>
      </w:pPr>
      <w:r>
        <w:t>5. Opening the tool</w:t>
      </w:r>
    </w:p>
    <w:p>
      <w:pPr>
        <w:spacing w:before="0" w:after="140" w:line="274" w:lineRule="auto"/>
        <w:jc w:val="left"/>
      </w:pPr>
      <w:r>
        <w:rPr>
          <w:rFonts w:ascii="Calibri" w:hAnsi="Calibri"/>
          <w:b w:val="0"/>
          <w:i w:val="0"/>
          <w:color w:val="1F2A28"/>
          <w:sz w:val="22"/>
        </w:rPr>
        <w:t>Go to mazhar17.github.io/ocm. Use Chrome or Edge on a desktop or laptop.</w:t>
      </w:r>
    </w:p>
    <w:p>
      <w:pPr>
        <w:spacing w:before="0" w:after="140" w:line="274" w:lineRule="auto"/>
        <w:jc w:val="left"/>
      </w:pPr>
      <w:r>
        <w:rPr>
          <w:rFonts w:ascii="Calibri" w:hAnsi="Calibri"/>
          <w:b w:val="0"/>
          <w:i w:val="0"/>
          <w:color w:val="1F2A28"/>
          <w:sz w:val="22"/>
        </w:rPr>
        <w:t>Firefox, Safari and phones will run the tool, but they cannot save straight to a file on your disk. On those, your data lives in the browser and you export a backup by hand. That works, but it is easier to be careless with it.</w:t>
      </w:r>
    </w:p>
    <w:p>
      <w:pPr>
        <w:pStyle w:val="Heading3"/>
      </w:pPr>
      <w:r>
        <w:t>Keeping your own copy</w:t>
      </w:r>
    </w:p>
    <w:p>
      <w:pPr>
        <w:spacing w:before="0" w:after="140" w:line="274" w:lineRule="auto"/>
        <w:jc w:val="left"/>
      </w:pPr>
      <w:r>
        <w:rPr>
          <w:rFonts w:ascii="Calibri" w:hAnsi="Calibri"/>
          <w:b w:val="0"/>
          <w:i w:val="0"/>
          <w:color w:val="1F2A28"/>
          <w:sz w:val="22"/>
        </w:rPr>
        <w:t>Go to Data &amp; Backup → File &amp; Backups and find the card Save the App for Offline Use. You get a single HTML file, stamped with the version. Put it on your computer or a USB stick. Double-click it and the tool runs with no internet at all.</w:t>
      </w:r>
    </w:p>
    <w:p>
      <w:pPr>
        <w:pBdr>
          <w:left w:val="single" w:sz="14" w:space="8" w:color="A87210"/>
        </w:pBdr>
        <w:spacing w:before="100" w:after="180" w:line="271" w:lineRule="auto"/>
        <w:ind w:left="230"/>
      </w:pPr>
      <w:r>
        <w:rPr>
          <w:rFonts w:ascii="Calibri" w:hAnsi="Calibri"/>
          <w:b/>
          <w:color w:val="A87210"/>
          <w:sz w:val="21"/>
        </w:rPr>
        <w:t xml:space="preserve">One thing to know.  </w:t>
      </w:r>
      <w:r>
        <w:rPr>
          <w:rFonts w:ascii="Calibri" w:hAnsi="Calibri"/>
          <w:color w:val="1F2A28"/>
          <w:sz w:val="21"/>
        </w:rPr>
        <w:t>That copy holds the app, not your data. Browsers keep data separately for every location a page is opened from. To carry your courses across, export your JSON and import it, or simply work on a data file — a file opens in either copy.</w:t>
      </w:r>
    </w:p>
    <w:p>
      <w:pPr>
        <w:pStyle w:val="Heading2"/>
      </w:pPr>
      <w:r>
        <w:t>6. Keeping your data safe</w:t>
      </w:r>
    </w:p>
    <w:p>
      <w:pPr>
        <w:spacing w:before="0" w:after="140" w:line="274" w:lineRule="auto"/>
        <w:jc w:val="left"/>
      </w:pPr>
      <w:r>
        <w:rPr>
          <w:rFonts w:ascii="Calibri" w:hAnsi="Calibri"/>
          <w:b w:val="0"/>
          <w:i w:val="0"/>
          <w:color w:val="1F2A28"/>
          <w:sz w:val="22"/>
        </w:rPr>
        <w:t>This is the most important page in the guide. Read it before you enter a semester's marks.</w:t>
      </w:r>
    </w:p>
    <w:p>
      <w:pPr>
        <w:pStyle w:val="Heading3"/>
      </w:pPr>
      <w:r>
        <w:t>Work on a file</w:t>
      </w:r>
    </w:p>
    <w:p>
      <w:pPr>
        <w:spacing w:before="0" w:after="140" w:line="274" w:lineRule="auto"/>
        <w:jc w:val="left"/>
      </w:pPr>
      <w:r>
        <w:rPr>
          <w:rFonts w:ascii="Calibri" w:hAnsi="Calibri"/>
          <w:b w:val="0"/>
          <w:i w:val="0"/>
          <w:color w:val="1F2A28"/>
          <w:sz w:val="22"/>
        </w:rPr>
        <w:t>By default your work lives inside the browser. That is convenient and slightly fragile: clearing your browsing data erases it.</w:t>
      </w:r>
    </w:p>
    <w:p>
      <w:pPr>
        <w:spacing w:before="0" w:after="140" w:line="274" w:lineRule="auto"/>
        <w:jc w:val="left"/>
      </w:pPr>
      <w:r>
        <w:rPr>
          <w:rFonts w:ascii="Calibri" w:hAnsi="Calibri"/>
          <w:b w:val="0"/>
          <w:i w:val="0"/>
          <w:color w:val="1F2A28"/>
          <w:sz w:val="22"/>
        </w:rPr>
        <w:t>Instead, use the File menu at the top right — it always reads “File”, whatever is open — and choose Save to New File. The same actions are in Data &amp; Backup → File &amp; Backups, in the card headed Work on a File. Pick a folder that syncs to OneDrive, Google Drive or Dropbox. Every change you make is now written to that file, and the file is backed up by your cloud service.</w:t>
      </w:r>
    </w:p>
    <w:p>
      <w:pPr>
        <w:spacing w:before="0" w:after="140" w:line="274" w:lineRule="auto"/>
        <w:jc w:val="left"/>
      </w:pPr>
      <w:r>
        <w:rPr>
          <w:rFonts w:ascii="Calibri" w:hAnsi="Calibri"/>
          <w:b w:val="0"/>
          <w:i w:val="0"/>
          <w:color w:val="1F2A28"/>
          <w:sz w:val="22"/>
        </w:rPr>
        <w:t>When you reopen the browser, press Reconnect once. Browsers require that permission each session; it is a security rule, not a fault.</w:t>
      </w:r>
    </w:p>
    <w:p>
      <w:pPr>
        <w:pStyle w:val="Heading3"/>
      </w:pPr>
      <w:r>
        <w:t>Back up anyway</w:t>
      </w:r>
    </w:p>
    <w:p>
      <w:pPr>
        <w:spacing w:before="0" w:after="140" w:line="274" w:lineRule="auto"/>
        <w:jc w:val="left"/>
      </w:pPr>
      <w:r>
        <w:rPr>
          <w:rFonts w:ascii="Calibri" w:hAnsi="Calibri"/>
          <w:b w:val="0"/>
          <w:i w:val="0"/>
          <w:color w:val="1F2A28"/>
          <w:sz w:val="22"/>
        </w:rPr>
        <w:t>Once a milestone is done — outcomes written, marks entered, report printed — go to Data &amp; Backup → File &amp; Backups and press ⬇ Export ALL Courses. Keep the file. It costs nothing and it has saved people.</w:t>
      </w:r>
    </w:p>
    <w:p>
      <w:pPr>
        <w:pStyle w:val="Heading3"/>
      </w:pPr>
      <w:r>
        <w:t>Sharing with a colleague</w:t>
      </w:r>
    </w:p>
    <w:p>
      <w:pPr>
        <w:spacing w:before="0" w:after="140" w:line="274" w:lineRule="auto"/>
        <w:jc w:val="left"/>
      </w:pPr>
      <w:r>
        <w:rPr>
          <w:rFonts w:ascii="Calibri" w:hAnsi="Calibri"/>
          <w:b w:val="0"/>
          <w:i w:val="0"/>
          <w:color w:val="1F2A28"/>
          <w:sz w:val="22"/>
        </w:rPr>
        <w:t>Send them the JSON file. They open it with Open Data File. Everything comes across, including your shared pools of activities and resources.</w:t>
      </w:r>
    </w:p>
    <w:p>
      <w:pPr>
        <w:pBdr>
          <w:left w:val="single" w:sz="14" w:space="8" w:color="8B2B20"/>
        </w:pBdr>
        <w:spacing w:before="100" w:after="180" w:line="271" w:lineRule="auto"/>
        <w:ind w:left="230"/>
      </w:pPr>
      <w:r>
        <w:rPr>
          <w:rFonts w:ascii="Calibri" w:hAnsi="Calibri"/>
          <w:b/>
          <w:color w:val="8B2B20"/>
          <w:sz w:val="21"/>
        </w:rPr>
        <w:t xml:space="preserve">Only one editor at a time.  </w:t>
      </w:r>
      <w:r>
        <w:rPr>
          <w:rFonts w:ascii="Calibri" w:hAnsi="Calibri"/>
          <w:color w:val="1F2A28"/>
          <w:sz w:val="21"/>
        </w:rPr>
        <w:t>A synced folder does not merge two people's edits. It keeps whichever was saved last, silently. If two of you teach the course, agree who holds the file this week.</w:t>
      </w:r>
    </w:p>
    <w:p>
      <w:pPr>
        <w:pStyle w:val="Heading2"/>
      </w:pPr>
      <w:r>
        <w:t>7. Setup: make it your university's</w:t>
      </w:r>
    </w:p>
    <w:p>
      <w:pPr>
        <w:spacing w:before="0" w:after="140" w:line="274" w:lineRule="auto"/>
        <w:jc w:val="left"/>
      </w:pPr>
      <w:r>
        <w:rPr>
          <w:rFonts w:ascii="Calibri" w:hAnsi="Calibri"/>
          <w:b w:val="0"/>
          <w:i w:val="0"/>
          <w:color w:val="1F2A28"/>
          <w:sz w:val="22"/>
        </w:rPr>
        <w:t>The tool is shipped configured for one university, but nothing about it is fixed to that university. Open the Setup Section and make it yours. You do this once.</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4464"/>
            <w:shd w:val="clear" w:color="auto" w:fill="E9F3EF"/>
          </w:tcPr>
          <w:p>
            <w:pPr>
              <w:spacing w:before="40" w:after="40" w:line="259" w:lineRule="auto"/>
            </w:pPr>
            <w:r>
              <w:rPr>
                <w:rFonts w:ascii="Calibri" w:hAnsi="Calibri"/>
                <w:b/>
                <w:color w:val="083A32"/>
                <w:sz w:val="19"/>
              </w:rPr>
              <w:t>What you set</w:t>
            </w:r>
          </w:p>
        </w:tc>
        <w:tc>
          <w:tcPr>
            <w:tcW w:type="dxa" w:w="5040"/>
            <w:shd w:val="clear" w:color="auto" w:fill="E9F3EF"/>
          </w:tcPr>
          <w:p>
            <w:pPr>
              <w:spacing w:before="40" w:after="40" w:line="259" w:lineRule="auto"/>
            </w:pPr>
            <w:r>
              <w:rPr>
                <w:rFonts w:ascii="Calibri" w:hAnsi="Calibri"/>
                <w:b/>
                <w:color w:val="083A32"/>
                <w:sz w:val="19"/>
              </w:rPr>
              <w:t>Where it shows up</w:t>
            </w:r>
          </w:p>
        </w:tc>
      </w:tr>
      <w:tr>
        <w:tc>
          <w:tcPr>
            <w:tcW w:type="dxa" w:w="4464"/>
          </w:tcPr>
          <w:p>
            <w:pPr>
              <w:spacing w:before="40" w:after="40" w:line="259" w:lineRule="auto"/>
            </w:pPr>
            <w:r>
              <w:rPr>
                <w:rFonts w:ascii="Calibri" w:hAnsi="Calibri"/>
                <w:b w:val="0"/>
                <w:color w:val="1F2A28"/>
                <w:sz w:val="19"/>
              </w:rPr>
              <w:t>Name of the institution, address and official logo</w:t>
            </w:r>
          </w:p>
        </w:tc>
        <w:tc>
          <w:tcPr>
            <w:tcW w:type="dxa" w:w="5040"/>
          </w:tcPr>
          <w:p>
            <w:pPr>
              <w:spacing w:before="40" w:after="40" w:line="259" w:lineRule="auto"/>
            </w:pPr>
            <w:r>
              <w:rPr>
                <w:rFonts w:ascii="Calibri" w:hAnsi="Calibri"/>
                <w:b w:val="0"/>
                <w:color w:val="1F2A28"/>
                <w:sz w:val="19"/>
              </w:rPr>
              <w:t>The letterhead on every printed document</w:t>
            </w:r>
          </w:p>
        </w:tc>
      </w:tr>
      <w:tr>
        <w:tc>
          <w:tcPr>
            <w:tcW w:type="dxa" w:w="4464"/>
          </w:tcPr>
          <w:p>
            <w:pPr>
              <w:spacing w:before="40" w:after="40" w:line="259" w:lineRule="auto"/>
            </w:pPr>
            <w:r>
              <w:rPr>
                <w:rFonts w:ascii="Calibri" w:hAnsi="Calibri"/>
                <w:b w:val="0"/>
                <w:color w:val="1F2A28"/>
                <w:sz w:val="19"/>
              </w:rPr>
              <w:t>Faculty or School, and Department</w:t>
            </w:r>
          </w:p>
        </w:tc>
        <w:tc>
          <w:tcPr>
            <w:tcW w:type="dxa" w:w="5040"/>
          </w:tcPr>
          <w:p>
            <w:pPr>
              <w:spacing w:before="40" w:after="40" w:line="259" w:lineRule="auto"/>
            </w:pPr>
            <w:r>
              <w:rPr>
                <w:rFonts w:ascii="Calibri" w:hAnsi="Calibri"/>
                <w:b w:val="0"/>
                <w:color w:val="1F2A28"/>
                <w:sz w:val="19"/>
              </w:rPr>
              <w:t>Filled in automatically for each new course; a course can override it</w:t>
            </w:r>
          </w:p>
        </w:tc>
      </w:tr>
      <w:tr>
        <w:tc>
          <w:tcPr>
            <w:tcW w:type="dxa" w:w="4464"/>
          </w:tcPr>
          <w:p>
            <w:pPr>
              <w:spacing w:before="40" w:after="40" w:line="259" w:lineRule="auto"/>
            </w:pPr>
            <w:r>
              <w:rPr>
                <w:rFonts w:ascii="Calibri" w:hAnsi="Calibri"/>
                <w:b w:val="0"/>
                <w:color w:val="1F2A28"/>
                <w:sz w:val="19"/>
              </w:rPr>
              <w:t>Grading policy — a Numerical Value / Letter Grade / Grade Point table, rows addable and deletable, shipped with the standard ten-grade scale. Signatory titles — Head of the Department, OBE Programme Coordinator, Vetter, Moderator, Specialization Committee, Convener</w:t>
            </w:r>
          </w:p>
        </w:tc>
        <w:tc>
          <w:tcPr>
            <w:tcW w:type="dxa" w:w="5040"/>
          </w:tcPr>
          <w:p>
            <w:pPr>
              <w:spacing w:before="40" w:after="40" w:line="259" w:lineRule="auto"/>
            </w:pPr>
            <w:r>
              <w:rPr>
                <w:rFonts w:ascii="Calibri" w:hAnsi="Calibri"/>
                <w:b w:val="0"/>
                <w:color w:val="1F2A28"/>
                <w:sz w:val="19"/>
              </w:rPr>
              <w:t>The signature blocks on the vetting, moderation and modification forms. Rename them to whatever your university calls them.</w:t>
            </w:r>
          </w:p>
        </w:tc>
      </w:tr>
      <w:tr>
        <w:tc>
          <w:tcPr>
            <w:tcW w:type="dxa" w:w="4464"/>
          </w:tcPr>
          <w:p>
            <w:pPr>
              <w:spacing w:before="40" w:after="40" w:line="259" w:lineRule="auto"/>
            </w:pPr>
            <w:r>
              <w:rPr>
                <w:rFonts w:ascii="Calibri" w:hAnsi="Calibri"/>
                <w:b w:val="0"/>
                <w:color w:val="1F2A28"/>
                <w:sz w:val="19"/>
              </w:rPr>
              <w:t>The default pass marks, KPI, KPI target and direct/indirect weighting</w:t>
            </w:r>
          </w:p>
        </w:tc>
        <w:tc>
          <w:tcPr>
            <w:tcW w:type="dxa" w:w="5040"/>
          </w:tcPr>
          <w:p>
            <w:pPr>
              <w:spacing w:before="40" w:after="40" w:line="259" w:lineRule="auto"/>
            </w:pPr>
            <w:r>
              <w:rPr>
                <w:rFonts w:ascii="Calibri" w:hAnsi="Calibri"/>
                <w:b w:val="0"/>
                <w:color w:val="1F2A28"/>
                <w:sz w:val="19"/>
              </w:rPr>
              <w:t>The starting values for every new course</w:t>
            </w:r>
          </w:p>
        </w:tc>
      </w:tr>
      <w:tr>
        <w:tc>
          <w:tcPr>
            <w:tcW w:type="dxa" w:w="4464"/>
          </w:tcPr>
          <w:p>
            <w:pPr>
              <w:spacing w:before="40" w:after="40" w:line="259" w:lineRule="auto"/>
            </w:pPr>
            <w:r>
              <w:rPr>
                <w:rFonts w:ascii="Calibri" w:hAnsi="Calibri"/>
                <w:b w:val="0"/>
                <w:color w:val="1F2A28"/>
                <w:sz w:val="19"/>
              </w:rPr>
              <w:t>Default OBE framework</w:t>
            </w:r>
          </w:p>
        </w:tc>
        <w:tc>
          <w:tcPr>
            <w:tcW w:type="dxa" w:w="5040"/>
          </w:tcPr>
          <w:p>
            <w:pPr>
              <w:spacing w:before="40" w:after="40" w:line="259" w:lineRule="auto"/>
            </w:pPr>
            <w:r>
              <w:rPr>
                <w:rFonts w:ascii="Calibri" w:hAnsi="Calibri"/>
                <w:b w:val="0"/>
                <w:color w:val="1F2A28"/>
                <w:sz w:val="19"/>
              </w:rPr>
              <w:t>Which framework a new course begins in</w:t>
            </w:r>
          </w:p>
        </w:tc>
      </w:tr>
      <w:tr>
        <w:tc>
          <w:tcPr>
            <w:tcW w:type="dxa" w:w="4464"/>
          </w:tcPr>
          <w:p>
            <w:pPr>
              <w:spacing w:before="40" w:after="40" w:line="259" w:lineRule="auto"/>
            </w:pPr>
            <w:r>
              <w:rPr>
                <w:rFonts w:ascii="Calibri" w:hAnsi="Calibri"/>
                <w:b w:val="0"/>
                <w:color w:val="1F2A28"/>
                <w:sz w:val="19"/>
              </w:rPr>
              <w:t>Academic management system</w:t>
            </w:r>
          </w:p>
        </w:tc>
        <w:tc>
          <w:tcPr>
            <w:tcW w:type="dxa" w:w="5040"/>
          </w:tcPr>
          <w:p>
            <w:pPr>
              <w:spacing w:before="40" w:after="40" w:line="259" w:lineRule="auto"/>
            </w:pPr>
            <w:r>
              <w:rPr>
                <w:rFonts w:ascii="Calibri" w:hAnsi="Calibri"/>
                <w:b w:val="0"/>
                <w:color w:val="1F2A28"/>
                <w:sz w:val="19"/>
              </w:rPr>
              <w:t>Printed beside the grade distribution in Course Report 4.1. Leave it blank if you name no system.</w:t>
            </w:r>
          </w:p>
        </w:tc>
      </w:tr>
    </w:tbl>
    <w:p>
      <w:pPr>
        <w:spacing w:before="0" w:after="80" w:line="274" w:lineRule="auto"/>
        <w:jc w:val="left"/>
      </w:pPr>
    </w:p>
    <w:p>
      <w:pPr>
        <w:pBdr>
          <w:left w:val="single" w:sz="14" w:space="8" w:color="0F6B5C"/>
        </w:pBdr>
        <w:spacing w:before="100" w:after="180" w:line="271" w:lineRule="auto"/>
        <w:ind w:left="230"/>
      </w:pPr>
      <w:r>
        <w:rPr>
          <w:rFonts w:ascii="Calibri" w:hAnsi="Calibri"/>
          <w:b/>
          <w:color w:val="0F6B5C"/>
          <w:sz w:val="21"/>
        </w:rPr>
        <w:t xml:space="preserve">What you cannot change, and why.  </w:t>
      </w:r>
      <w:r>
        <w:rPr>
          <w:rFonts w:ascii="Calibri" w:hAnsi="Calibri"/>
          <w:color w:val="1F2A28"/>
          <w:sz w:val="21"/>
        </w:rPr>
        <w:t>The Programme Outcomes, the Knowledge Profile, the complex-problem and complex-activity attributes, the Performance Indicators and the names of the documents all come from the accreditation manual. They are fixed on purpose. An evaluator needs to read your file against the manual without translating your local wording first.</w:t>
      </w:r>
    </w:p>
    <w:p>
      <w:pPr>
        <w:pStyle w:val="Heading2"/>
      </w:pPr>
      <w:r>
        <w:t>8. Choosing the framework</w:t>
      </w:r>
    </w:p>
    <w:p>
      <w:pPr>
        <w:spacing w:before="0" w:after="140" w:line="274" w:lineRule="auto"/>
        <w:jc w:val="left"/>
      </w:pPr>
      <w:r>
        <w:rPr>
          <w:rFonts w:ascii="Calibri" w:hAnsi="Calibri"/>
          <w:b w:val="0"/>
          <w:i w:val="0"/>
          <w:color w:val="1F2A28"/>
          <w:sz w:val="22"/>
        </w:rPr>
        <w:t>The accreditation criteria exist in two versions. Each course carries its own setting, in Course Info → OBE Framework.</w:t>
      </w:r>
    </w:p>
    <w:tbl>
      <w:tblPr>
        <w:tblStyle w:val="TableGrid"/>
        <w:tblW w:type="auto" w:w="0"/>
        <w:jc w:val="center"/>
        <w:tblLook w:firstColumn="1" w:firstRow="1" w:lastColumn="0" w:lastRow="0" w:noHBand="0" w:noVBand="1" w:val="04A0"/>
      </w:tblPr>
      <w:tblGrid>
        <w:gridCol w:w="3168"/>
        <w:gridCol w:w="3168"/>
        <w:gridCol w:w="3168"/>
      </w:tblGrid>
      <w:tr>
        <w:trPr>
          <w:tblHeader w:val="true"/>
        </w:trPr>
        <w:tc>
          <w:tcPr>
            <w:tcW w:type="dxa" w:w="2160"/>
            <w:shd w:val="clear" w:color="auto" w:fill="E9F3EF"/>
          </w:tcPr>
          <w:p>
            <w:pPr>
              <w:spacing w:before="40" w:after="40" w:line="259" w:lineRule="auto"/>
            </w:pPr>
            <w:r>
              <w:rPr>
                <w:rFonts w:ascii="Calibri" w:hAnsi="Calibri"/>
                <w:b/>
                <w:color w:val="083A32"/>
                <w:sz w:val="19"/>
              </w:rPr>
            </w:r>
          </w:p>
        </w:tc>
        <w:tc>
          <w:tcPr>
            <w:tcW w:type="dxa" w:w="3168"/>
            <w:shd w:val="clear" w:color="auto" w:fill="E9F3EF"/>
          </w:tcPr>
          <w:p>
            <w:pPr>
              <w:spacing w:before="40" w:after="40" w:line="259" w:lineRule="auto"/>
            </w:pPr>
            <w:r>
              <w:rPr>
                <w:rFonts w:ascii="Calibri" w:hAnsi="Calibri"/>
                <w:b/>
                <w:color w:val="083A32"/>
                <w:sz w:val="19"/>
              </w:rPr>
              <w:t>Version 2.2</w:t>
            </w:r>
          </w:p>
        </w:tc>
        <w:tc>
          <w:tcPr>
            <w:tcW w:type="dxa" w:w="4176"/>
            <w:shd w:val="clear" w:color="auto" w:fill="E9F3EF"/>
          </w:tcPr>
          <w:p>
            <w:pPr>
              <w:spacing w:before="40" w:after="40" w:line="259" w:lineRule="auto"/>
            </w:pPr>
            <w:r>
              <w:rPr>
                <w:rFonts w:ascii="Calibri" w:hAnsi="Calibri"/>
                <w:b/>
                <w:color w:val="083A32"/>
                <w:sz w:val="19"/>
              </w:rPr>
              <w:t>Version 3</w:t>
            </w:r>
          </w:p>
        </w:tc>
      </w:tr>
      <w:tr>
        <w:tc>
          <w:tcPr>
            <w:tcW w:type="dxa" w:w="2160"/>
          </w:tcPr>
          <w:p>
            <w:pPr>
              <w:spacing w:before="40" w:after="40" w:line="259" w:lineRule="auto"/>
            </w:pPr>
            <w:r>
              <w:rPr>
                <w:rFonts w:ascii="Calibri" w:hAnsi="Calibri"/>
                <w:b w:val="0"/>
                <w:color w:val="1F2A28"/>
                <w:sz w:val="19"/>
              </w:rPr>
              <w:t>Programme Outcomes</w:t>
            </w:r>
          </w:p>
        </w:tc>
        <w:tc>
          <w:tcPr>
            <w:tcW w:type="dxa" w:w="3168"/>
          </w:tcPr>
          <w:p>
            <w:pPr>
              <w:spacing w:before="40" w:after="40" w:line="259" w:lineRule="auto"/>
            </w:pPr>
            <w:r>
              <w:rPr>
                <w:rFonts w:ascii="Calibri" w:hAnsi="Calibri"/>
                <w:b w:val="0"/>
                <w:color w:val="1F2A28"/>
                <w:sz w:val="19"/>
              </w:rPr>
              <w:t>Twelve, no indicators</w:t>
            </w:r>
          </w:p>
        </w:tc>
        <w:tc>
          <w:tcPr>
            <w:tcW w:type="dxa" w:w="4176"/>
          </w:tcPr>
          <w:p>
            <w:pPr>
              <w:spacing w:before="40" w:after="40" w:line="259" w:lineRule="auto"/>
            </w:pPr>
            <w:r>
              <w:rPr>
                <w:rFonts w:ascii="Calibri" w:hAnsi="Calibri"/>
                <w:b w:val="0"/>
                <w:color w:val="1F2A28"/>
                <w:sz w:val="19"/>
              </w:rPr>
              <w:t>Twelve, renumbered from PO6 onwards; PO12 Entrepreneurship is new</w:t>
            </w:r>
          </w:p>
        </w:tc>
      </w:tr>
      <w:tr>
        <w:tc>
          <w:tcPr>
            <w:tcW w:type="dxa" w:w="2160"/>
          </w:tcPr>
          <w:p>
            <w:pPr>
              <w:spacing w:before="40" w:after="40" w:line="259" w:lineRule="auto"/>
            </w:pPr>
            <w:r>
              <w:rPr>
                <w:rFonts w:ascii="Calibri" w:hAnsi="Calibri"/>
                <w:b w:val="0"/>
                <w:color w:val="1F2A28"/>
                <w:sz w:val="19"/>
              </w:rPr>
              <w:t>Performance Indicators</w:t>
            </w:r>
          </w:p>
        </w:tc>
        <w:tc>
          <w:tcPr>
            <w:tcW w:type="dxa" w:w="3168"/>
          </w:tcPr>
          <w:p>
            <w:pPr>
              <w:spacing w:before="40" w:after="40" w:line="259" w:lineRule="auto"/>
            </w:pPr>
            <w:r>
              <w:rPr>
                <w:rFonts w:ascii="Calibri" w:hAnsi="Calibri"/>
                <w:b w:val="0"/>
                <w:color w:val="1F2A28"/>
                <w:sz w:val="19"/>
              </w:rPr>
              <w:t>none</w:t>
            </w:r>
          </w:p>
        </w:tc>
        <w:tc>
          <w:tcPr>
            <w:tcW w:type="dxa" w:w="4176"/>
          </w:tcPr>
          <w:p>
            <w:pPr>
              <w:spacing w:before="40" w:after="40" w:line="259" w:lineRule="auto"/>
            </w:pPr>
            <w:r>
              <w:rPr>
                <w:rFonts w:ascii="Calibri" w:hAnsi="Calibri"/>
                <w:b w:val="0"/>
                <w:color w:val="1F2A28"/>
                <w:sz w:val="19"/>
              </w:rPr>
              <w:t>a selectable set — BAETE’s 46 suggested indicators, the 35-indicator ME_Type1 set, or your own</w:t>
            </w:r>
          </w:p>
        </w:tc>
      </w:tr>
      <w:tr>
        <w:tc>
          <w:tcPr>
            <w:tcW w:type="dxa" w:w="2160"/>
          </w:tcPr>
          <w:p>
            <w:pPr>
              <w:spacing w:before="40" w:after="40" w:line="259" w:lineRule="auto"/>
            </w:pPr>
            <w:r>
              <w:rPr>
                <w:rFonts w:ascii="Calibri" w:hAnsi="Calibri"/>
                <w:b w:val="0"/>
                <w:color w:val="1F2A28"/>
                <w:sz w:val="19"/>
              </w:rPr>
              <w:t>Knowledge Profile</w:t>
            </w:r>
          </w:p>
        </w:tc>
        <w:tc>
          <w:tcPr>
            <w:tcW w:type="dxa" w:w="3168"/>
          </w:tcPr>
          <w:p>
            <w:pPr>
              <w:spacing w:before="40" w:after="40" w:line="259" w:lineRule="auto"/>
            </w:pPr>
            <w:r>
              <w:rPr>
                <w:rFonts w:ascii="Calibri" w:hAnsi="Calibri"/>
                <w:b w:val="0"/>
                <w:color w:val="1F2A28"/>
                <w:sz w:val="19"/>
              </w:rPr>
              <w:t>K1–K8</w:t>
            </w:r>
          </w:p>
        </w:tc>
        <w:tc>
          <w:tcPr>
            <w:tcW w:type="dxa" w:w="4176"/>
          </w:tcPr>
          <w:p>
            <w:pPr>
              <w:spacing w:before="40" w:after="40" w:line="259" w:lineRule="auto"/>
            </w:pPr>
            <w:r>
              <w:rPr>
                <w:rFonts w:ascii="Calibri" w:hAnsi="Calibri"/>
                <w:b w:val="0"/>
                <w:color w:val="1F2A28"/>
                <w:sz w:val="19"/>
              </w:rPr>
              <w:t>WK1–WK9</w:t>
            </w:r>
          </w:p>
        </w:tc>
      </w:tr>
      <w:tr>
        <w:tc>
          <w:tcPr>
            <w:tcW w:type="dxa" w:w="2160"/>
          </w:tcPr>
          <w:p>
            <w:pPr>
              <w:spacing w:before="40" w:after="40" w:line="259" w:lineRule="auto"/>
            </w:pPr>
            <w:r>
              <w:rPr>
                <w:rFonts w:ascii="Calibri" w:hAnsi="Calibri"/>
                <w:b w:val="0"/>
                <w:color w:val="1F2A28"/>
                <w:sz w:val="19"/>
              </w:rPr>
              <w:t>Complex problems</w:t>
            </w:r>
          </w:p>
        </w:tc>
        <w:tc>
          <w:tcPr>
            <w:tcW w:type="dxa" w:w="3168"/>
          </w:tcPr>
          <w:p>
            <w:pPr>
              <w:spacing w:before="40" w:after="40" w:line="259" w:lineRule="auto"/>
            </w:pPr>
            <w:r>
              <w:rPr>
                <w:rFonts w:ascii="Calibri" w:hAnsi="Calibri"/>
                <w:b w:val="0"/>
                <w:color w:val="1F2A28"/>
                <w:sz w:val="19"/>
              </w:rPr>
              <w:t>P1–P7</w:t>
            </w:r>
          </w:p>
        </w:tc>
        <w:tc>
          <w:tcPr>
            <w:tcW w:type="dxa" w:w="4176"/>
          </w:tcPr>
          <w:p>
            <w:pPr>
              <w:spacing w:before="40" w:after="40" w:line="259" w:lineRule="auto"/>
            </w:pPr>
            <w:r>
              <w:rPr>
                <w:rFonts w:ascii="Calibri" w:hAnsi="Calibri"/>
                <w:b w:val="0"/>
                <w:color w:val="1F2A28"/>
                <w:sz w:val="19"/>
              </w:rPr>
              <w:t>WP1–WP7, rewritten</w:t>
            </w:r>
          </w:p>
        </w:tc>
      </w:tr>
      <w:tr>
        <w:tc>
          <w:tcPr>
            <w:tcW w:type="dxa" w:w="2160"/>
          </w:tcPr>
          <w:p>
            <w:pPr>
              <w:spacing w:before="40" w:after="40" w:line="259" w:lineRule="auto"/>
            </w:pPr>
            <w:r>
              <w:rPr>
                <w:rFonts w:ascii="Calibri" w:hAnsi="Calibri"/>
                <w:b w:val="0"/>
                <w:color w:val="1F2A28"/>
                <w:sz w:val="19"/>
              </w:rPr>
              <w:t>Complex activities</w:t>
            </w:r>
          </w:p>
        </w:tc>
        <w:tc>
          <w:tcPr>
            <w:tcW w:type="dxa" w:w="3168"/>
          </w:tcPr>
          <w:p>
            <w:pPr>
              <w:spacing w:before="40" w:after="40" w:line="259" w:lineRule="auto"/>
            </w:pPr>
            <w:r>
              <w:rPr>
                <w:rFonts w:ascii="Calibri" w:hAnsi="Calibri"/>
                <w:b w:val="0"/>
                <w:color w:val="1F2A28"/>
                <w:sz w:val="19"/>
              </w:rPr>
              <w:t>A1–A5</w:t>
            </w:r>
          </w:p>
        </w:tc>
        <w:tc>
          <w:tcPr>
            <w:tcW w:type="dxa" w:w="4176"/>
          </w:tcPr>
          <w:p>
            <w:pPr>
              <w:spacing w:before="40" w:after="40" w:line="259" w:lineRule="auto"/>
            </w:pPr>
            <w:r>
              <w:rPr>
                <w:rFonts w:ascii="Calibri" w:hAnsi="Calibri"/>
                <w:b w:val="0"/>
                <w:color w:val="1F2A28"/>
                <w:sz w:val="19"/>
              </w:rPr>
              <w:t>EA1–EA5, rewritten</w:t>
            </w:r>
          </w:p>
        </w:tc>
      </w:tr>
      <w:tr>
        <w:tc>
          <w:tcPr>
            <w:tcW w:type="dxa" w:w="2160"/>
          </w:tcPr>
          <w:p>
            <w:pPr>
              <w:spacing w:before="40" w:after="40" w:line="259" w:lineRule="auto"/>
            </w:pPr>
            <w:r>
              <w:rPr>
                <w:rFonts w:ascii="Calibri" w:hAnsi="Calibri"/>
                <w:b w:val="0"/>
                <w:color w:val="1F2A28"/>
                <w:sz w:val="19"/>
              </w:rPr>
              <w:t>Sustainable Development Goals</w:t>
            </w:r>
          </w:p>
        </w:tc>
        <w:tc>
          <w:tcPr>
            <w:tcW w:type="dxa" w:w="3168"/>
          </w:tcPr>
          <w:p>
            <w:pPr>
              <w:spacing w:before="40" w:after="40" w:line="259" w:lineRule="auto"/>
            </w:pPr>
            <w:r>
              <w:rPr>
                <w:rFonts w:ascii="Calibri" w:hAnsi="Calibri"/>
                <w:b w:val="0"/>
                <w:color w:val="1F2A28"/>
                <w:sz w:val="19"/>
              </w:rPr>
              <w:t>not required</w:t>
            </w:r>
          </w:p>
        </w:tc>
        <w:tc>
          <w:tcPr>
            <w:tcW w:type="dxa" w:w="4176"/>
          </w:tcPr>
          <w:p>
            <w:pPr>
              <w:spacing w:before="40" w:after="40" w:line="259" w:lineRule="auto"/>
            </w:pPr>
            <w:r>
              <w:rPr>
                <w:rFonts w:ascii="Calibri" w:hAnsi="Calibri"/>
                <w:b w:val="0"/>
                <w:color w:val="1F2A28"/>
                <w:sz w:val="19"/>
              </w:rPr>
              <w:t>required, and shown in the tool</w:t>
            </w:r>
          </w:p>
        </w:tc>
      </w:tr>
      <w:tr>
        <w:tc>
          <w:tcPr>
            <w:tcW w:type="dxa" w:w="2160"/>
          </w:tcPr>
          <w:p>
            <w:pPr>
              <w:spacing w:before="40" w:after="40" w:line="259" w:lineRule="auto"/>
            </w:pPr>
            <w:r>
              <w:rPr>
                <w:rFonts w:ascii="Calibri" w:hAnsi="Calibri"/>
                <w:b w:val="0"/>
                <w:color w:val="1F2A28"/>
                <w:sz w:val="19"/>
              </w:rPr>
              <w:t>Use it for</w:t>
            </w:r>
          </w:p>
        </w:tc>
        <w:tc>
          <w:tcPr>
            <w:tcW w:type="dxa" w:w="3168"/>
          </w:tcPr>
          <w:p>
            <w:pPr>
              <w:spacing w:before="40" w:after="40" w:line="259" w:lineRule="auto"/>
            </w:pPr>
            <w:r>
              <w:rPr>
                <w:rFonts w:ascii="Calibri" w:hAnsi="Calibri"/>
                <w:b w:val="0"/>
                <w:color w:val="1F2A28"/>
                <w:sz w:val="19"/>
              </w:rPr>
              <w:t>offerings already taught and approved under 2.2</w:t>
            </w:r>
          </w:p>
        </w:tc>
        <w:tc>
          <w:tcPr>
            <w:tcW w:type="dxa" w:w="4176"/>
          </w:tcPr>
          <w:p>
            <w:pPr>
              <w:spacing w:before="40" w:after="40" w:line="259" w:lineRule="auto"/>
            </w:pPr>
            <w:r>
              <w:rPr>
                <w:rFonts w:ascii="Calibri" w:hAnsi="Calibri"/>
                <w:b w:val="0"/>
                <w:color w:val="1F2A28"/>
                <w:sz w:val="19"/>
              </w:rPr>
              <w:t>every new offering</w:t>
            </w:r>
          </w:p>
        </w:tc>
      </w:tr>
    </w:tbl>
    <w:p>
      <w:pPr>
        <w:spacing w:before="0" w:after="80" w:line="274" w:lineRule="auto"/>
        <w:jc w:val="left"/>
      </w:pPr>
    </w:p>
    <w:p>
      <w:pPr>
        <w:pStyle w:val="Heading3"/>
      </w:pPr>
      <w:r>
        <w:t>Switching an existing course</w:t>
      </w:r>
    </w:p>
    <w:p>
      <w:pPr>
        <w:spacing w:before="0" w:after="140" w:line="274" w:lineRule="auto"/>
        <w:jc w:val="left"/>
      </w:pPr>
      <w:r>
        <w:rPr>
          <w:rFonts w:ascii="Calibri" w:hAnsi="Calibri"/>
          <w:b w:val="0"/>
          <w:i w:val="0"/>
          <w:color w:val="1F2A28"/>
          <w:sz w:val="22"/>
        </w:rPr>
        <w:t>The tool asks before it switches, and the warning is worth reading. Your CO–PO ticks are kept by number, but the numbers do not mean the same thing in both versions. PO7 under Version 2.2 was Environment and Sustainability. Under Version 3 it is Ethics.</w:t>
      </w:r>
    </w:p>
    <w:p>
      <w:pPr>
        <w:spacing w:before="0" w:after="140" w:line="274" w:lineRule="auto"/>
        <w:jc w:val="left"/>
      </w:pPr>
      <w:r>
        <w:rPr>
          <w:rFonts w:ascii="Calibri" w:hAnsi="Calibri"/>
          <w:b w:val="0"/>
          <w:i w:val="0"/>
          <w:color w:val="1F2A28"/>
          <w:sz w:val="22"/>
        </w:rPr>
        <w:t>So after switching, open the mapping matrix and decide each mapping again by reading the Version 3 statement. Do not renumber.</w:t>
      </w:r>
    </w:p>
    <w:p>
      <w:pPr>
        <w:pStyle w:val="Heading3"/>
      </w:pPr>
      <w:r>
        <w:t>Recording the change properly</w:t>
      </w:r>
    </w:p>
    <w:p>
      <w:pPr>
        <w:spacing w:before="0" w:after="140" w:line="274" w:lineRule="auto"/>
        <w:jc w:val="left"/>
      </w:pPr>
      <w:r>
        <w:rPr>
          <w:rFonts w:ascii="Calibri" w:hAnsi="Calibri"/>
          <w:b w:val="0"/>
          <w:i w:val="0"/>
          <w:color w:val="1F2A28"/>
          <w:sz w:val="22"/>
        </w:rPr>
        <w:t>Press ⇄ Framework transition in the COs Section. The tool drafts one row per CO on the CO Modification Request Form, showing the approved entry beside its Version 3 restatement, with the reason already written. Take that form to your committee.</w:t>
      </w:r>
    </w:p>
    <w:p>
      <w:pPr>
        <w:pStyle w:val="Heading3"/>
      </w:pPr>
      <w:r>
        <w:t>If your Version 2.2 course is only in Word</w:t>
      </w:r>
    </w:p>
    <w:p>
      <w:r>
        <w:t xml:space="preserve">You do not need to build the old course here first. From the File menu at the top right — or the Welcome card, or the Dashboard — press Start from a Version 2.2 Course Outline. Fill in the course details — code, title, credit hours, semester, programme, section, cohort and teacher, the same nine fields as Course Info — then say whether the outline follows Version 2.2 or Version 3 and which PO Indicator set your programme reports against — that one is a departmental decision, so ask your OBE coordinator if you are unsure; your answer is remembered — and fill one table — a row per CO with the statement, the PO number, the BT domain and level, and the Knowledge Profile, Complex Problem Solving, Complex Engineering Activities and SDG numbers. Type the rows, or download the CSV template, fill it in a spreadsheet and import it. Every cell is checked against the version you chose, and each problem is named — by field for the course details, by CO for the rows — before anything is built; the button stays disabled until the list is empty. Section is the one field you may leave blank, for a course that has no sections. In the attribute cells you may type a range — 1-7 selects all seven complex-problem attributes, 1-5 all five complex-activity ones. Then a card with three steps appears above your COs. Copy the conversion prompt and run it in ChatGPT, Claude, Gemini or any AI tool — it carries your COs, the Version 3 statements, the attribute descriptors, your programme's indicator set, the SDG list and the rules, and asks for one line per CO. Paste the answer back, and OCM fills a review table: the proposed statement, PO with indicators, WK/WP/EA and SDGs for each CO. OCM then checks every row itself — a CO wrongly sent to PO7, WP without WP1, SDGs on the wrong PO, an indicator outside the set, a raised level, a verb that cannot be measured — and tints the row red or amber. Edit a row with the pencil; untick a CO to leave it out. Press Draft committee rows and print the CO Modification Request Form. Once it is approved, press Accept and start the Version 3 course. A new course appears on Version 3 with the accepted wording, mappings, attributes, indicators and SDG claims; the Version 2.2 record stays exactly as it was, as the Existing side of the form. A Version 3 outline entered in the same table becomes a Version 3 course at once, with no conversion step.</w:t>
      </w:r>
    </w:p>
    <w:p>
      <w:pPr>
        <w:pBdr>
          <w:left w:val="single" w:sz="14" w:space="8" w:color="8B2B20"/>
        </w:pBdr>
        <w:spacing w:before="100" w:after="180" w:line="271" w:lineRule="auto"/>
        <w:ind w:left="230"/>
      </w:pPr>
      <w:r>
        <w:rPr>
          <w:rFonts w:ascii="Calibri" w:hAnsi="Calibri"/>
          <w:b/>
          <w:color w:val="8B2B20"/>
          <w:sz w:val="21"/>
        </w:rPr>
        <w:t xml:space="preserve">Leave finished offerings alone.  </w:t>
      </w:r>
      <w:r>
        <w:rPr>
          <w:rFonts w:ascii="Calibri" w:hAnsi="Calibri"/>
          <w:color w:val="1F2A28"/>
          <w:sz w:val="21"/>
        </w:rPr>
        <w:t>Students who were assessed under Version 2.2 must stay reportable under Version 2.2. Archive that course file exactly as it was approved, and start the new semester from a duplicate.</w:t>
      </w:r>
    </w:p>
    <w:p>
      <w:r>
        <w:br w:type="page"/>
      </w:r>
    </w:p>
    <w:p>
      <w:pPr>
        <w:pStyle w:val="Heading1"/>
      </w:pPr>
      <w:r>
        <w:t>Part 3 — Working through a semester</w:t>
      </w:r>
    </w:p>
    <w:p>
      <w:pPr>
        <w:spacing w:before="0" w:after="140" w:line="274" w:lineRule="auto"/>
        <w:jc w:val="left"/>
      </w:pPr>
      <w:r>
        <w:rPr>
          <w:rFonts w:ascii="Calibri" w:hAnsi="Calibri"/>
          <w:b w:val="0"/>
          <w:i/>
          <w:color w:val="5C6B68"/>
          <w:sz w:val="22"/>
        </w:rPr>
        <w:t>The Sections of the tool are arranged in the order you will use them.</w:t>
      </w:r>
    </w:p>
    <w:p>
      <w:pPr>
        <w:pStyle w:val="Heading2"/>
      </w:pPr>
      <w:r>
        <w:t>9. Course Info and the four settings that matter</w:t>
      </w:r>
    </w:p>
    <w:p>
      <w:pPr>
        <w:spacing w:before="0" w:after="140" w:line="274" w:lineRule="auto"/>
        <w:jc w:val="left"/>
      </w:pPr>
      <w:r>
        <w:rPr>
          <w:rFonts w:ascii="Calibri" w:hAnsi="Calibri"/>
          <w:b w:val="0"/>
          <w:i w:val="0"/>
          <w:color w:val="1F2A28"/>
          <w:sz w:val="22"/>
        </w:rPr>
        <w:t>Fill in the course code, title, credit, level and term, programme, section, semester and the teacher's name. The cohort matters: it is printed on the attainment documents and it is how offerings are told apart.</w:t>
      </w:r>
    </w:p>
    <w:p>
      <w:pPr>
        <w:spacing w:before="0" w:after="140" w:line="274" w:lineRule="auto"/>
        <w:jc w:val="left"/>
      </w:pPr>
      <w:r>
        <w:rPr>
          <w:rFonts w:ascii="Calibri" w:hAnsi="Calibri"/>
          <w:b w:val="0"/>
          <w:i w:val="0"/>
          <w:color w:val="1F2A28"/>
          <w:sz w:val="22"/>
        </w:rPr>
        <w:t>Below that sit four numbers. They are institutional decisions, not personal ones — ask your OBE coordinator before changing them.</w:t>
      </w:r>
    </w:p>
    <w:tbl>
      <w:tblPr>
        <w:tblStyle w:val="TableGrid"/>
        <w:tblW w:type="auto" w:w="0"/>
        <w:jc w:val="center"/>
        <w:tblLook w:firstColumn="1" w:firstRow="1" w:lastColumn="0" w:lastRow="0" w:noHBand="0" w:noVBand="1" w:val="04A0"/>
      </w:tblPr>
      <w:tblGrid>
        <w:gridCol w:w="3168"/>
        <w:gridCol w:w="3168"/>
        <w:gridCol w:w="3168"/>
      </w:tblGrid>
      <w:tr>
        <w:trPr>
          <w:tblHeader w:val="true"/>
        </w:trPr>
        <w:tc>
          <w:tcPr>
            <w:tcW w:type="dxa" w:w="2376"/>
            <w:shd w:val="clear" w:color="auto" w:fill="E9F3EF"/>
          </w:tcPr>
          <w:p>
            <w:pPr>
              <w:spacing w:before="40" w:after="40" w:line="259" w:lineRule="auto"/>
            </w:pPr>
            <w:r>
              <w:rPr>
                <w:rFonts w:ascii="Calibri" w:hAnsi="Calibri"/>
                <w:b/>
                <w:color w:val="083A32"/>
                <w:sz w:val="19"/>
              </w:rPr>
              <w:t>Setting</w:t>
            </w:r>
          </w:p>
        </w:tc>
        <w:tc>
          <w:tcPr>
            <w:tcW w:type="dxa" w:w="1440"/>
            <w:shd w:val="clear" w:color="auto" w:fill="E9F3EF"/>
          </w:tcPr>
          <w:p>
            <w:pPr>
              <w:spacing w:before="40" w:after="40" w:line="259" w:lineRule="auto"/>
            </w:pPr>
            <w:r>
              <w:rPr>
                <w:rFonts w:ascii="Calibri" w:hAnsi="Calibri"/>
                <w:b/>
                <w:color w:val="083A32"/>
                <w:sz w:val="19"/>
              </w:rPr>
              <w:t>Usual value</w:t>
            </w:r>
          </w:p>
        </w:tc>
        <w:tc>
          <w:tcPr>
            <w:tcW w:type="dxa" w:w="5688"/>
            <w:shd w:val="clear" w:color="auto" w:fill="E9F3EF"/>
          </w:tcPr>
          <w:p>
            <w:pPr>
              <w:spacing w:before="40" w:after="40" w:line="259" w:lineRule="auto"/>
            </w:pPr>
            <w:r>
              <w:rPr>
                <w:rFonts w:ascii="Calibri" w:hAnsi="Calibri"/>
                <w:b/>
                <w:color w:val="083A32"/>
                <w:sz w:val="19"/>
              </w:rPr>
              <w:t>What it means</w:t>
            </w:r>
          </w:p>
        </w:tc>
      </w:tr>
      <w:tr>
        <w:tc>
          <w:tcPr>
            <w:tcW w:type="dxa" w:w="2376"/>
          </w:tcPr>
          <w:p>
            <w:pPr>
              <w:spacing w:before="40" w:after="40" w:line="259" w:lineRule="auto"/>
            </w:pPr>
            <w:r>
              <w:rPr>
                <w:rFonts w:ascii="Calibri" w:hAnsi="Calibri"/>
                <w:b w:val="0"/>
                <w:color w:val="1F2A28"/>
                <w:sz w:val="19"/>
              </w:rPr>
              <w:t>Target Pass Marks</w:t>
            </w:r>
          </w:p>
        </w:tc>
        <w:tc>
          <w:tcPr>
            <w:tcW w:type="dxa" w:w="1440"/>
          </w:tcPr>
          <w:p>
            <w:pPr>
              <w:spacing w:before="40" w:after="40" w:line="259" w:lineRule="auto"/>
            </w:pPr>
            <w:r>
              <w:rPr>
                <w:rFonts w:ascii="Calibri" w:hAnsi="Calibri"/>
                <w:b w:val="0"/>
                <w:color w:val="1F2A28"/>
                <w:sz w:val="19"/>
              </w:rPr>
              <w:t>40%</w:t>
            </w:r>
          </w:p>
        </w:tc>
        <w:tc>
          <w:tcPr>
            <w:tcW w:type="dxa" w:w="5688"/>
          </w:tcPr>
          <w:p>
            <w:pPr>
              <w:spacing w:before="40" w:after="40" w:line="259" w:lineRule="auto"/>
            </w:pPr>
            <w:r>
              <w:rPr>
                <w:rFonts w:ascii="Calibri" w:hAnsi="Calibri"/>
                <w:b w:val="0"/>
                <w:color w:val="1F2A28"/>
                <w:sz w:val="19"/>
              </w:rPr>
              <w:t>A student has met a CO if they scored at least this much of the marks attached to it.</w:t>
            </w:r>
          </w:p>
        </w:tc>
      </w:tr>
      <w:tr>
        <w:tc>
          <w:tcPr>
            <w:tcW w:type="dxa" w:w="2376"/>
          </w:tcPr>
          <w:p>
            <w:pPr>
              <w:spacing w:before="40" w:after="40" w:line="259" w:lineRule="auto"/>
            </w:pPr>
            <w:r>
              <w:rPr>
                <w:rFonts w:ascii="Calibri" w:hAnsi="Calibri"/>
                <w:b w:val="0"/>
                <w:color w:val="1F2A28"/>
                <w:sz w:val="19"/>
              </w:rPr>
              <w:t>KPI Marks</w:t>
            </w:r>
          </w:p>
        </w:tc>
        <w:tc>
          <w:tcPr>
            <w:tcW w:type="dxa" w:w="1440"/>
          </w:tcPr>
          <w:p>
            <w:pPr>
              <w:spacing w:before="40" w:after="40" w:line="259" w:lineRule="auto"/>
            </w:pPr>
            <w:r>
              <w:rPr>
                <w:rFonts w:ascii="Calibri" w:hAnsi="Calibri"/>
                <w:b w:val="0"/>
                <w:color w:val="1F2A28"/>
                <w:sz w:val="19"/>
              </w:rPr>
              <w:t>50%</w:t>
            </w:r>
          </w:p>
        </w:tc>
        <w:tc>
          <w:tcPr>
            <w:tcW w:type="dxa" w:w="5688"/>
          </w:tcPr>
          <w:p>
            <w:pPr>
              <w:spacing w:before="40" w:after="40" w:line="259" w:lineRule="auto"/>
            </w:pPr>
            <w:r>
              <w:rPr>
                <w:rFonts w:ascii="Calibri" w:hAnsi="Calibri"/>
                <w:b w:val="0"/>
                <w:color w:val="1F2A28"/>
                <w:sz w:val="19"/>
              </w:rPr>
              <w:t>A stricter bar used for the higher of the two attainment figures.</w:t>
            </w:r>
          </w:p>
        </w:tc>
      </w:tr>
      <w:tr>
        <w:tc>
          <w:tcPr>
            <w:tcW w:type="dxa" w:w="2376"/>
          </w:tcPr>
          <w:p>
            <w:pPr>
              <w:spacing w:before="40" w:after="40" w:line="259" w:lineRule="auto"/>
            </w:pPr>
            <w:r>
              <w:rPr>
                <w:rFonts w:ascii="Calibri" w:hAnsi="Calibri"/>
                <w:b w:val="0"/>
                <w:color w:val="1F2A28"/>
                <w:sz w:val="19"/>
              </w:rPr>
              <w:t>KPI Target</w:t>
            </w:r>
          </w:p>
        </w:tc>
        <w:tc>
          <w:tcPr>
            <w:tcW w:type="dxa" w:w="1440"/>
          </w:tcPr>
          <w:p>
            <w:pPr>
              <w:spacing w:before="40" w:after="40" w:line="259" w:lineRule="auto"/>
            </w:pPr>
            <w:r>
              <w:rPr>
                <w:rFonts w:ascii="Calibri" w:hAnsi="Calibri"/>
                <w:b w:val="0"/>
                <w:color w:val="1F2A28"/>
                <w:sz w:val="19"/>
              </w:rPr>
              <w:t>50%</w:t>
            </w:r>
          </w:p>
        </w:tc>
        <w:tc>
          <w:tcPr>
            <w:tcW w:type="dxa" w:w="5688"/>
          </w:tcPr>
          <w:p>
            <w:pPr>
              <w:spacing w:before="40" w:after="40" w:line="259" w:lineRule="auto"/>
            </w:pPr>
            <w:r>
              <w:rPr>
                <w:rFonts w:ascii="Calibri" w:hAnsi="Calibri"/>
                <w:b w:val="0"/>
                <w:color w:val="1F2A28"/>
                <w:sz w:val="19"/>
              </w:rPr>
              <w:t>The share of students who must clear the bar before the CO counts as attained.</w:t>
            </w:r>
          </w:p>
        </w:tc>
      </w:tr>
      <w:tr>
        <w:tc>
          <w:tcPr>
            <w:tcW w:type="dxa" w:w="2376"/>
          </w:tcPr>
          <w:p>
            <w:pPr>
              <w:spacing w:before="40" w:after="40" w:line="259" w:lineRule="auto"/>
            </w:pPr>
            <w:r>
              <w:rPr>
                <w:rFonts w:ascii="Calibri" w:hAnsi="Calibri"/>
                <w:b w:val="0"/>
                <w:color w:val="1F2A28"/>
                <w:sz w:val="19"/>
              </w:rPr>
              <w:t>Direct / Indirect weight</w:t>
            </w:r>
          </w:p>
        </w:tc>
        <w:tc>
          <w:tcPr>
            <w:tcW w:type="dxa" w:w="1440"/>
          </w:tcPr>
          <w:p>
            <w:pPr>
              <w:spacing w:before="40" w:after="40" w:line="259" w:lineRule="auto"/>
            </w:pPr>
            <w:r>
              <w:rPr>
                <w:rFonts w:ascii="Calibri" w:hAnsi="Calibri"/>
                <w:b w:val="0"/>
                <w:color w:val="1F2A28"/>
                <w:sz w:val="19"/>
              </w:rPr>
              <w:t>80 / 20</w:t>
            </w:r>
          </w:p>
        </w:tc>
        <w:tc>
          <w:tcPr>
            <w:tcW w:type="dxa" w:w="5688"/>
          </w:tcPr>
          <w:p>
            <w:pPr>
              <w:spacing w:before="40" w:after="40" w:line="259" w:lineRule="auto"/>
            </w:pPr>
            <w:r>
              <w:rPr>
                <w:rFonts w:ascii="Calibri" w:hAnsi="Calibri"/>
                <w:b w:val="0"/>
                <w:color w:val="1F2A28"/>
                <w:sz w:val="19"/>
              </w:rPr>
              <w:t>How much the marks count, and how much the student survey counts, in the combined figure.</w:t>
            </w:r>
          </w:p>
        </w:tc>
      </w:tr>
    </w:tbl>
    <w:p>
      <w:pPr>
        <w:spacing w:before="0" w:after="80" w:line="274" w:lineRule="auto"/>
        <w:jc w:val="left"/>
      </w:pPr>
    </w:p>
    <w:p>
      <w:pPr>
        <w:pBdr>
          <w:left w:val="single" w:sz="14" w:space="8" w:color="0F6B5C"/>
        </w:pBdr>
        <w:spacing w:before="100" w:after="180" w:line="271" w:lineRule="auto"/>
        <w:ind w:left="230"/>
      </w:pPr>
      <w:r>
        <w:rPr>
          <w:rFonts w:ascii="Calibri" w:hAnsi="Calibri"/>
          <w:b/>
          <w:color w:val="0F6B5C"/>
          <w:sz w:val="21"/>
        </w:rPr>
        <w:t xml:space="preserve">Read that carefully once.  </w:t>
      </w:r>
      <w:r>
        <w:rPr>
          <w:rFonts w:ascii="Calibri" w:hAnsi="Calibri"/>
          <w:color w:val="1F2A28"/>
          <w:sz w:val="21"/>
        </w:rPr>
        <w:t>Target Pass Marks is about one student. KPI Target is about the class. A CO is attained when enough students each did well enough.</w:t>
      </w:r>
    </w:p>
    <w:p>
      <w:pPr>
        <w:pStyle w:val="Heading2"/>
      </w:pPr>
      <w:r>
        <w:t>10. Writing Course Outcomes</w:t>
      </w:r>
    </w:p>
    <w:p>
      <w:pPr>
        <w:spacing w:before="0" w:after="140" w:line="274" w:lineRule="auto"/>
        <w:jc w:val="left"/>
      </w:pPr>
      <w:r>
        <w:rPr>
          <w:rFonts w:ascii="Calibri" w:hAnsi="Calibri"/>
          <w:b w:val="0"/>
          <w:i w:val="0"/>
          <w:color w:val="1F2A28"/>
          <w:sz w:val="22"/>
        </w:rPr>
        <w:t>A Course Outcome says what a student will be able to do. Four to six per course is normal. More than six usually means you have written topics rather than outcomes.</w:t>
      </w:r>
    </w:p>
    <w:p>
      <w:pPr>
        <w:pStyle w:val="Heading3"/>
      </w:pPr>
      <w:r>
        <w:t>The shape of a good outcome</w:t>
      </w:r>
    </w:p>
    <w:p>
      <w:pPr>
        <w:spacing w:before="0" w:after="140" w:line="274" w:lineRule="auto"/>
        <w:jc w:val="left"/>
      </w:pPr>
      <w:r>
        <w:rPr>
          <w:rFonts w:ascii="Calibri" w:hAnsi="Calibri"/>
          <w:b w:val="0"/>
          <w:i w:val="0"/>
          <w:color w:val="1F2A28"/>
          <w:sz w:val="22"/>
        </w:rPr>
        <w:t>Start with a verb that names something you can watch, measure or mark. Then say what, and in what context.</w:t>
      </w:r>
    </w:p>
    <w:p>
      <w:pPr>
        <w:spacing w:before="0" w:after="140" w:line="274" w:lineRule="auto"/>
        <w:ind w:left="360"/>
        <w:jc w:val="left"/>
      </w:pPr>
      <w:r>
        <w:rPr>
          <w:rFonts w:ascii="Calibri" w:hAnsi="Calibri"/>
          <w:b w:val="0"/>
          <w:i/>
          <w:color w:val="083A32"/>
          <w:sz w:val="22"/>
        </w:rPr>
        <w:t>“Analyse the performance of a solar photovoltaic system for a given site using standard software.”</w:t>
      </w:r>
    </w:p>
    <w:p>
      <w:pPr>
        <w:spacing w:before="0" w:after="140" w:line="274" w:lineRule="auto"/>
        <w:jc w:val="left"/>
      </w:pPr>
      <w:r>
        <w:rPr>
          <w:rFonts w:ascii="Calibri" w:hAnsi="Calibri"/>
          <w:b w:val="0"/>
          <w:i w:val="0"/>
          <w:color w:val="1F2A28"/>
          <w:sz w:val="22"/>
        </w:rPr>
        <w:t>That works because you can set a question that makes a student do it, and you can mark the result.</w:t>
      </w:r>
    </w:p>
    <w:p>
      <w:pPr>
        <w:pStyle w:val="Heading3"/>
      </w:pPr>
      <w:r>
        <w:t>Verbs that do not work</w:t>
      </w:r>
    </w:p>
    <w:p>
      <w:pPr>
        <w:spacing w:before="0" w:after="140" w:line="274" w:lineRule="auto"/>
        <w:jc w:val="left"/>
      </w:pPr>
      <w:r>
        <w:rPr>
          <w:rFonts w:ascii="Calibri" w:hAnsi="Calibri"/>
          <w:b w:val="0"/>
          <w:i w:val="0"/>
          <w:color w:val="1F2A28"/>
          <w:sz w:val="22"/>
        </w:rPr>
        <w:t>These nine families cannot be observed, so the tool outlines the outcome in red as you type:</w:t>
      </w:r>
    </w:p>
    <w:p>
      <w:pPr>
        <w:spacing w:before="0" w:after="140" w:line="274" w:lineRule="auto"/>
        <w:ind w:left="360"/>
        <w:jc w:val="left"/>
      </w:pPr>
      <w:r>
        <w:rPr>
          <w:rFonts w:ascii="Calibri" w:hAnsi="Calibri"/>
          <w:b w:val="0"/>
          <w:i/>
          <w:color w:val="8B2B20"/>
          <w:sz w:val="22"/>
        </w:rPr>
        <w:t>know · understand · appreciate · be familiar with · learn · be aware of · comprehend · grasp · realise</w:t>
      </w:r>
    </w:p>
    <w:p>
      <w:pPr>
        <w:spacing w:before="0" w:after="140" w:line="274" w:lineRule="auto"/>
        <w:jc w:val="left"/>
      </w:pPr>
      <w:r>
        <w:rPr>
          <w:rFonts w:ascii="Calibri" w:hAnsi="Calibri"/>
          <w:b w:val="0"/>
          <w:i w:val="0"/>
          <w:color w:val="1F2A28"/>
          <w:sz w:val="22"/>
        </w:rPr>
        <w:t>The problem is practical, not stylistic. You cannot write a question that measures whether someone understands something. You can only measure what they do: explain it, apply it, analyse with it. So write that instead.</w:t>
      </w:r>
    </w:p>
    <w:p>
      <w:pPr>
        <w:pStyle w:val="Heading3"/>
      </w:pPr>
      <w:r>
        <w:t>Bloom's level</w:t>
      </w:r>
    </w:p>
    <w:p>
      <w:pPr>
        <w:spacing w:before="0" w:after="140" w:line="274" w:lineRule="auto"/>
        <w:jc w:val="left"/>
      </w:pPr>
      <w:r>
        <w:rPr>
          <w:rFonts w:ascii="Calibri" w:hAnsi="Calibri"/>
          <w:b w:val="0"/>
          <w:i w:val="0"/>
          <w:color w:val="1F2A28"/>
          <w:sz w:val="22"/>
        </w:rPr>
        <w:t>Give each outcome a level. The tool uses it to suggest teaching methods, to warn you if a question is set above the level you promised, and to propose better verbs.</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2160"/>
            <w:shd w:val="clear" w:color="auto" w:fill="E9F3EF"/>
          </w:tcPr>
          <w:p>
            <w:pPr>
              <w:spacing w:before="40" w:after="40" w:line="259" w:lineRule="auto"/>
            </w:pPr>
            <w:r>
              <w:rPr>
                <w:rFonts w:ascii="Calibri" w:hAnsi="Calibri"/>
                <w:b/>
                <w:color w:val="083A32"/>
                <w:sz w:val="19"/>
              </w:rPr>
              <w:t>Level</w:t>
            </w:r>
          </w:p>
        </w:tc>
        <w:tc>
          <w:tcPr>
            <w:tcW w:type="dxa" w:w="7344"/>
            <w:shd w:val="clear" w:color="auto" w:fill="E9F3EF"/>
          </w:tcPr>
          <w:p>
            <w:pPr>
              <w:spacing w:before="40" w:after="40" w:line="259" w:lineRule="auto"/>
            </w:pPr>
            <w:r>
              <w:rPr>
                <w:rFonts w:ascii="Calibri" w:hAnsi="Calibri"/>
                <w:b/>
                <w:color w:val="083A32"/>
                <w:sz w:val="19"/>
              </w:rPr>
              <w:t>Verb you might use</w:t>
            </w:r>
          </w:p>
        </w:tc>
      </w:tr>
      <w:tr>
        <w:tc>
          <w:tcPr>
            <w:tcW w:type="dxa" w:w="2160"/>
          </w:tcPr>
          <w:p>
            <w:pPr>
              <w:spacing w:before="40" w:after="40" w:line="259" w:lineRule="auto"/>
            </w:pPr>
            <w:r>
              <w:rPr>
                <w:rFonts w:ascii="Calibri" w:hAnsi="Calibri"/>
                <w:b w:val="0"/>
                <w:color w:val="1F2A28"/>
                <w:sz w:val="19"/>
              </w:rPr>
              <w:t>C1 Remember</w:t>
            </w:r>
          </w:p>
        </w:tc>
        <w:tc>
          <w:tcPr>
            <w:tcW w:type="dxa" w:w="7344"/>
          </w:tcPr>
          <w:p>
            <w:pPr>
              <w:spacing w:before="40" w:after="40" w:line="259" w:lineRule="auto"/>
            </w:pPr>
            <w:r>
              <w:rPr>
                <w:rFonts w:ascii="Calibri" w:hAnsi="Calibri"/>
                <w:b w:val="0"/>
                <w:color w:val="1F2A28"/>
                <w:sz w:val="19"/>
              </w:rPr>
              <w:t>define, list, state</w:t>
            </w:r>
          </w:p>
        </w:tc>
      </w:tr>
      <w:tr>
        <w:tc>
          <w:tcPr>
            <w:tcW w:type="dxa" w:w="2160"/>
          </w:tcPr>
          <w:p>
            <w:pPr>
              <w:spacing w:before="40" w:after="40" w:line="259" w:lineRule="auto"/>
            </w:pPr>
            <w:r>
              <w:rPr>
                <w:rFonts w:ascii="Calibri" w:hAnsi="Calibri"/>
                <w:b w:val="0"/>
                <w:color w:val="1F2A28"/>
                <w:sz w:val="19"/>
              </w:rPr>
              <w:t>C2 Understand</w:t>
            </w:r>
          </w:p>
        </w:tc>
        <w:tc>
          <w:tcPr>
            <w:tcW w:type="dxa" w:w="7344"/>
          </w:tcPr>
          <w:p>
            <w:pPr>
              <w:spacing w:before="40" w:after="40" w:line="259" w:lineRule="auto"/>
            </w:pPr>
            <w:r>
              <w:rPr>
                <w:rFonts w:ascii="Calibri" w:hAnsi="Calibri"/>
                <w:b w:val="0"/>
                <w:color w:val="1F2A28"/>
                <w:sz w:val="19"/>
              </w:rPr>
              <w:t>explain, interpret, summarise</w:t>
            </w:r>
          </w:p>
        </w:tc>
      </w:tr>
      <w:tr>
        <w:tc>
          <w:tcPr>
            <w:tcW w:type="dxa" w:w="2160"/>
          </w:tcPr>
          <w:p>
            <w:pPr>
              <w:spacing w:before="40" w:after="40" w:line="259" w:lineRule="auto"/>
            </w:pPr>
            <w:r>
              <w:rPr>
                <w:rFonts w:ascii="Calibri" w:hAnsi="Calibri"/>
                <w:b w:val="0"/>
                <w:color w:val="1F2A28"/>
                <w:sz w:val="19"/>
              </w:rPr>
              <w:t>C3 Apply</w:t>
            </w:r>
          </w:p>
        </w:tc>
        <w:tc>
          <w:tcPr>
            <w:tcW w:type="dxa" w:w="7344"/>
          </w:tcPr>
          <w:p>
            <w:pPr>
              <w:spacing w:before="40" w:after="40" w:line="259" w:lineRule="auto"/>
            </w:pPr>
            <w:r>
              <w:rPr>
                <w:rFonts w:ascii="Calibri" w:hAnsi="Calibri"/>
                <w:b w:val="0"/>
                <w:color w:val="1F2A28"/>
                <w:sz w:val="19"/>
              </w:rPr>
              <w:t>apply, calculate, solve</w:t>
            </w:r>
          </w:p>
        </w:tc>
      </w:tr>
      <w:tr>
        <w:tc>
          <w:tcPr>
            <w:tcW w:type="dxa" w:w="2160"/>
          </w:tcPr>
          <w:p>
            <w:pPr>
              <w:spacing w:before="40" w:after="40" w:line="259" w:lineRule="auto"/>
            </w:pPr>
            <w:r>
              <w:rPr>
                <w:rFonts w:ascii="Calibri" w:hAnsi="Calibri"/>
                <w:b w:val="0"/>
                <w:color w:val="1F2A28"/>
                <w:sz w:val="19"/>
              </w:rPr>
              <w:t>C4 Analyse</w:t>
            </w:r>
          </w:p>
        </w:tc>
        <w:tc>
          <w:tcPr>
            <w:tcW w:type="dxa" w:w="7344"/>
          </w:tcPr>
          <w:p>
            <w:pPr>
              <w:spacing w:before="40" w:after="40" w:line="259" w:lineRule="auto"/>
            </w:pPr>
            <w:r>
              <w:rPr>
                <w:rFonts w:ascii="Calibri" w:hAnsi="Calibri"/>
                <w:b w:val="0"/>
                <w:color w:val="1F2A28"/>
                <w:sz w:val="19"/>
              </w:rPr>
              <w:t>analyse, differentiate, examine</w:t>
            </w:r>
          </w:p>
        </w:tc>
      </w:tr>
      <w:tr>
        <w:tc>
          <w:tcPr>
            <w:tcW w:type="dxa" w:w="2160"/>
          </w:tcPr>
          <w:p>
            <w:pPr>
              <w:spacing w:before="40" w:after="40" w:line="259" w:lineRule="auto"/>
            </w:pPr>
            <w:r>
              <w:rPr>
                <w:rFonts w:ascii="Calibri" w:hAnsi="Calibri"/>
                <w:b w:val="0"/>
                <w:color w:val="1F2A28"/>
                <w:sz w:val="19"/>
              </w:rPr>
              <w:t>C5 Evaluate</w:t>
            </w:r>
          </w:p>
        </w:tc>
        <w:tc>
          <w:tcPr>
            <w:tcW w:type="dxa" w:w="7344"/>
          </w:tcPr>
          <w:p>
            <w:pPr>
              <w:spacing w:before="40" w:after="40" w:line="259" w:lineRule="auto"/>
            </w:pPr>
            <w:r>
              <w:rPr>
                <w:rFonts w:ascii="Calibri" w:hAnsi="Calibri"/>
                <w:b w:val="0"/>
                <w:color w:val="1F2A28"/>
                <w:sz w:val="19"/>
              </w:rPr>
              <w:t>evaluate, justify, appraise</w:t>
            </w:r>
          </w:p>
        </w:tc>
      </w:tr>
      <w:tr>
        <w:tc>
          <w:tcPr>
            <w:tcW w:type="dxa" w:w="2160"/>
          </w:tcPr>
          <w:p>
            <w:pPr>
              <w:spacing w:before="40" w:after="40" w:line="259" w:lineRule="auto"/>
            </w:pPr>
            <w:r>
              <w:rPr>
                <w:rFonts w:ascii="Calibri" w:hAnsi="Calibri"/>
                <w:b w:val="0"/>
                <w:color w:val="1F2A28"/>
                <w:sz w:val="19"/>
              </w:rPr>
              <w:t>C6 Design</w:t>
            </w:r>
          </w:p>
        </w:tc>
        <w:tc>
          <w:tcPr>
            <w:tcW w:type="dxa" w:w="7344"/>
          </w:tcPr>
          <w:p>
            <w:pPr>
              <w:spacing w:before="40" w:after="40" w:line="259" w:lineRule="auto"/>
            </w:pPr>
            <w:r>
              <w:rPr>
                <w:rFonts w:ascii="Calibri" w:hAnsi="Calibri"/>
                <w:b w:val="0"/>
                <w:color w:val="1F2A28"/>
                <w:sz w:val="19"/>
              </w:rPr>
              <w:t>design, formulate, develop</w:t>
            </w:r>
          </w:p>
        </w:tc>
      </w:tr>
    </w:tbl>
    <w:p>
      <w:pPr>
        <w:spacing w:before="0" w:after="80" w:line="274" w:lineRule="auto"/>
        <w:jc w:val="left"/>
      </w:pPr>
    </w:p>
    <w:p>
      <w:pPr>
        <w:spacing w:before="0" w:after="140" w:line="274" w:lineRule="auto"/>
        <w:jc w:val="left"/>
      </w:pPr>
      <w:r>
        <w:rPr>
          <w:rFonts w:ascii="Calibri" w:hAnsi="Calibri"/>
          <w:b w:val="0"/>
          <w:i w:val="0"/>
          <w:color w:val="1F2A28"/>
          <w:sz w:val="22"/>
        </w:rPr>
        <w:t>Laboratory and sessional courses also use the psychomotor domain (handling apparatus, taking readings) and the affective domain (safety habits, working in a team). Both are available.</w:t>
      </w:r>
    </w:p>
    <w:p>
      <w:pPr>
        <w:pStyle w:val="Heading3"/>
      </w:pPr>
      <w:r>
        <w:t>If an approved outcome has a weak verb</w:t>
      </w:r>
    </w:p>
    <w:p>
      <w:pPr>
        <w:spacing w:before="0" w:after="140" w:line="274" w:lineRule="auto"/>
        <w:jc w:val="left"/>
      </w:pPr>
      <w:r>
        <w:rPr>
          <w:rFonts w:ascii="Calibri" w:hAnsi="Calibri"/>
          <w:b w:val="0"/>
          <w:i w:val="0"/>
          <w:color w:val="1F2A28"/>
          <w:sz w:val="22"/>
        </w:rPr>
        <w:t>Leave it. An outcome that a committee approved stays as approved. The tool never edits it for you.</w:t>
      </w:r>
    </w:p>
    <w:p>
      <w:pPr>
        <w:spacing w:before="0" w:after="140" w:line="274" w:lineRule="auto"/>
        <w:jc w:val="left"/>
      </w:pPr>
      <w:r>
        <w:rPr>
          <w:rFonts w:ascii="Calibri" w:hAnsi="Calibri"/>
          <w:b w:val="0"/>
          <w:i w:val="0"/>
          <w:color w:val="1F2A28"/>
          <w:sz w:val="22"/>
        </w:rPr>
        <w:t>Instead, open CQI → Outcome Quality &amp; Coverage Gaps. It offers a rewritten statement with a verb matched to the level you declared. One click puts it on the CO Modification Request Form, with the reason and the semester it would take effect. That goes to the committee.</w:t>
      </w:r>
    </w:p>
    <w:p>
      <w:pPr>
        <w:pStyle w:val="Heading2"/>
      </w:pPr>
      <w:r>
        <w:t>11. Mapping COs to Programme Outcomes</w:t>
      </w:r>
    </w:p>
    <w:p>
      <w:pPr>
        <w:spacing w:before="0" w:after="140" w:line="274" w:lineRule="auto"/>
        <w:jc w:val="left"/>
      </w:pPr>
      <w:r>
        <w:rPr>
          <w:rFonts w:ascii="Calibri" w:hAnsi="Calibri"/>
          <w:b w:val="0"/>
          <w:i w:val="0"/>
          <w:color w:val="1F2A28"/>
          <w:sz w:val="22"/>
        </w:rPr>
        <w:t>Tick the matrix: which Programme Outcome does each of your outcomes serve? Read the PO statement before you tick. Hovering over a PO shows its full text.</w:t>
      </w:r>
    </w:p>
    <w:p>
      <w:pPr>
        <w:spacing w:before="0" w:after="140" w:line="274" w:lineRule="auto"/>
        <w:jc w:val="left"/>
      </w:pPr>
      <w:r>
        <w:rPr>
          <w:rFonts w:ascii="Calibri" w:hAnsi="Calibri"/>
          <w:b w:val="0"/>
          <w:i w:val="0"/>
          <w:color w:val="1F2A28"/>
          <w:sz w:val="22"/>
        </w:rPr>
        <w:t>Under Version 3 you can also tick Performance Indicators — the more specific statements underneath each PO. Which list you tick against is your choice: the card offers BAETE’s 46 suggested indicators, a 35-indicator mechanical-engineering set (ME_Type1), or any set your own programme has written. BAETE publishes its list as suggested, not prescribed, and expects a programme to adapt it. To supply your own, download the CSV template, fill it in a spreadsheet and import it — it then becomes available to every course. Your course keeps its own copy of whichever set it started from, so a later revision to the department set never rewrites an outline you have already had approved. Changing set clears the indicator ticks, because they are recorded by position. Indicators are labelled by PO number and letter — 1a, 2c, 3b. Every PO you map a CO to should carry at least one of its indicators: the one the outcome contributes to most. The indicator does not have to sit at your CO's Bloom level — an indicator says what the programme expects of a graduate, and one course contributes a part of it. If no indicator of a PO is served at all, the PO mapping itself is the thing to reconsider. On the Course Outline they print inside the PO column of §13, as “PO3 (3a, 3c)”; the Course Specifications carry the full table. The set name prints on both.</w:t>
      </w:r>
    </w:p>
    <w:p>
      <w:pPr>
        <w:pBdr>
          <w:left w:val="single" w:sz="14" w:space="8" w:color="A87210"/>
        </w:pBdr>
        <w:spacing w:before="100" w:after="180" w:line="271" w:lineRule="auto"/>
        <w:ind w:left="230"/>
      </w:pPr>
      <w:r>
        <w:rPr>
          <w:rFonts w:ascii="Calibri" w:hAnsi="Calibri"/>
          <w:b/>
          <w:color w:val="A87210"/>
          <w:sz w:val="21"/>
        </w:rPr>
        <w:t xml:space="preserve">Claim less than you could.  </w:t>
      </w:r>
      <w:r>
        <w:rPr>
          <w:rFonts w:ascii="Calibri" w:hAnsi="Calibri"/>
          <w:color w:val="1F2A28"/>
          <w:sz w:val="21"/>
        </w:rPr>
        <w:t>It is tempting to tick many POs for one outcome. Resist. Every tick is a claim that this course contributes meaningfully to that Programme Outcome, and an evaluator may ask which assessment shows it. One or two well-supported POs per outcome is stronger evidence than five thin ones.</w:t>
      </w:r>
    </w:p>
    <w:p>
      <w:pPr>
        <w:pStyle w:val="Heading2"/>
      </w:pPr>
      <w:r>
        <w:t>12. §14: Knowledge Profile, complex problems, complex activities</w:t>
      </w:r>
    </w:p>
    <w:p>
      <w:pPr>
        <w:spacing w:before="0" w:after="140" w:line="274" w:lineRule="auto"/>
        <w:jc w:val="left"/>
      </w:pPr>
      <w:r>
        <w:rPr>
          <w:rFonts w:ascii="Calibri" w:hAnsi="Calibri"/>
          <w:b w:val="0"/>
          <w:i w:val="0"/>
          <w:color w:val="1F2A28"/>
          <w:sz w:val="22"/>
        </w:rPr>
        <w:t>Engineering accreditation asks more than “which PO does this serve”. It asks what kind of knowledge the outcome rests on, and whether the work is genuinely complex. You answer in a tick matrix in the COs Section.</w:t>
      </w:r>
    </w:p>
    <w:tbl>
      <w:tblPr>
        <w:tblStyle w:val="TableGrid"/>
        <w:tblW w:type="auto" w:w="0"/>
        <w:jc w:val="center"/>
        <w:tblLook w:firstColumn="1" w:firstRow="1" w:lastColumn="0" w:lastRow="0" w:noHBand="0" w:noVBand="1" w:val="04A0"/>
      </w:tblPr>
      <w:tblGrid>
        <w:gridCol w:w="3168"/>
        <w:gridCol w:w="3168"/>
        <w:gridCol w:w="3168"/>
      </w:tblGrid>
      <w:tr>
        <w:trPr>
          <w:tblHeader w:val="true"/>
        </w:trPr>
        <w:tc>
          <w:tcPr>
            <w:tcW w:type="dxa" w:w="1944"/>
            <w:shd w:val="clear" w:color="auto" w:fill="E9F3EF"/>
          </w:tcPr>
          <w:p>
            <w:pPr>
              <w:spacing w:before="40" w:after="40" w:line="259" w:lineRule="auto"/>
            </w:pPr>
            <w:r>
              <w:rPr>
                <w:rFonts w:ascii="Calibri" w:hAnsi="Calibri"/>
                <w:b/>
                <w:color w:val="083A32"/>
                <w:sz w:val="19"/>
              </w:rPr>
              <w:t>Group</w:t>
            </w:r>
          </w:p>
        </w:tc>
        <w:tc>
          <w:tcPr>
            <w:tcW w:type="dxa" w:w="1512"/>
            <w:shd w:val="clear" w:color="auto" w:fill="E9F3EF"/>
          </w:tcPr>
          <w:p>
            <w:pPr>
              <w:spacing w:before="40" w:after="40" w:line="259" w:lineRule="auto"/>
            </w:pPr>
            <w:r>
              <w:rPr>
                <w:rFonts w:ascii="Calibri" w:hAnsi="Calibri"/>
                <w:b/>
                <w:color w:val="083A32"/>
                <w:sz w:val="19"/>
              </w:rPr>
              <w:t>Range</w:t>
            </w:r>
          </w:p>
        </w:tc>
        <w:tc>
          <w:tcPr>
            <w:tcW w:type="dxa" w:w="6048"/>
            <w:shd w:val="clear" w:color="auto" w:fill="E9F3EF"/>
          </w:tcPr>
          <w:p>
            <w:pPr>
              <w:spacing w:before="40" w:after="40" w:line="259" w:lineRule="auto"/>
            </w:pPr>
            <w:r>
              <w:rPr>
                <w:rFonts w:ascii="Calibri" w:hAnsi="Calibri"/>
                <w:b/>
                <w:color w:val="083A32"/>
                <w:sz w:val="19"/>
              </w:rPr>
              <w:t>What it records</w:t>
            </w:r>
          </w:p>
        </w:tc>
      </w:tr>
      <w:tr>
        <w:tc>
          <w:tcPr>
            <w:tcW w:type="dxa" w:w="1944"/>
          </w:tcPr>
          <w:p>
            <w:pPr>
              <w:spacing w:before="40" w:after="40" w:line="259" w:lineRule="auto"/>
            </w:pPr>
            <w:r>
              <w:rPr>
                <w:rFonts w:ascii="Calibri" w:hAnsi="Calibri"/>
                <w:b w:val="0"/>
                <w:color w:val="1F2A28"/>
                <w:sz w:val="19"/>
              </w:rPr>
              <w:t>Knowledge Profile</w:t>
            </w:r>
          </w:p>
        </w:tc>
        <w:tc>
          <w:tcPr>
            <w:tcW w:type="dxa" w:w="1512"/>
          </w:tcPr>
          <w:p>
            <w:pPr>
              <w:spacing w:before="40" w:after="40" w:line="259" w:lineRule="auto"/>
            </w:pPr>
            <w:r>
              <w:rPr>
                <w:rFonts w:ascii="Calibri" w:hAnsi="Calibri"/>
                <w:b w:val="0"/>
                <w:color w:val="1F2A28"/>
                <w:sz w:val="19"/>
              </w:rPr>
              <w:t>WK1 – WK9</w:t>
            </w:r>
          </w:p>
        </w:tc>
        <w:tc>
          <w:tcPr>
            <w:tcW w:type="dxa" w:w="6048"/>
          </w:tcPr>
          <w:p>
            <w:pPr>
              <w:spacing w:before="40" w:after="40" w:line="259" w:lineRule="auto"/>
            </w:pPr>
            <w:r>
              <w:rPr>
                <w:rFonts w:ascii="Calibri" w:hAnsi="Calibri"/>
                <w:b w:val="0"/>
                <w:color w:val="1F2A28"/>
                <w:sz w:val="19"/>
              </w:rPr>
              <w:t>The kind of knowledge the outcome draws on — natural science, mathematics, engineering fundamentals, specialist knowledge, design knowledge including sustainability, engineering practice, the role of engineering in society, research literature, and ethics and inclusion.</w:t>
            </w:r>
          </w:p>
        </w:tc>
      </w:tr>
      <w:tr>
        <w:tc>
          <w:tcPr>
            <w:tcW w:type="dxa" w:w="1944"/>
          </w:tcPr>
          <w:p>
            <w:pPr>
              <w:spacing w:before="40" w:after="40" w:line="259" w:lineRule="auto"/>
            </w:pPr>
            <w:r>
              <w:rPr>
                <w:rFonts w:ascii="Calibri" w:hAnsi="Calibri"/>
                <w:b w:val="0"/>
                <w:color w:val="1F2A28"/>
                <w:sz w:val="19"/>
              </w:rPr>
              <w:t>Complex problems</w:t>
            </w:r>
          </w:p>
        </w:tc>
        <w:tc>
          <w:tcPr>
            <w:tcW w:type="dxa" w:w="1512"/>
          </w:tcPr>
          <w:p>
            <w:pPr>
              <w:spacing w:before="40" w:after="40" w:line="259" w:lineRule="auto"/>
            </w:pPr>
            <w:r>
              <w:rPr>
                <w:rFonts w:ascii="Calibri" w:hAnsi="Calibri"/>
                <w:b w:val="0"/>
                <w:color w:val="1F2A28"/>
                <w:sz w:val="19"/>
              </w:rPr>
              <w:t>WP1 – WP7</w:t>
            </w:r>
          </w:p>
        </w:tc>
        <w:tc>
          <w:tcPr>
            <w:tcW w:type="dxa" w:w="6048"/>
          </w:tcPr>
          <w:p>
            <w:pPr>
              <w:spacing w:before="40" w:after="40" w:line="259" w:lineRule="auto"/>
            </w:pPr>
            <w:r>
              <w:rPr>
                <w:rFonts w:ascii="Calibri" w:hAnsi="Calibri"/>
                <w:b w:val="0"/>
                <w:color w:val="1F2A28"/>
                <w:sz w:val="19"/>
              </w:rPr>
              <w:t>What makes the problem hard: depth of knowledge required, conflicting requirements, depth of analysis, familiarity, the range of stakeholders, interdependence, and judgement. BAETE Table 6.2 defines a complex problem as WP1 and some or all of WP2–WP7, so WP1 on its own is not one. The PO statements decide where these attributes belong: PO1–PO6 are written in terms of complex engineering problems, PO9 in terms of complex engineering activities, and the remaining POs mention neither. The prompt proposes what each outcome will CLAIM, not what your assessments already prove — you design the semester to match the claim, and OCM audits the evidence later, question by question. So a CO mapped to PO1–PO6 is normally given WP1 and at least one more. There is one hard limit: nothing is solved below Apply, so an outcome at C1 or C2 carries no complex-problem attribute at all (complex ACTIVITIES are different — a report can be comprehended, so EA is not affected). What happens to such an outcome is your department's choice, set in Setup: leave it as written and let the committee see it, or require Apply (C3) and let the conversion raise it — in which case the new level is printed on the CO Modification Request Form for the committee to sign, and your questions that semester must reach it. A course that maps those POs and claims a complex problem nowhere is making a claim it cannot support.</w:t>
            </w:r>
          </w:p>
        </w:tc>
      </w:tr>
      <w:tr>
        <w:tc>
          <w:tcPr>
            <w:tcW w:type="dxa" w:w="1944"/>
          </w:tcPr>
          <w:p>
            <w:pPr>
              <w:spacing w:before="40" w:after="40" w:line="259" w:lineRule="auto"/>
            </w:pPr>
            <w:r>
              <w:rPr>
                <w:rFonts w:ascii="Calibri" w:hAnsi="Calibri"/>
                <w:b w:val="0"/>
                <w:color w:val="1F2A28"/>
                <w:sz w:val="19"/>
              </w:rPr>
              <w:t>Complex activities</w:t>
            </w:r>
          </w:p>
        </w:tc>
        <w:tc>
          <w:tcPr>
            <w:tcW w:type="dxa" w:w="1512"/>
          </w:tcPr>
          <w:p>
            <w:pPr>
              <w:spacing w:before="40" w:after="40" w:line="259" w:lineRule="auto"/>
            </w:pPr>
            <w:r>
              <w:rPr>
                <w:rFonts w:ascii="Calibri" w:hAnsi="Calibri"/>
                <w:b w:val="0"/>
                <w:color w:val="1F2A28"/>
                <w:sz w:val="19"/>
              </w:rPr>
              <w:t>EA1 – EA5</w:t>
            </w:r>
          </w:p>
        </w:tc>
        <w:tc>
          <w:tcPr>
            <w:tcW w:type="dxa" w:w="6048"/>
          </w:tcPr>
          <w:p>
            <w:pPr>
              <w:spacing w:before="40" w:after="40" w:line="259" w:lineRule="auto"/>
            </w:pPr>
            <w:r>
              <w:rPr>
                <w:rFonts w:ascii="Calibri" w:hAnsi="Calibri"/>
                <w:b w:val="0"/>
                <w:color w:val="1F2A28"/>
                <w:sz w:val="19"/>
              </w:rPr>
              <w:t>What makes the activity hard: resources, level of interaction, innovation, consequences, and familiarity.</w:t>
            </w:r>
          </w:p>
        </w:tc>
      </w:tr>
    </w:tbl>
    <w:p>
      <w:pPr>
        <w:spacing w:before="0" w:after="80" w:line="274" w:lineRule="auto"/>
        <w:jc w:val="left"/>
      </w:pPr>
    </w:p>
    <w:p>
      <w:pPr>
        <w:spacing w:before="0" w:after="140" w:line="274" w:lineRule="auto"/>
        <w:jc w:val="left"/>
      </w:pPr>
      <w:r>
        <w:rPr>
          <w:rFonts w:ascii="Calibri" w:hAnsi="Calibri"/>
          <w:b w:val="0"/>
          <w:i w:val="0"/>
          <w:color w:val="1F2A28"/>
          <w:sz w:val="22"/>
        </w:rPr>
        <w:t>Hover any attribute and its official wording appears. You do not need the manual open.</w:t>
      </w:r>
    </w:p>
    <w:p>
      <w:pPr>
        <w:spacing w:before="0" w:after="140" w:line="274" w:lineRule="auto"/>
        <w:jc w:val="left"/>
      </w:pPr>
      <w:r>
        <w:rPr>
          <w:rFonts w:ascii="Calibri" w:hAnsi="Calibri"/>
          <w:b w:val="0"/>
          <w:i w:val="0"/>
          <w:color w:val="1F2A28"/>
          <w:sz w:val="22"/>
        </w:rPr>
        <w:t>On a Version 2.2 course the same matrix shows K1–K8, P1–P7 and A1–A5 with the Version 2.2 wording. Both print in Course Outline §14.</w:t>
      </w:r>
    </w:p>
    <w:p>
      <w:pPr>
        <w:pBdr>
          <w:left w:val="single" w:sz="14" w:space="8" w:color="0F6B5C"/>
        </w:pBdr>
        <w:spacing w:before="100" w:after="180" w:line="271" w:lineRule="auto"/>
        <w:ind w:left="230"/>
      </w:pPr>
      <w:r>
        <w:rPr>
          <w:rFonts w:ascii="Calibri" w:hAnsi="Calibri"/>
          <w:b/>
          <w:color w:val="0F6B5C"/>
          <w:sz w:val="21"/>
        </w:rPr>
        <w:t xml:space="preserve">A note on complex activities.  </w:t>
      </w:r>
      <w:r>
        <w:rPr>
          <w:rFonts w:ascii="Calibri" w:hAnsi="Calibri"/>
          <w:color w:val="1F2A28"/>
          <w:sz w:val="21"/>
        </w:rPr>
        <w:t>EA claims belong with the communication Programme Outcome — PO9 under Version 3, PO10 under Version 2.2. If your course does not map that PO, do not claim EA.</w:t>
      </w:r>
    </w:p>
    <w:p>
      <w:pPr>
        <w:pStyle w:val="Heading2"/>
      </w:pPr>
      <w:r>
        <w:t>13. The Sustainable Development Goals</w:t>
      </w:r>
    </w:p>
    <w:p>
      <w:pPr>
        <w:spacing w:before="0" w:after="140" w:line="274" w:lineRule="auto"/>
        <w:jc w:val="left"/>
      </w:pPr>
      <w:r>
        <w:rPr>
          <w:rFonts w:ascii="Calibri" w:hAnsi="Calibri"/>
          <w:b w:val="0"/>
          <w:i w:val="0"/>
          <w:color w:val="1F2A28"/>
          <w:sz w:val="22"/>
        </w:rPr>
        <w:t>Version 3 asks programmes to show how the United Nations Sustainable Development Goals are considered in teaching, learning and assessment. This is an addition. It does not replace the WK, WP and EA work, and that work does not cover it.</w:t>
      </w:r>
    </w:p>
    <w:p>
      <w:pPr>
        <w:spacing w:before="0" w:after="140" w:line="274" w:lineRule="auto"/>
        <w:jc w:val="left"/>
      </w:pPr>
      <w:r>
        <w:rPr>
          <w:rFonts w:ascii="Calibri" w:hAnsi="Calibri"/>
          <w:b w:val="0"/>
          <w:i w:val="0"/>
          <w:color w:val="1F2A28"/>
          <w:sz w:val="22"/>
        </w:rPr>
        <w:t>These features appear only when the course is set to Version 3.</w:t>
      </w:r>
    </w:p>
    <w:p>
      <w:pPr>
        <w:spacing w:after="60" w:line="269" w:lineRule="auto"/>
        <w:ind w:left="490" w:hanging="490"/>
      </w:pPr>
      <w:r>
        <w:rPr>
          <w:rFonts w:ascii="Calibri" w:hAnsi="Calibri"/>
          <w:b/>
          <w:color w:val="0F6B5C"/>
          <w:sz w:val="22"/>
        </w:rPr>
        <w:t xml:space="preserve">1.   </w:t>
      </w:r>
      <w:r>
        <w:rPr>
          <w:rFonts w:ascii="Calibri" w:hAnsi="Calibri"/>
          <w:b/>
          <w:color w:val="083A32"/>
          <w:sz w:val="22"/>
        </w:rPr>
        <w:t xml:space="preserve">Claim.  </w:t>
      </w:r>
      <w:r>
        <w:rPr>
          <w:rFonts w:ascii="Calibri" w:hAnsi="Calibri"/>
          <w:color w:val="1F2A28"/>
          <w:sz w:val="22"/>
        </w:rPr>
        <w:t>Tick the goals each outcome genuinely serves, in the COs Section.</w:t>
      </w:r>
    </w:p>
    <w:p>
      <w:pPr>
        <w:spacing w:after="60" w:line="269" w:lineRule="auto"/>
        <w:ind w:left="490" w:hanging="490"/>
      </w:pPr>
      <w:r>
        <w:rPr>
          <w:rFonts w:ascii="Calibri" w:hAnsi="Calibri"/>
          <w:b/>
          <w:color w:val="0F6B5C"/>
          <w:sz w:val="22"/>
        </w:rPr>
        <w:t xml:space="preserve">2.   </w:t>
      </w:r>
      <w:r>
        <w:rPr>
          <w:rFonts w:ascii="Calibri" w:hAnsi="Calibri"/>
          <w:b/>
          <w:color w:val="083A32"/>
          <w:sz w:val="22"/>
        </w:rPr>
        <w:t xml:space="preserve">Accept a suggestion, or don't.  </w:t>
      </w:r>
      <w:r>
        <w:rPr>
          <w:rFonts w:ascii="Calibri" w:hAnsi="Calibri"/>
          <w:color w:val="1F2A28"/>
          <w:sz w:val="22"/>
        </w:rPr>
        <w:t>If an outcome maps to PO2, PO3 or PO6, the tool offers the goals most often associated with those POs. They are offered, not ticked. Accept what fits.</w:t>
      </w:r>
    </w:p>
    <w:p>
      <w:pPr>
        <w:spacing w:after="60" w:line="269" w:lineRule="auto"/>
        <w:ind w:left="490" w:hanging="490"/>
      </w:pPr>
      <w:r>
        <w:rPr>
          <w:rFonts w:ascii="Calibri" w:hAnsi="Calibri"/>
          <w:b/>
          <w:color w:val="0F6B5C"/>
          <w:sz w:val="22"/>
        </w:rPr>
        <w:t xml:space="preserve">3.   </w:t>
      </w:r>
      <w:r>
        <w:rPr>
          <w:rFonts w:ascii="Calibri" w:hAnsi="Calibri"/>
          <w:b/>
          <w:color w:val="083A32"/>
          <w:sz w:val="22"/>
        </w:rPr>
        <w:t xml:space="preserve">Show where it is taught and assessed.  </w:t>
      </w:r>
      <w:r>
        <w:rPr>
          <w:rFonts w:ascii="Calibri" w:hAnsi="Calibri"/>
          <w:color w:val="1F2A28"/>
          <w:sz w:val="22"/>
        </w:rPr>
        <w:t>In T&amp;L → SDGs, tick which activities teach each goal. In Assessments → SDG Assessment, tick which items assess it. Each row takes a remark.</w:t>
      </w:r>
    </w:p>
    <w:p>
      <w:pPr>
        <w:spacing w:after="60" w:line="269" w:lineRule="auto"/>
        <w:ind w:left="490" w:hanging="490"/>
      </w:pPr>
      <w:r>
        <w:rPr>
          <w:rFonts w:ascii="Calibri" w:hAnsi="Calibri"/>
          <w:b/>
          <w:color w:val="0F6B5C"/>
          <w:sz w:val="22"/>
        </w:rPr>
        <w:t xml:space="preserve">4.   </w:t>
      </w:r>
      <w:r>
        <w:rPr>
          <w:rFonts w:ascii="Calibri" w:hAnsi="Calibri"/>
          <w:b/>
          <w:color w:val="083A32"/>
          <w:sz w:val="22"/>
        </w:rPr>
        <w:t xml:space="preserve">Report.  </w:t>
      </w:r>
      <w:r>
        <w:rPr>
          <w:rFonts w:ascii="Calibri" w:hAnsi="Calibri"/>
          <w:color w:val="1F2A28"/>
          <w:sz w:val="22"/>
        </w:rPr>
        <w:t>Attainment → SDG gives you an internal view. Documents → SDG Integration Map prints the evidence.</w:t>
      </w:r>
    </w:p>
    <w:p>
      <w:pPr>
        <w:pBdr>
          <w:left w:val="single" w:sz="14" w:space="8" w:color="A87210"/>
        </w:pBdr>
        <w:spacing w:before="100" w:after="180" w:line="271" w:lineRule="auto"/>
        <w:ind w:left="230"/>
      </w:pPr>
      <w:r>
        <w:rPr>
          <w:rFonts w:ascii="Calibri" w:hAnsi="Calibri"/>
          <w:b/>
          <w:color w:val="A87210"/>
          <w:sz w:val="21"/>
        </w:rPr>
        <w:t xml:space="preserve">Claim narrowly here too.  </w:t>
      </w:r>
      <w:r>
        <w:rPr>
          <w:rFonts w:ascii="Calibri" w:hAnsi="Calibri"/>
          <w:color w:val="1F2A28"/>
          <w:sz w:val="21"/>
        </w:rPr>
        <w:t>A course claiming eight goals with nothing behind them is weaker evidence than a course claiming two and showing exactly where they are taught and assessed. The CQI Section will flag a goal you claimed but never assessed.</w:t>
      </w:r>
    </w:p>
    <w:p>
      <w:pPr>
        <w:pStyle w:val="Heading2"/>
      </w:pPr>
      <w:r>
        <w:t>14. Teaching and learning activities</w:t>
      </w:r>
    </w:p>
    <w:p>
      <w:pPr>
        <w:spacing w:before="0" w:after="140" w:line="274" w:lineRule="auto"/>
        <w:jc w:val="left"/>
      </w:pPr>
      <w:r>
        <w:rPr>
          <w:rFonts w:ascii="Calibri" w:hAnsi="Calibri"/>
          <w:b w:val="0"/>
          <w:i w:val="0"/>
          <w:color w:val="1F2A28"/>
          <w:sz w:val="22"/>
        </w:rPr>
        <w:t>Open the T&amp;L Section. For each outcome the tool suggests activities from a pool of 36, ranked against the Bloom level you declared. Appendix A lists them all with the reason each is included.</w:t>
      </w:r>
    </w:p>
    <w:p>
      <w:pPr>
        <w:spacing w:before="0" w:after="140" w:line="274" w:lineRule="auto"/>
        <w:jc w:val="left"/>
      </w:pPr>
      <w:r>
        <w:rPr>
          <w:rFonts w:ascii="Calibri" w:hAnsi="Calibri"/>
          <w:b w:val="0"/>
          <w:i w:val="0"/>
          <w:color w:val="1F2A28"/>
          <w:sz w:val="22"/>
        </w:rPr>
        <w:t>Read the suggestions, then mark the ones you will actually use as adopted. Adopted activities flow into the constructive-alignment table in the Course Specifications, so this is not busywork.</w:t>
      </w:r>
    </w:p>
    <w:p>
      <w:pPr>
        <w:spacing w:before="0" w:after="140" w:line="274" w:lineRule="auto"/>
        <w:jc w:val="left"/>
      </w:pPr>
      <w:r>
        <w:rPr>
          <w:rFonts w:ascii="Calibri" w:hAnsi="Calibri"/>
          <w:b w:val="0"/>
          <w:i w:val="0"/>
          <w:color w:val="1F2A28"/>
          <w:sz w:val="22"/>
        </w:rPr>
        <w:t>The ranking also reads last semester's CQI record. An activity you recorded as effective is promoted; one you recorded as ineffective is pushed down.</w:t>
      </w:r>
    </w:p>
    <w:p>
      <w:pPr>
        <w:pStyle w:val="Heading2"/>
      </w:pPr>
      <w:r>
        <w:t>15. Learning resources and the topic plan</w:t>
      </w:r>
    </w:p>
    <w:p>
      <w:pPr>
        <w:spacing w:before="0" w:after="140" w:line="274" w:lineRule="auto"/>
        <w:jc w:val="left"/>
      </w:pPr>
      <w:r>
        <w:rPr>
          <w:rFonts w:ascii="Calibri" w:hAnsi="Calibri"/>
          <w:b w:val="0"/>
          <w:i w:val="0"/>
          <w:color w:val="1F2A28"/>
          <w:sz w:val="22"/>
        </w:rPr>
        <w:t>In T&amp;L → Learning Resources, record the materials you share with students as links, each tagged with the outcome it supports. They print as section 17.3 of the Course Outline.</w:t>
      </w:r>
    </w:p>
    <w:p>
      <w:pPr>
        <w:spacing w:before="0" w:after="140" w:line="274" w:lineRule="auto"/>
        <w:jc w:val="left"/>
      </w:pPr>
      <w:r>
        <w:rPr>
          <w:rFonts w:ascii="Calibri" w:hAnsi="Calibri"/>
          <w:b w:val="0"/>
          <w:i w:val="0"/>
          <w:color w:val="1F2A28"/>
          <w:sz w:val="22"/>
        </w:rPr>
        <w:t>In T&amp;L → Topic-wise Plan, list your topics with the hours you planned for each. During the semester, fill in the hours you actually spent. Where they differ, write one line saying why.</w:t>
      </w:r>
    </w:p>
    <w:p>
      <w:pPr>
        <w:pBdr>
          <w:left w:val="single" w:sz="14" w:space="8" w:color="0F6B5C"/>
        </w:pBdr>
        <w:spacing w:before="100" w:after="180" w:line="271" w:lineRule="auto"/>
        <w:ind w:left="230"/>
      </w:pPr>
      <w:r>
        <w:rPr>
          <w:rFonts w:ascii="Calibri" w:hAnsi="Calibri"/>
          <w:b/>
          <w:color w:val="0F6B5C"/>
          <w:sz w:val="21"/>
        </w:rPr>
        <w:t xml:space="preserve">Do this weekly.  </w:t>
      </w:r>
      <w:r>
        <w:rPr>
          <w:rFonts w:ascii="Calibri" w:hAnsi="Calibri"/>
          <w:color w:val="1F2A28"/>
          <w:sz w:val="21"/>
        </w:rPr>
        <w:t>It takes a minute after each week's teaching. Left until the end of the semester it becomes guesswork, and Course Report 3.1 asks for it.</w:t>
      </w:r>
    </w:p>
    <w:p>
      <w:pPr>
        <w:pStyle w:val="Heading2"/>
      </w:pPr>
      <w:r>
        <w:t>16. The assessment plan</w:t>
      </w:r>
    </w:p>
    <w:p>
      <w:pPr>
        <w:spacing w:before="0" w:after="140" w:line="274" w:lineRule="auto"/>
        <w:jc w:val="left"/>
      </w:pPr>
      <w:r>
        <w:rPr>
          <w:rFonts w:ascii="Calibri" w:hAnsi="Calibri"/>
          <w:b w:val="0"/>
          <w:i w:val="0"/>
          <w:color w:val="1F2A28"/>
          <w:sz w:val="22"/>
        </w:rPr>
        <w:t>Open the Assessments Section. Add each quiz, exam, assignment, laboratory, project, presentation, viva or final report. Break it into items — usually questions — and give each item a CO and a maximum mark.</w:t>
      </w:r>
    </w:p>
    <w:p>
      <w:pPr>
        <w:spacing w:before="0" w:after="140" w:line="274" w:lineRule="auto"/>
        <w:jc w:val="left"/>
      </w:pPr>
      <w:r>
        <w:rPr>
          <w:rFonts w:ascii="Calibri" w:hAnsi="Calibri"/>
          <w:b w:val="0"/>
          <w:i w:val="0"/>
          <w:color w:val="1F2A28"/>
          <w:sz w:val="22"/>
        </w:rPr>
        <w:t>That tagging is what makes everything else work. An item with no CO counts towards the student's total but proves nothing, and the summary table will flag it as unmapped marks.</w:t>
      </w:r>
    </w:p>
    <w:p>
      <w:pPr>
        <w:pStyle w:val="Heading3"/>
      </w:pPr>
      <w:r>
        <w:t>Class Performance</w:t>
      </w:r>
    </w:p>
    <w:p>
      <w:pPr>
        <w:spacing w:before="0" w:after="140" w:line="274" w:lineRule="auto"/>
        <w:jc w:val="left"/>
      </w:pPr>
      <w:r>
        <w:rPr>
          <w:rFonts w:ascii="Calibri" w:hAnsi="Calibri"/>
          <w:b w:val="0"/>
          <w:i w:val="0"/>
          <w:color w:val="1F2A28"/>
          <w:sz w:val="22"/>
        </w:rPr>
        <w:t>Some marks are not questions — attendance, participation, general classwork. Add an assessment of type Class Performance, set the total, and tick the outcomes it touches. The marks split equally between them and you enter one figure per student.</w:t>
      </w:r>
    </w:p>
    <w:p>
      <w:pPr>
        <w:pStyle w:val="Heading3"/>
      </w:pPr>
      <w:r>
        <w:t>Choice questions</w:t>
      </w:r>
    </w:p>
    <w:p>
      <w:pPr>
        <w:spacing w:before="0" w:after="140" w:line="274" w:lineRule="auto"/>
        <w:jc w:val="left"/>
      </w:pPr>
      <w:r>
        <w:rPr>
          <w:rFonts w:ascii="Calibri" w:hAnsi="Calibri"/>
          <w:b w:val="0"/>
          <w:i w:val="0"/>
          <w:color w:val="1F2A28"/>
          <w:sz w:val="22"/>
        </w:rPr>
        <w:t>If students answer any two of three, untick Mandatory and set the choice scheme. The tool then treats a skipped optional question as not attempted rather than as zero. A skipped compulsory question is still zero.</w:t>
      </w:r>
    </w:p>
    <w:p>
      <w:pPr>
        <w:pBdr>
          <w:left w:val="single" w:sz="14" w:space="8" w:color="8B2B20"/>
        </w:pBdr>
        <w:spacing w:before="100" w:after="180" w:line="271" w:lineRule="auto"/>
        <w:ind w:left="230"/>
      </w:pPr>
      <w:r>
        <w:rPr>
          <w:rFonts w:ascii="Calibri" w:hAnsi="Calibri"/>
          <w:b/>
          <w:color w:val="8B2B20"/>
          <w:sz w:val="21"/>
        </w:rPr>
        <w:t xml:space="preserve">Watch for one trap.  </w:t>
      </w:r>
      <w:r>
        <w:rPr>
          <w:rFonts w:ascii="Calibri" w:hAnsi="Calibri"/>
          <w:color w:val="1F2A28"/>
          <w:sz w:val="21"/>
        </w:rPr>
        <w:t>If a CO is measured only by optional questions, some students can avoid it entirely and its attainment figure becomes meaningless. The CA Section flags this. Add one compulsory item for that outcome.</w:t>
      </w:r>
    </w:p>
    <w:p>
      <w:pPr>
        <w:pStyle w:val="Heading2"/>
      </w:pPr>
      <w:r>
        <w:t>17. Tagging questions, audits and rubrics</w:t>
      </w:r>
    </w:p>
    <w:p>
      <w:pPr>
        <w:pStyle w:val="Heading3"/>
      </w:pPr>
      <w:r>
        <w:t>Tagging</w:t>
      </w:r>
    </w:p>
    <w:p>
      <w:pPr>
        <w:spacing w:before="0" w:after="140" w:line="274" w:lineRule="auto"/>
        <w:jc w:val="left"/>
      </w:pPr>
      <w:r>
        <w:rPr>
          <w:rFonts w:ascii="Calibri" w:hAnsi="Calibri"/>
          <w:b w:val="0"/>
          <w:i w:val="0"/>
          <w:color w:val="1F2A28"/>
          <w:sz w:val="22"/>
        </w:rPr>
        <w:t>Under each assessment is a small matrix of its items against WP1–WP7 and EA1–EA5. Tick what each question actually exercises.</w:t>
      </w:r>
    </w:p>
    <w:p>
      <w:pPr>
        <w:spacing w:before="0" w:after="140" w:line="274" w:lineRule="auto"/>
        <w:jc w:val="left"/>
      </w:pPr>
      <w:r>
        <w:rPr>
          <w:rFonts w:ascii="Calibri" w:hAnsi="Calibri"/>
          <w:b w:val="0"/>
          <w:i w:val="0"/>
          <w:color w:val="1F2A28"/>
          <w:sz w:val="22"/>
        </w:rPr>
        <w:t>A question at Bloom C4 or above that carries no tag gets an amber “WP expected” badge. That is a prompt, not an accusation — either tag it or decide it does not qualify.</w:t>
      </w:r>
    </w:p>
    <w:p>
      <w:pPr>
        <w:spacing w:before="0" w:after="140" w:line="274" w:lineRule="auto"/>
        <w:jc w:val="left"/>
      </w:pPr>
      <w:r>
        <w:rPr>
          <w:rFonts w:ascii="Calibri" w:hAnsi="Calibri"/>
          <w:b w:val="0"/>
          <w:i w:val="0"/>
          <w:color w:val="1F2A28"/>
          <w:sz w:val="22"/>
        </w:rPr>
        <w:t>Do this while you are writing the paper. It takes seconds then.</w:t>
      </w:r>
    </w:p>
    <w:p>
      <w:pPr>
        <w:pStyle w:val="Heading3"/>
      </w:pPr>
      <w:r>
        <w:t>The audit</w:t>
      </w:r>
    </w:p>
    <w:p>
      <w:pPr>
        <w:spacing w:before="0" w:after="140" w:line="274" w:lineRule="auto"/>
        <w:jc w:val="left"/>
      </w:pPr>
      <w:r>
        <w:rPr>
          <w:rFonts w:ascii="Calibri" w:hAnsi="Calibri"/>
          <w:b w:val="0"/>
          <w:i w:val="0"/>
          <w:color w:val="1F2A28"/>
          <w:sz w:val="22"/>
        </w:rPr>
        <w:t>For projects, assignments, open-ended laboratories, final reports, presentations and vivas, open Assessments → CEP &amp; CEA. Write a short statement of what makes the task complex, then one or two sentences justifying each attribute you claimed.</w:t>
      </w:r>
    </w:p>
    <w:p>
      <w:pPr>
        <w:spacing w:before="0" w:after="140" w:line="274" w:lineRule="auto"/>
        <w:jc w:val="left"/>
      </w:pPr>
      <w:r>
        <w:rPr>
          <w:rFonts w:ascii="Calibri" w:hAnsi="Calibri"/>
          <w:b w:val="0"/>
          <w:i w:val="0"/>
          <w:color w:val="1F2A28"/>
          <w:sz w:val="22"/>
        </w:rPr>
        <w:t>This is exactly what an evaluator asks for when they doubt a claim, and the only version of it worth having is the one written at the time.</w:t>
      </w:r>
    </w:p>
    <w:p>
      <w:pPr>
        <w:pStyle w:val="Heading3"/>
      </w:pPr>
      <w:r>
        <w:t>The rubric</w:t>
      </w:r>
    </w:p>
    <w:p>
      <w:pPr>
        <w:spacing w:before="0" w:after="140" w:line="274" w:lineRule="auto"/>
        <w:jc w:val="left"/>
      </w:pPr>
      <w:r>
        <w:rPr>
          <w:rFonts w:ascii="Calibri" w:hAnsi="Calibri"/>
          <w:b w:val="0"/>
          <w:i w:val="0"/>
          <w:color w:val="1F2A28"/>
          <w:sz w:val="22"/>
        </w:rPr>
        <w:t>In Assessments → Rubric, generate a rubric from the outcome and its tags. Criteria come with weights that add up to the task's marks. Choose between two and six performance levels. Edit any of it. There is an AI prompt that drafts the level descriptors for you to correct.</w:t>
      </w:r>
    </w:p>
    <w:p>
      <w:pPr>
        <w:spacing w:before="0" w:after="140" w:line="274" w:lineRule="auto"/>
        <w:jc w:val="left"/>
      </w:pPr>
      <w:r>
        <w:rPr>
          <w:rFonts w:ascii="Calibri" w:hAnsi="Calibri"/>
          <w:b w:val="0"/>
          <w:i w:val="0"/>
          <w:color w:val="1F2A28"/>
          <w:sz w:val="22"/>
        </w:rPr>
        <w:t>Press Print / Share with Students to produce a clean sheet for them. Students who can see the rubric before they start produce work that is fairer to mark.</w:t>
      </w:r>
    </w:p>
    <w:p>
      <w:pPr>
        <w:spacing w:before="0" w:after="140" w:line="274" w:lineRule="auto"/>
        <w:jc w:val="left"/>
      </w:pPr>
      <w:r>
        <w:rPr>
          <w:rFonts w:ascii="Calibri" w:hAnsi="Calibri"/>
          <w:b w:val="0"/>
          <w:i w:val="0"/>
          <w:color w:val="1F2A28"/>
          <w:sz w:val="22"/>
        </w:rPr>
        <w:t>Ticking “Rubric prepared” clears the amber badge that would otherwise follow you into the evidence checklist.</w:t>
      </w:r>
    </w:p>
    <w:p>
      <w:pPr>
        <w:pStyle w:val="Heading2"/>
      </w:pPr>
      <w:r>
        <w:t>18. Constructive Alignment: the CA Section</w:t>
      </w:r>
    </w:p>
    <w:p>
      <w:pPr>
        <w:spacing w:before="0" w:after="140" w:line="274" w:lineRule="auto"/>
        <w:jc w:val="left"/>
      </w:pPr>
      <w:r>
        <w:rPr>
          <w:rFonts w:ascii="Calibri" w:hAnsi="Calibri"/>
          <w:b w:val="0"/>
          <w:i w:val="0"/>
          <w:color w:val="1F2A28"/>
          <w:sz w:val="22"/>
        </w:rPr>
        <w:t>Constructive alignment is one idea: what you say students will do, what you have them practise, and what you assess should all be the same thing.</w:t>
      </w:r>
    </w:p>
    <w:p>
      <w:pPr>
        <w:spacing w:before="0" w:after="140" w:line="274" w:lineRule="auto"/>
        <w:jc w:val="left"/>
      </w:pPr>
      <w:r>
        <w:rPr>
          <w:rFonts w:ascii="Calibri" w:hAnsi="Calibri"/>
          <w:b w:val="0"/>
          <w:i w:val="0"/>
          <w:color w:val="1F2A28"/>
          <w:sz w:val="22"/>
        </w:rPr>
        <w:t>The CA Section draws that as a triangle for the course and for each outcome. Each edge turns green, amber or red from your own data. Where it is red, one-click suggestions close the gap.</w:t>
      </w:r>
    </w:p>
    <w:p>
      <w:pPr>
        <w:spacing w:before="0" w:after="140" w:line="274" w:lineRule="auto"/>
        <w:jc w:val="left"/>
      </w:pPr>
      <w:r>
        <w:rPr>
          <w:rFonts w:ascii="Calibri" w:hAnsi="Calibri"/>
          <w:b w:val="0"/>
          <w:i w:val="0"/>
          <w:color w:val="1F2A28"/>
          <w:sz w:val="22"/>
        </w:rPr>
        <w:t>It also runs the claim-against-evidence check. If §14 claims an attribute for an outcome but no question carries it, you are told so in plain words.</w:t>
      </w:r>
    </w:p>
    <w:p>
      <w:pPr>
        <w:pStyle w:val="Heading2"/>
      </w:pPr>
      <w:r>
        <w:t>19. Students and marks</w:t>
      </w:r>
    </w:p>
    <w:p>
      <w:pPr>
        <w:spacing w:before="0" w:after="140" w:line="274" w:lineRule="auto"/>
        <w:jc w:val="left"/>
      </w:pPr>
      <w:r>
        <w:rPr>
          <w:rFonts w:ascii="Calibri" w:hAnsi="Calibri"/>
          <w:b w:val="0"/>
          <w:i w:val="0"/>
          <w:color w:val="1F2A28"/>
          <w:sz w:val="22"/>
        </w:rPr>
        <w:t>Add students one at a time, or paste a list from a spreadsheet — one student per line, with the ID first.</w:t>
      </w:r>
    </w:p>
    <w:p>
      <w:pPr>
        <w:spacing w:before="0" w:after="140" w:line="274" w:lineRule="auto"/>
        <w:jc w:val="left"/>
      </w:pPr>
      <w:r>
        <w:rPr>
          <w:rFonts w:ascii="Calibri" w:hAnsi="Calibri"/>
          <w:b w:val="0"/>
          <w:i w:val="0"/>
          <w:color w:val="1F2A28"/>
          <w:sz w:val="22"/>
        </w:rPr>
        <w:t>Enter marks in the grid. It behaves like a spreadsheet, with frozen headers. Decimals and fractions such as 1 2/3 are accepted.</w:t>
      </w:r>
    </w:p>
    <w:p>
      <w:pPr>
        <w:spacing w:before="0" w:after="140" w:line="274" w:lineRule="auto"/>
        <w:jc w:val="left"/>
      </w:pPr>
      <w:r>
        <w:rPr>
          <w:rFonts w:ascii="Calibri" w:hAnsi="Calibri"/>
          <w:b w:val="0"/>
          <w:i w:val="0"/>
          <w:color w:val="1F2A28"/>
          <w:sz w:val="22"/>
        </w:rPr>
        <w:t>For a large class, use the CSV route instead: download the empty template, fill it in Excel, and import it. Export works the same way.</w:t>
      </w:r>
    </w:p>
    <w:p>
      <w:pPr>
        <w:pBdr>
          <w:left w:val="single" w:sz="14" w:space="8" w:color="8B2B20"/>
        </w:pBdr>
        <w:spacing w:before="100" w:after="180" w:line="271" w:lineRule="auto"/>
        <w:ind w:left="230"/>
      </w:pPr>
      <w:r>
        <w:rPr>
          <w:rFonts w:ascii="Calibri" w:hAnsi="Calibri"/>
          <w:b/>
          <w:color w:val="8B2B20"/>
          <w:sz w:val="21"/>
        </w:rPr>
        <w:t xml:space="preserve">Blank is not zero.  </w:t>
      </w:r>
      <w:r>
        <w:rPr>
          <w:rFonts w:ascii="Calibri" w:hAnsi="Calibri"/>
          <w:color w:val="1F2A28"/>
          <w:sz w:val="21"/>
        </w:rPr>
        <w:t>Leave a cell blank when a student legitimately did not attempt an optional question. Type 0 when they attempted a compulsory one and earned nothing. The two are counted differently, and getting it wrong distorts attainment.</w:t>
      </w:r>
    </w:p>
    <w:p>
      <w:pPr>
        <w:pStyle w:val="Heading2"/>
      </w:pPr>
      <w:r>
        <w:t>20. Attainment: direct, indirect, combined</w:t>
      </w:r>
    </w:p>
    <w:p>
      <w:pPr>
        <w:pStyle w:val="Heading3"/>
      </w:pPr>
      <w:r>
        <w:t>Direct</w:t>
      </w:r>
    </w:p>
    <w:p>
      <w:pPr>
        <w:spacing w:before="0" w:after="140" w:line="274" w:lineRule="auto"/>
        <w:jc w:val="left"/>
      </w:pPr>
      <w:r>
        <w:rPr>
          <w:rFonts w:ascii="Calibri" w:hAnsi="Calibri"/>
          <w:b w:val="0"/>
          <w:i w:val="0"/>
          <w:color w:val="1F2A28"/>
          <w:sz w:val="22"/>
        </w:rPr>
        <w:t>Worked out from marks, as soon as you enter them. For each outcome the tool reports the percentage of students who cleared the Target Pass Marks, and the percentage who cleared the KPI. Programme Outcome figures follow, weighted by the marks behind each outcome.</w:t>
      </w:r>
    </w:p>
    <w:p>
      <w:pPr>
        <w:pStyle w:val="Heading3"/>
      </w:pPr>
      <w:r>
        <w:t>Indirect</w:t>
      </w:r>
    </w:p>
    <w:p>
      <w:pPr>
        <w:spacing w:before="0" w:after="140" w:line="274" w:lineRule="auto"/>
        <w:jc w:val="left"/>
      </w:pPr>
      <w:r>
        <w:rPr>
          <w:rFonts w:ascii="Calibri" w:hAnsi="Calibri"/>
          <w:b w:val="0"/>
          <w:i w:val="0"/>
          <w:color w:val="1F2A28"/>
          <w:sz w:val="22"/>
        </w:rPr>
        <w:t>The Course Evaluation Survey asks students how far they think each outcome was achieved, on a five-point scale. You can edit the wording and add your own open questions.</w:t>
      </w:r>
    </w:p>
    <w:p>
      <w:pPr>
        <w:spacing w:before="0" w:after="140" w:line="274" w:lineRule="auto"/>
        <w:jc w:val="left"/>
      </w:pPr>
      <w:r>
        <w:rPr>
          <w:rFonts w:ascii="Calibri" w:hAnsi="Calibri"/>
          <w:b w:val="0"/>
          <w:i w:val="0"/>
          <w:color w:val="1F2A28"/>
          <w:sz w:val="22"/>
        </w:rPr>
        <w:t>Run it on paper, or press the button to generate a Google Form. The tool gives you a small script; running it in your own Google account builds the whole form. Responses import straight back.</w:t>
      </w:r>
    </w:p>
    <w:p>
      <w:pPr>
        <w:pStyle w:val="Heading3"/>
      </w:pPr>
      <w:r>
        <w:t>Combined</w:t>
      </w:r>
    </w:p>
    <w:p>
      <w:pPr>
        <w:spacing w:before="0" w:after="140" w:line="274" w:lineRule="auto"/>
        <w:jc w:val="left"/>
      </w:pPr>
      <w:r>
        <w:rPr>
          <w:rFonts w:ascii="Calibri" w:hAnsi="Calibri"/>
          <w:b w:val="0"/>
          <w:i w:val="0"/>
          <w:color w:val="1F2A28"/>
          <w:sz w:val="22"/>
        </w:rPr>
        <w:t>Direct and indirect are combined using the weights in Course Info, normally 80 and 20.</w:t>
      </w:r>
    </w:p>
    <w:p>
      <w:pPr>
        <w:pBdr>
          <w:left w:val="single" w:sz="14" w:space="8" w:color="0F6B5C"/>
        </w:pBdr>
        <w:spacing w:before="100" w:after="180" w:line="271" w:lineRule="auto"/>
        <w:ind w:left="230"/>
      </w:pPr>
      <w:r>
        <w:rPr>
          <w:rFonts w:ascii="Calibri" w:hAnsi="Calibri"/>
          <w:b/>
          <w:color w:val="0F6B5C"/>
          <w:sz w:val="21"/>
        </w:rPr>
        <w:t xml:space="preserve">Which number is the real one?  </w:t>
      </w:r>
      <w:r>
        <w:rPr>
          <w:rFonts w:ascii="Calibri" w:hAnsi="Calibri"/>
          <w:color w:val="1F2A28"/>
          <w:sz w:val="21"/>
        </w:rPr>
        <w:t>The direct figure. It comes from what students actually did. The survey tells you how students experienced the course, which is worth knowing and is not the same thing.</w:t>
      </w:r>
    </w:p>
    <w:p>
      <w:pPr>
        <w:pStyle w:val="Heading2"/>
      </w:pPr>
      <w:r>
        <w:t>21. Comparing offerings</w:t>
      </w:r>
    </w:p>
    <w:p>
      <w:pPr>
        <w:spacing w:before="0" w:after="140" w:line="274" w:lineRule="auto"/>
        <w:jc w:val="left"/>
      </w:pPr>
      <w:r>
        <w:rPr>
          <w:rFonts w:ascii="Calibri" w:hAnsi="Calibri"/>
          <w:b w:val="0"/>
          <w:i w:val="0"/>
          <w:color w:val="1F2A28"/>
          <w:sz w:val="22"/>
        </w:rPr>
        <w:t>Attainment → Cohort Comparison lines up every course that shares your course code, in semester order. You see each outcome across offerings, with the trend between them and a chart.</w:t>
      </w:r>
    </w:p>
    <w:p>
      <w:pPr>
        <w:spacing w:before="0" w:after="140" w:line="274" w:lineRule="auto"/>
        <w:jc w:val="left"/>
      </w:pPr>
      <w:r>
        <w:rPr>
          <w:rFonts w:ascii="Calibri" w:hAnsi="Calibri"/>
          <w:b w:val="0"/>
          <w:i w:val="0"/>
          <w:color w:val="1F2A28"/>
          <w:sz w:val="22"/>
        </w:rPr>
        <w:t>This is what turns “we made a change” into “the change worked”, which is what the improvement criterion actually asks for.</w:t>
      </w:r>
    </w:p>
    <w:p>
      <w:pPr>
        <w:spacing w:before="0" w:after="140" w:line="274" w:lineRule="auto"/>
        <w:jc w:val="left"/>
      </w:pPr>
      <w:r>
        <w:rPr>
          <w:rFonts w:ascii="Calibri" w:hAnsi="Calibri"/>
          <w:b w:val="0"/>
          <w:i w:val="0"/>
          <w:color w:val="1F2A28"/>
          <w:sz w:val="22"/>
        </w:rPr>
        <w:t>Nothing extra is needed from you. Use ⟳ Duplicate for New Semester and the series builds itself.</w:t>
      </w:r>
    </w:p>
    <w:p>
      <w:pPr>
        <w:pStyle w:val="Heading2"/>
      </w:pPr>
      <w:r>
        <w:t>22. CQI: closing the loop</w:t>
      </w:r>
    </w:p>
    <w:p>
      <w:pPr>
        <w:spacing w:before="0" w:after="140" w:line="274" w:lineRule="auto"/>
        <w:jc w:val="left"/>
      </w:pPr>
      <w:r>
        <w:rPr>
          <w:rFonts w:ascii="Calibri" w:hAnsi="Calibri"/>
          <w:b w:val="0"/>
          <w:i w:val="0"/>
          <w:color w:val="1F2A28"/>
          <w:sz w:val="22"/>
        </w:rPr>
        <w:t>The CQI Section runs top to bottom in four movements. A sticky bar jumps between them, and each card collapses to a one-line status so the collapsed view works as a progress board. Expand all and Collapse all sit beside the guidance card in the seven Sections that hold folded cards — the Dashboard, COs, T&amp;L, Assessments, CA, CQI and Data &amp; Backup — and whatever you leave open is remembered between sessions.</w:t>
      </w:r>
    </w:p>
    <w:p>
      <w:pPr>
        <w:spacing w:after="60" w:line="269" w:lineRule="auto"/>
        <w:ind w:left="490" w:hanging="490"/>
      </w:pPr>
      <w:r>
        <w:rPr>
          <w:rFonts w:ascii="Calibri" w:hAnsi="Calibri"/>
          <w:b/>
          <w:color w:val="0F6B5C"/>
          <w:sz w:val="22"/>
        </w:rPr>
        <w:t xml:space="preserve">1.   </w:t>
      </w:r>
      <w:r>
        <w:rPr>
          <w:rFonts w:ascii="Calibri" w:hAnsi="Calibri"/>
          <w:b/>
          <w:color w:val="083A32"/>
          <w:sz w:val="22"/>
        </w:rPr>
        <w:t xml:space="preserve">Diagnose.  </w:t>
      </w:r>
      <w:r>
        <w:rPr>
          <w:rFonts w:ascii="Calibri" w:hAnsi="Calibri"/>
          <w:color w:val="1F2A28"/>
          <w:sz w:val="22"/>
        </w:rPr>
        <w:t>Which outcomes fell short, which students, and which questions caused it.</w:t>
      </w:r>
    </w:p>
    <w:p>
      <w:pPr>
        <w:spacing w:after="60" w:line="269" w:lineRule="auto"/>
        <w:ind w:left="490" w:hanging="490"/>
      </w:pPr>
      <w:r>
        <w:rPr>
          <w:rFonts w:ascii="Calibri" w:hAnsi="Calibri"/>
          <w:b/>
          <w:color w:val="0F6B5C"/>
          <w:sz w:val="22"/>
        </w:rPr>
        <w:t xml:space="preserve">2.   </w:t>
      </w:r>
      <w:r>
        <w:rPr>
          <w:rFonts w:ascii="Calibri" w:hAnsi="Calibri"/>
          <w:b/>
          <w:color w:val="083A32"/>
          <w:sz w:val="22"/>
        </w:rPr>
        <w:t xml:space="preserve">Describe.  </w:t>
      </w:r>
      <w:r>
        <w:rPr>
          <w:rFonts w:ascii="Calibri" w:hAnsi="Calibri"/>
          <w:color w:val="1F2A28"/>
          <w:sz w:val="22"/>
        </w:rPr>
        <w:t>Write the narratives the criteria ask for — complex problems, effectiveness of methods, assessment design, moderation.</w:t>
      </w:r>
    </w:p>
    <w:p>
      <w:pPr>
        <w:spacing w:after="60" w:line="269" w:lineRule="auto"/>
        <w:ind w:left="490" w:hanging="490"/>
      </w:pPr>
      <w:r>
        <w:rPr>
          <w:rFonts w:ascii="Calibri" w:hAnsi="Calibri"/>
          <w:b/>
          <w:color w:val="0F6B5C"/>
          <w:sz w:val="22"/>
        </w:rPr>
        <w:t xml:space="preserve">3.   </w:t>
      </w:r>
      <w:r>
        <w:rPr>
          <w:rFonts w:ascii="Calibri" w:hAnsi="Calibri"/>
          <w:b/>
          <w:color w:val="083A32"/>
          <w:sz w:val="22"/>
        </w:rPr>
        <w:t xml:space="preserve">Decide.  </w:t>
      </w:r>
      <w:r>
        <w:rPr>
          <w:rFonts w:ascii="Calibri" w:hAnsi="Calibri"/>
          <w:color w:val="1F2A28"/>
          <w:sz w:val="22"/>
        </w:rPr>
        <w:t>Write the actions for next semester in Course Report 6.1. Make them things that can be checked.</w:t>
      </w:r>
    </w:p>
    <w:p>
      <w:pPr>
        <w:spacing w:after="60" w:line="269" w:lineRule="auto"/>
        <w:ind w:left="490" w:hanging="490"/>
      </w:pPr>
      <w:r>
        <w:rPr>
          <w:rFonts w:ascii="Calibri" w:hAnsi="Calibri"/>
          <w:b/>
          <w:color w:val="0F6B5C"/>
          <w:sz w:val="22"/>
        </w:rPr>
        <w:t xml:space="preserve">4.   </w:t>
      </w:r>
      <w:r>
        <w:rPr>
          <w:rFonts w:ascii="Calibri" w:hAnsi="Calibri"/>
          <w:b/>
          <w:color w:val="083A32"/>
          <w:sz w:val="22"/>
        </w:rPr>
        <w:t xml:space="preserve">Close.  </w:t>
      </w:r>
      <w:r>
        <w:rPr>
          <w:rFonts w:ascii="Calibri" w:hAnsi="Calibri"/>
          <w:color w:val="1F2A28"/>
          <w:sz w:val="22"/>
        </w:rPr>
        <w:t>Record what last semester's actions changed, using the comparison across offerings.</w:t>
      </w:r>
    </w:p>
    <w:p>
      <w:pPr>
        <w:pStyle w:val="Heading3"/>
      </w:pPr>
      <w:r>
        <w:t>The gap findings</w:t>
      </w:r>
    </w:p>
    <w:p>
      <w:pPr>
        <w:spacing w:before="0" w:after="140" w:line="274" w:lineRule="auto"/>
        <w:jc w:val="left"/>
      </w:pPr>
      <w:r>
        <w:rPr>
          <w:rFonts w:ascii="Calibri" w:hAnsi="Calibri"/>
          <w:b w:val="0"/>
          <w:i w:val="0"/>
          <w:color w:val="1F2A28"/>
          <w:sz w:val="22"/>
        </w:rPr>
        <w:t>One card runs the checks an evaluation team would run by hand: a claim with no evidence, evidence with no claim, an outcome whose verb cannot be measured, a goal claimed but never assessed, and coverage carried by a single question.</w:t>
      </w:r>
    </w:p>
    <w:p>
      <w:pPr>
        <w:spacing w:before="0" w:after="140" w:line="274" w:lineRule="auto"/>
        <w:jc w:val="left"/>
      </w:pPr>
      <w:r>
        <w:rPr>
          <w:rFonts w:ascii="Calibri" w:hAnsi="Calibri"/>
          <w:b w:val="0"/>
          <w:i w:val="0"/>
          <w:color w:val="1F2A28"/>
          <w:sz w:val="22"/>
        </w:rPr>
        <w:t>Each finding is written out in words, with a suggested action. Add it to the plan in one click, or send it to the committee on the modification form. A finding never quietly edits anything.</w:t>
      </w:r>
    </w:p>
    <w:p>
      <w:pPr>
        <w:pStyle w:val="Heading3"/>
      </w:pPr>
      <w:r>
        <w:t>The stakeholder register</w:t>
      </w:r>
    </w:p>
    <w:p>
      <w:pPr>
        <w:spacing w:before="0" w:after="140" w:line="274" w:lineRule="auto"/>
        <w:jc w:val="left"/>
      </w:pPr>
      <w:r>
        <w:rPr>
          <w:rFonts w:ascii="Calibri" w:hAnsi="Calibri"/>
          <w:b w:val="0"/>
          <w:i w:val="0"/>
          <w:color w:val="1F2A28"/>
          <w:sz w:val="22"/>
        </w:rPr>
        <w:t>Record feedback you received — from students, alumni, employers, an advisory board, an external examiner, a committee meeting — and what you did about it. Attach the underlying documents as evidence.</w:t>
      </w:r>
    </w:p>
    <w:p>
      <w:pPr>
        <w:pStyle w:val="Heading2"/>
      </w:pPr>
      <w:r>
        <w:t>23. The twelve documents</w:t>
      </w:r>
    </w:p>
    <w:p>
      <w:pPr>
        <w:spacing w:before="0" w:after="140" w:line="274" w:lineRule="auto"/>
        <w:jc w:val="left"/>
      </w:pPr>
      <w:r>
        <w:rPr>
          <w:rFonts w:ascii="Calibri" w:hAnsi="Calibri"/>
          <w:b w:val="0"/>
          <w:i w:val="0"/>
          <w:color w:val="1F2A28"/>
          <w:sz w:val="22"/>
        </w:rPr>
        <w:t>Open the Documents Section. Everything is filled in from what you have already entered. Dotted fields are editable in place.</w:t>
      </w:r>
    </w:p>
    <w:p>
      <w:pPr>
        <w:spacing w:before="0" w:after="140" w:line="274" w:lineRule="auto"/>
        <w:jc w:val="left"/>
      </w:pPr>
      <w:r>
        <w:rPr>
          <w:rFonts w:ascii="Calibri" w:hAnsi="Calibri"/>
          <w:b w:val="0"/>
          <w:i w:val="0"/>
          <w:color w:val="1F2A28"/>
          <w:sz w:val="22"/>
        </w:rPr>
        <w:t>Print → Save as PDF makes the submission copy. Export for Word hands it to a colleague. Three of the forms print landscape.</w:t>
      </w:r>
    </w:p>
    <w:p>
      <w:pPr>
        <w:pStyle w:val="Heading3"/>
      </w:pPr>
      <w:r>
        <w:t>Key documents for OBE implementation</w:t>
      </w:r>
    </w:p>
    <w:p>
      <w:pPr>
        <w:spacing w:before="0" w:after="140" w:line="274" w:lineRule="auto"/>
        <w:jc w:val="left"/>
      </w:pPr>
      <w:r>
        <w:rPr>
          <w:rFonts w:ascii="Calibri" w:hAnsi="Calibri"/>
          <w:b w:val="0"/>
          <w:i w:val="0"/>
          <w:color w:val="1F2A28"/>
          <w:sz w:val="22"/>
        </w:rPr>
        <w:t>Prepared every semester, as the course runs.</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2880"/>
            <w:shd w:val="clear" w:color="auto" w:fill="E9F3EF"/>
          </w:tcPr>
          <w:p>
            <w:pPr>
              <w:spacing w:before="40" w:after="40" w:line="259" w:lineRule="auto"/>
            </w:pPr>
            <w:r>
              <w:rPr>
                <w:rFonts w:ascii="Calibri" w:hAnsi="Calibri"/>
                <w:b/>
                <w:color w:val="083A32"/>
                <w:sz w:val="19"/>
              </w:rPr>
              <w:t>Document</w:t>
            </w:r>
          </w:p>
        </w:tc>
        <w:tc>
          <w:tcPr>
            <w:tcW w:type="dxa" w:w="6624"/>
            <w:shd w:val="clear" w:color="auto" w:fill="E9F3EF"/>
          </w:tcPr>
          <w:p>
            <w:pPr>
              <w:spacing w:before="40" w:after="40" w:line="259" w:lineRule="auto"/>
            </w:pPr>
            <w:r>
              <w:rPr>
                <w:rFonts w:ascii="Calibri" w:hAnsi="Calibri"/>
                <w:b/>
                <w:color w:val="083A32"/>
                <w:sz w:val="19"/>
              </w:rPr>
              <w:t>What it is for</w:t>
            </w:r>
          </w:p>
        </w:tc>
      </w:tr>
      <w:tr>
        <w:tc>
          <w:tcPr>
            <w:tcW w:type="dxa" w:w="2880"/>
          </w:tcPr>
          <w:p>
            <w:pPr>
              <w:spacing w:before="40" w:after="40" w:line="259" w:lineRule="auto"/>
            </w:pPr>
            <w:r>
              <w:rPr>
                <w:rFonts w:ascii="Calibri" w:hAnsi="Calibri"/>
                <w:b w:val="0"/>
                <w:color w:val="1F2A28"/>
                <w:sz w:val="19"/>
              </w:rPr>
              <w:t>Course Outline</w:t>
            </w:r>
          </w:p>
        </w:tc>
        <w:tc>
          <w:tcPr>
            <w:tcW w:type="dxa" w:w="6624"/>
          </w:tcPr>
          <w:p>
            <w:pPr>
              <w:spacing w:before="40" w:after="40" w:line="259" w:lineRule="auto"/>
            </w:pPr>
            <w:r>
              <w:rPr>
                <w:rFonts w:ascii="Calibri" w:hAnsi="Calibri"/>
                <w:b w:val="0"/>
                <w:color w:val="1F2A28"/>
                <w:sz w:val="19"/>
              </w:rPr>
              <w:t>Given to students. Outcomes with their POs and indicators, §14 attributes with the SDG column, assessment shares, the weekly plan. Follows the departmental Version 3 template.</w:t>
            </w:r>
          </w:p>
        </w:tc>
      </w:tr>
      <w:tr>
        <w:tc>
          <w:tcPr>
            <w:tcW w:type="dxa" w:w="2880"/>
          </w:tcPr>
          <w:p>
            <w:pPr>
              <w:spacing w:before="40" w:after="40" w:line="259" w:lineRule="auto"/>
            </w:pPr>
            <w:r>
              <w:rPr>
                <w:rFonts w:ascii="Calibri" w:hAnsi="Calibri"/>
                <w:b w:val="0"/>
                <w:color w:val="1F2A28"/>
                <w:sz w:val="19"/>
              </w:rPr>
              <w:t>Course Specifications</w:t>
            </w:r>
          </w:p>
        </w:tc>
        <w:tc>
          <w:tcPr>
            <w:tcW w:type="dxa" w:w="6624"/>
          </w:tcPr>
          <w:p>
            <w:pPr>
              <w:spacing w:before="40" w:after="40" w:line="259" w:lineRule="auto"/>
            </w:pPr>
            <w:r>
              <w:rPr>
                <w:rFonts w:ascii="Calibri" w:hAnsi="Calibri"/>
                <w:b w:val="0"/>
                <w:color w:val="1F2A28"/>
                <w:sz w:val="19"/>
              </w:rPr>
              <w:t>The internal blueprint. Study load, constructive alignment, contact hours, the assessment plan, laboratory activities.</w:t>
            </w:r>
          </w:p>
        </w:tc>
      </w:tr>
      <w:tr>
        <w:tc>
          <w:tcPr>
            <w:tcW w:type="dxa" w:w="2880"/>
          </w:tcPr>
          <w:p>
            <w:pPr>
              <w:spacing w:before="40" w:after="40" w:line="259" w:lineRule="auto"/>
            </w:pPr>
            <w:r>
              <w:rPr>
                <w:rFonts w:ascii="Calibri" w:hAnsi="Calibri"/>
                <w:b w:val="0"/>
                <w:color w:val="1F2A28"/>
                <w:sz w:val="19"/>
              </w:rPr>
              <w:t>Final Exam Vetting Form</w:t>
            </w:r>
          </w:p>
        </w:tc>
        <w:tc>
          <w:tcPr>
            <w:tcW w:type="dxa" w:w="6624"/>
          </w:tcPr>
          <w:p>
            <w:pPr>
              <w:spacing w:before="40" w:after="40" w:line="259" w:lineRule="auto"/>
            </w:pPr>
            <w:r>
              <w:rPr>
                <w:rFonts w:ascii="Calibri" w:hAnsi="Calibri"/>
                <w:b w:val="0"/>
                <w:color w:val="1F2A28"/>
                <w:sz w:val="19"/>
              </w:rPr>
              <w:t>Checked before the paper is printed: outcome coverage, Bloom coverage, and complex-problem coverage.</w:t>
            </w:r>
          </w:p>
        </w:tc>
      </w:tr>
      <w:tr>
        <w:tc>
          <w:tcPr>
            <w:tcW w:type="dxa" w:w="2880"/>
          </w:tcPr>
          <w:p>
            <w:pPr>
              <w:spacing w:before="40" w:after="40" w:line="259" w:lineRule="auto"/>
            </w:pPr>
            <w:r>
              <w:rPr>
                <w:rFonts w:ascii="Calibri" w:hAnsi="Calibri"/>
                <w:b w:val="0"/>
                <w:color w:val="1F2A28"/>
                <w:sz w:val="19"/>
              </w:rPr>
              <w:t>Direct CO-PO Calculations</w:t>
            </w:r>
          </w:p>
        </w:tc>
        <w:tc>
          <w:tcPr>
            <w:tcW w:type="dxa" w:w="6624"/>
          </w:tcPr>
          <w:p>
            <w:pPr>
              <w:spacing w:before="40" w:after="40" w:line="259" w:lineRule="auto"/>
            </w:pPr>
            <w:r>
              <w:rPr>
                <w:rFonts w:ascii="Calibri" w:hAnsi="Calibri"/>
                <w:b w:val="0"/>
                <w:color w:val="1F2A28"/>
                <w:sz w:val="19"/>
              </w:rPr>
              <w:t>The attainment working, computed from your marks.</w:t>
            </w:r>
          </w:p>
        </w:tc>
      </w:tr>
      <w:tr>
        <w:tc>
          <w:tcPr>
            <w:tcW w:type="dxa" w:w="2880"/>
          </w:tcPr>
          <w:p>
            <w:pPr>
              <w:spacing w:before="40" w:after="40" w:line="259" w:lineRule="auto"/>
            </w:pPr>
            <w:r>
              <w:rPr>
                <w:rFonts w:ascii="Calibri" w:hAnsi="Calibri"/>
                <w:b w:val="0"/>
                <w:color w:val="1F2A28"/>
                <w:sz w:val="19"/>
              </w:rPr>
              <w:t>Course Evaluation Survey</w:t>
            </w:r>
          </w:p>
        </w:tc>
        <w:tc>
          <w:tcPr>
            <w:tcW w:type="dxa" w:w="6624"/>
          </w:tcPr>
          <w:p>
            <w:pPr>
              <w:spacing w:before="40" w:after="40" w:line="259" w:lineRule="auto"/>
            </w:pPr>
            <w:r>
              <w:rPr>
                <w:rFonts w:ascii="Calibri" w:hAnsi="Calibri"/>
                <w:b w:val="0"/>
                <w:color w:val="1F2A28"/>
                <w:sz w:val="19"/>
              </w:rPr>
              <w:t>The indirect instrument you give to students.</w:t>
            </w:r>
          </w:p>
        </w:tc>
      </w:tr>
      <w:tr>
        <w:tc>
          <w:tcPr>
            <w:tcW w:type="dxa" w:w="2880"/>
          </w:tcPr>
          <w:p>
            <w:pPr>
              <w:spacing w:before="40" w:after="40" w:line="259" w:lineRule="auto"/>
            </w:pPr>
            <w:r>
              <w:rPr>
                <w:rFonts w:ascii="Calibri" w:hAnsi="Calibri"/>
                <w:b w:val="0"/>
                <w:color w:val="1F2A28"/>
                <w:sz w:val="19"/>
              </w:rPr>
              <w:t>Course Report</w:t>
            </w:r>
          </w:p>
        </w:tc>
        <w:tc>
          <w:tcPr>
            <w:tcW w:type="dxa" w:w="6624"/>
          </w:tcPr>
          <w:p>
            <w:pPr>
              <w:spacing w:before="40" w:after="40" w:line="259" w:lineRule="auto"/>
            </w:pPr>
            <w:r>
              <w:rPr>
                <w:rFonts w:ascii="Calibri" w:hAnsi="Calibri"/>
                <w:b w:val="0"/>
                <w:color w:val="1F2A28"/>
                <w:sz w:val="19"/>
              </w:rPr>
              <w:t>Written after results: grades, attainment with your own analysis, feedback returned, and the actions you will take.</w:t>
            </w:r>
          </w:p>
        </w:tc>
      </w:tr>
    </w:tbl>
    <w:p>
      <w:pPr>
        <w:spacing w:before="0" w:after="80" w:line="274" w:lineRule="auto"/>
        <w:jc w:val="left"/>
      </w:pPr>
    </w:p>
    <w:p>
      <w:pPr>
        <w:pStyle w:val="Heading3"/>
      </w:pPr>
      <w:r>
        <w:t>Additional documents for an accreditation visit</w:t>
      </w:r>
    </w:p>
    <w:p>
      <w:pPr>
        <w:spacing w:before="0" w:after="140" w:line="274" w:lineRule="auto"/>
        <w:jc w:val="left"/>
      </w:pPr>
      <w:r>
        <w:rPr>
          <w:rFonts w:ascii="Calibri" w:hAnsi="Calibri"/>
          <w:b w:val="0"/>
          <w:i w:val="0"/>
          <w:color w:val="1F2A28"/>
          <w:sz w:val="22"/>
        </w:rPr>
        <w:t>Assembled for a visit, or when you propose a change.</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2880"/>
            <w:shd w:val="clear" w:color="auto" w:fill="E9F3EF"/>
          </w:tcPr>
          <w:p>
            <w:pPr>
              <w:spacing w:before="40" w:after="40" w:line="259" w:lineRule="auto"/>
            </w:pPr>
            <w:r>
              <w:rPr>
                <w:rFonts w:ascii="Calibri" w:hAnsi="Calibri"/>
                <w:b/>
                <w:color w:val="083A32"/>
                <w:sz w:val="19"/>
              </w:rPr>
              <w:t>Document</w:t>
            </w:r>
          </w:p>
        </w:tc>
        <w:tc>
          <w:tcPr>
            <w:tcW w:type="dxa" w:w="6624"/>
            <w:shd w:val="clear" w:color="auto" w:fill="E9F3EF"/>
          </w:tcPr>
          <w:p>
            <w:pPr>
              <w:spacing w:before="40" w:after="40" w:line="259" w:lineRule="auto"/>
            </w:pPr>
            <w:r>
              <w:rPr>
                <w:rFonts w:ascii="Calibri" w:hAnsi="Calibri"/>
                <w:b/>
                <w:color w:val="083A32"/>
                <w:sz w:val="19"/>
              </w:rPr>
              <w:t>What it is for</w:t>
            </w:r>
          </w:p>
        </w:tc>
      </w:tr>
      <w:tr>
        <w:tc>
          <w:tcPr>
            <w:tcW w:type="dxa" w:w="2880"/>
          </w:tcPr>
          <w:p>
            <w:pPr>
              <w:spacing w:before="40" w:after="40" w:line="259" w:lineRule="auto"/>
            </w:pPr>
            <w:r>
              <w:rPr>
                <w:rFonts w:ascii="Calibri" w:hAnsi="Calibri"/>
                <w:b w:val="0"/>
                <w:color w:val="1F2A28"/>
                <w:sz w:val="19"/>
              </w:rPr>
              <w:t>CQI Report</w:t>
            </w:r>
          </w:p>
        </w:tc>
        <w:tc>
          <w:tcPr>
            <w:tcW w:type="dxa" w:w="6624"/>
          </w:tcPr>
          <w:p>
            <w:pPr>
              <w:spacing w:before="40" w:after="40" w:line="259" w:lineRule="auto"/>
            </w:pPr>
            <w:r>
              <w:rPr>
                <w:rFonts w:ascii="Calibri" w:hAnsi="Calibri"/>
                <w:b w:val="0"/>
                <w:color w:val="1F2A28"/>
                <w:sz w:val="19"/>
              </w:rPr>
              <w:t>The improvement evidence, generated from the CQI Section.</w:t>
            </w:r>
          </w:p>
        </w:tc>
      </w:tr>
      <w:tr>
        <w:tc>
          <w:tcPr>
            <w:tcW w:type="dxa" w:w="2880"/>
          </w:tcPr>
          <w:p>
            <w:pPr>
              <w:spacing w:before="40" w:after="40" w:line="259" w:lineRule="auto"/>
            </w:pPr>
            <w:r>
              <w:rPr>
                <w:rFonts w:ascii="Calibri" w:hAnsi="Calibri"/>
                <w:b w:val="0"/>
                <w:color w:val="1F2A28"/>
                <w:sz w:val="19"/>
              </w:rPr>
              <w:t>Assessment Rubrics</w:t>
            </w:r>
          </w:p>
        </w:tc>
        <w:tc>
          <w:tcPr>
            <w:tcW w:type="dxa" w:w="6624"/>
          </w:tcPr>
          <w:p>
            <w:pPr>
              <w:spacing w:before="40" w:after="40" w:line="259" w:lineRule="auto"/>
            </w:pPr>
            <w:r>
              <w:rPr>
                <w:rFonts w:ascii="Calibri" w:hAnsi="Calibri"/>
                <w:b w:val="0"/>
                <w:color w:val="1F2A28"/>
                <w:sz w:val="19"/>
              </w:rPr>
              <w:t>Every rubric you prepared this semester, in one printable.</w:t>
            </w:r>
          </w:p>
        </w:tc>
      </w:tr>
      <w:tr>
        <w:tc>
          <w:tcPr>
            <w:tcW w:type="dxa" w:w="2880"/>
          </w:tcPr>
          <w:p>
            <w:pPr>
              <w:spacing w:before="40" w:after="40" w:line="259" w:lineRule="auto"/>
            </w:pPr>
            <w:r>
              <w:rPr>
                <w:rFonts w:ascii="Calibri" w:hAnsi="Calibri"/>
                <w:b w:val="0"/>
                <w:color w:val="1F2A28"/>
                <w:sz w:val="19"/>
              </w:rPr>
              <w:t>SAR Table 2.2.1</w:t>
            </w:r>
          </w:p>
        </w:tc>
        <w:tc>
          <w:tcPr>
            <w:tcW w:type="dxa" w:w="6624"/>
          </w:tcPr>
          <w:p>
            <w:pPr>
              <w:spacing w:before="40" w:after="40" w:line="259" w:lineRule="auto"/>
            </w:pPr>
            <w:r>
              <w:rPr>
                <w:rFonts w:ascii="Calibri" w:hAnsi="Calibri"/>
                <w:b w:val="0"/>
                <w:color w:val="1F2A28"/>
                <w:sz w:val="19"/>
              </w:rPr>
              <w:t>The course row your programme's Self-Assessment Report asks for.</w:t>
            </w:r>
          </w:p>
        </w:tc>
      </w:tr>
      <w:tr>
        <w:tc>
          <w:tcPr>
            <w:tcW w:type="dxa" w:w="2880"/>
          </w:tcPr>
          <w:p>
            <w:pPr>
              <w:spacing w:before="40" w:after="40" w:line="259" w:lineRule="auto"/>
            </w:pPr>
            <w:r>
              <w:rPr>
                <w:rFonts w:ascii="Calibri" w:hAnsi="Calibri"/>
                <w:b w:val="0"/>
                <w:color w:val="1F2A28"/>
                <w:sz w:val="19"/>
              </w:rPr>
              <w:t>CO Modification Request Form</w:t>
            </w:r>
          </w:p>
        </w:tc>
        <w:tc>
          <w:tcPr>
            <w:tcW w:type="dxa" w:w="6624"/>
          </w:tcPr>
          <w:p>
            <w:pPr>
              <w:spacing w:before="40" w:after="40" w:line="259" w:lineRule="auto"/>
            </w:pPr>
            <w:r>
              <w:rPr>
                <w:rFonts w:ascii="Calibri" w:hAnsi="Calibri"/>
                <w:b w:val="0"/>
                <w:color w:val="1F2A28"/>
                <w:sz w:val="19"/>
              </w:rPr>
              <w:t>The committee route for changing an approved outcome. Landscape.</w:t>
            </w:r>
          </w:p>
        </w:tc>
      </w:tr>
      <w:tr>
        <w:tc>
          <w:tcPr>
            <w:tcW w:type="dxa" w:w="2880"/>
          </w:tcPr>
          <w:p>
            <w:pPr>
              <w:spacing w:before="40" w:after="40" w:line="259" w:lineRule="auto"/>
            </w:pPr>
            <w:r>
              <w:rPr>
                <w:rFonts w:ascii="Calibri" w:hAnsi="Calibri"/>
                <w:b w:val="0"/>
                <w:color w:val="1F2A28"/>
                <w:sz w:val="19"/>
              </w:rPr>
              <w:t>CE Moderation Form</w:t>
            </w:r>
          </w:p>
        </w:tc>
        <w:tc>
          <w:tcPr>
            <w:tcW w:type="dxa" w:w="6624"/>
          </w:tcPr>
          <w:p>
            <w:pPr>
              <w:spacing w:before="40" w:after="40" w:line="259" w:lineRule="auto"/>
            </w:pPr>
            <w:r>
              <w:rPr>
                <w:rFonts w:ascii="Calibri" w:hAnsi="Calibri"/>
                <w:b w:val="0"/>
                <w:color w:val="1F2A28"/>
                <w:sz w:val="19"/>
              </w:rPr>
              <w:t>The complex-engineering evidence with its approval chain. Landscape.</w:t>
            </w:r>
          </w:p>
        </w:tc>
      </w:tr>
      <w:tr>
        <w:tc>
          <w:tcPr>
            <w:tcW w:type="dxa" w:w="2880"/>
          </w:tcPr>
          <w:p>
            <w:pPr>
              <w:spacing w:before="40" w:after="40" w:line="259" w:lineRule="auto"/>
            </w:pPr>
            <w:r>
              <w:rPr>
                <w:rFonts w:ascii="Calibri" w:hAnsi="Calibri"/>
                <w:b w:val="0"/>
                <w:color w:val="1F2A28"/>
                <w:sz w:val="19"/>
              </w:rPr>
              <w:t>SDG Integration Map</w:t>
            </w:r>
          </w:p>
        </w:tc>
        <w:tc>
          <w:tcPr>
            <w:tcW w:type="dxa" w:w="6624"/>
          </w:tcPr>
          <w:p>
            <w:pPr>
              <w:spacing w:before="40" w:after="40" w:line="259" w:lineRule="auto"/>
            </w:pPr>
            <w:r>
              <w:rPr>
                <w:rFonts w:ascii="Calibri" w:hAnsi="Calibri"/>
                <w:b w:val="0"/>
                <w:color w:val="1F2A28"/>
                <w:sz w:val="19"/>
              </w:rPr>
              <w:t>Where each claimed goal is taught and assessed. Landscape. Version 3 only.</w:t>
            </w:r>
          </w:p>
        </w:tc>
      </w:tr>
    </w:tbl>
    <w:p>
      <w:pPr>
        <w:spacing w:before="0" w:after="80" w:line="274" w:lineRule="auto"/>
        <w:jc w:val="left"/>
      </w:pPr>
    </w:p>
    <w:p>
      <w:pPr>
        <w:pStyle w:val="Heading3"/>
      </w:pPr>
      <w:r>
        <w:t>Writing sections 4.2 and 4.3 of the Course Report</w:t>
      </w:r>
    </w:p>
    <w:p>
      <w:pPr>
        <w:spacing w:before="0" w:after="140" w:line="274" w:lineRule="auto"/>
        <w:jc w:val="left"/>
      </w:pPr>
      <w:r>
        <w:rPr>
          <w:rFonts w:ascii="Calibri" w:hAnsi="Calibri"/>
          <w:b w:val="0"/>
          <w:i w:val="0"/>
          <w:color w:val="1F2A28"/>
          <w:sz w:val="22"/>
        </w:rPr>
        <w:t>These two boxes are your own critical analysis of the results, and they carry your signature and your Head's countersignature. They are the part an evaluator reads most closely.</w:t>
      </w:r>
    </w:p>
    <w:p>
      <w:pPr>
        <w:spacing w:before="0" w:after="140" w:line="274" w:lineRule="auto"/>
        <w:jc w:val="left"/>
      </w:pPr>
      <w:r>
        <w:rPr>
          <w:rFonts w:ascii="Calibri" w:hAnsi="Calibri"/>
          <w:b w:val="0"/>
          <w:i w:val="0"/>
          <w:color w:val="1F2A28"/>
          <w:sz w:val="22"/>
        </w:rPr>
        <w:t>For 4.2, name every outcome below target. For each, say which of three things it points to — the teaching, the way you assessed it, or what students arrived knowing — and what in the evidence makes you say so. Compare with the previous offering. Then carry each cause into an action in 6.1.</w:t>
      </w:r>
    </w:p>
    <w:p>
      <w:pPr>
        <w:spacing w:before="0" w:after="140" w:line="274" w:lineRule="auto"/>
        <w:jc w:val="left"/>
      </w:pPr>
      <w:r>
        <w:rPr>
          <w:rFonts w:ascii="Calibri" w:hAnsi="Calibri"/>
          <w:b w:val="0"/>
          <w:i w:val="0"/>
          <w:color w:val="1F2A28"/>
          <w:sz w:val="22"/>
        </w:rPr>
        <w:t>For 4.3, remember that the PO figures are a weighted restatement of the outcomes above. Do not repeat 4.2. Write instead about what this course contributes to each Programme Outcome, and flag any PO that rests on a single outcome.</w:t>
      </w:r>
    </w:p>
    <w:p>
      <w:pPr>
        <w:pStyle w:val="Heading2"/>
      </w:pPr>
      <w:r>
        <w:t>24. Changing something already approved</w:t>
      </w:r>
    </w:p>
    <w:p>
      <w:pPr>
        <w:spacing w:before="0" w:after="140" w:line="274" w:lineRule="auto"/>
        <w:jc w:val="left"/>
      </w:pPr>
      <w:r>
        <w:rPr>
          <w:rFonts w:ascii="Calibri" w:hAnsi="Calibri"/>
          <w:b w:val="0"/>
          <w:i w:val="0"/>
          <w:color w:val="1F2A28"/>
          <w:sz w:val="22"/>
        </w:rPr>
        <w:t>Approved outcomes and claimed attributes are governed records. Changing one is a committee act, not an edit. Two forms exist for that.</w:t>
      </w:r>
    </w:p>
    <w:p>
      <w:pPr>
        <w:pStyle w:val="Heading3"/>
      </w:pPr>
      <w:r>
        <w:t>CO Modification Request Form</w:t>
      </w:r>
    </w:p>
    <w:p>
      <w:pPr>
        <w:spacing w:before="0" w:after="140" w:line="274" w:lineRule="auto"/>
        <w:jc w:val="left"/>
      </w:pPr>
      <w:r>
        <w:rPr>
          <w:rFonts w:ascii="Calibri" w:hAnsi="Calibri"/>
          <w:b w:val="0"/>
          <w:i w:val="0"/>
          <w:color w:val="1F2A28"/>
          <w:sz w:val="22"/>
        </w:rPr>
        <w:t>The existing side is copied live from your course, so nobody mistypes it. You write the modification, the reason, and the semester it takes effect. A check tells you whether the new wording is specific and measurable.</w:t>
      </w:r>
    </w:p>
    <w:p>
      <w:pPr>
        <w:spacing w:before="0" w:after="140" w:line="274" w:lineRule="auto"/>
        <w:jc w:val="left"/>
      </w:pPr>
      <w:r>
        <w:rPr>
          <w:rFonts w:ascii="Calibri" w:hAnsi="Calibri"/>
          <w:b w:val="0"/>
          <w:i w:val="0"/>
          <w:color w:val="1F2A28"/>
          <w:sz w:val="22"/>
        </w:rPr>
        <w:t>It can be drafted in one click from a CQI finding, or for every outcome at once when moving from Version 2.2 to Version 3.</w:t>
      </w:r>
    </w:p>
    <w:p>
      <w:pPr>
        <w:pStyle w:val="Heading3"/>
      </w:pPr>
      <w:r>
        <w:t>CE Moderation Form</w:t>
      </w:r>
    </w:p>
    <w:p>
      <w:pPr>
        <w:spacing w:before="0" w:after="140" w:line="274" w:lineRule="auto"/>
        <w:jc w:val="left"/>
      </w:pPr>
      <w:r>
        <w:rPr>
          <w:rFonts w:ascii="Calibri" w:hAnsi="Calibri"/>
          <w:b w:val="0"/>
          <w:i w:val="0"/>
          <w:color w:val="1F2A28"/>
          <w:sz w:val="22"/>
        </w:rPr>
        <w:t>Every assessment carrying complex-engineering tags, in one form: the complexity statement, the justification per attribute, the questions that evidence it, and the moderator's approval and date.</w:t>
      </w:r>
    </w:p>
    <w:p>
      <w:pPr>
        <w:pBdr>
          <w:left w:val="single" w:sz="14" w:space="8" w:color="0F6B5C"/>
        </w:pBdr>
        <w:spacing w:before="100" w:after="180" w:line="271" w:lineRule="auto"/>
        <w:ind w:left="230"/>
      </w:pPr>
      <w:r>
        <w:rPr>
          <w:rFonts w:ascii="Calibri" w:hAnsi="Calibri"/>
          <w:b/>
          <w:color w:val="0F6B5C"/>
          <w:sz w:val="21"/>
        </w:rPr>
        <w:t xml:space="preserve">Why bother with the paperwork.  </w:t>
      </w:r>
      <w:r>
        <w:rPr>
          <w:rFonts w:ascii="Calibri" w:hAnsi="Calibri"/>
          <w:color w:val="1F2A28"/>
          <w:sz w:val="21"/>
        </w:rPr>
        <w:t>When an evaluator asks why an outcome changed, or why a project was claimed as a complex engineering problem, the answer should be a dated document with a signature on it — not a recollection.</w:t>
      </w:r>
    </w:p>
    <w:p>
      <w:r>
        <w:br w:type="page"/>
      </w:r>
    </w:p>
    <w:p>
      <w:pPr>
        <w:pStyle w:val="Heading1"/>
      </w:pPr>
      <w:r>
        <w:t>Part 4 — Reference</w:t>
      </w:r>
    </w:p>
    <w:p>
      <w:pPr>
        <w:spacing w:before="0" w:after="140" w:line="274" w:lineRule="auto"/>
        <w:jc w:val="left"/>
      </w:pPr>
      <w:r>
        <w:rPr>
          <w:rFonts w:ascii="Calibri" w:hAnsi="Calibri"/>
          <w:b w:val="0"/>
          <w:i/>
          <w:color w:val="5C6B68"/>
          <w:sz w:val="22"/>
        </w:rPr>
        <w:t>Look things up here. You do not need to read it through.</w:t>
      </w:r>
    </w:p>
    <w:p>
      <w:pPr>
        <w:pStyle w:val="Heading2"/>
      </w:pPr>
      <w:r>
        <w:t>25. How the numbers are worked out</w:t>
      </w:r>
    </w:p>
    <w:p>
      <w:pPr>
        <w:spacing w:before="0" w:after="140" w:line="274" w:lineRule="auto"/>
        <w:jc w:val="left"/>
      </w:pPr>
      <w:r>
        <w:rPr>
          <w:rFonts w:ascii="Calibri" w:hAnsi="Calibri"/>
          <w:b w:val="0"/>
          <w:i w:val="0"/>
          <w:color w:val="1F2A28"/>
          <w:sz w:val="22"/>
        </w:rPr>
        <w:t>Nothing here is hidden. The full algebra, with worked examples, is in the separate document Attainment Calculation Methodology. This is the short version.</w:t>
      </w:r>
    </w:p>
    <w:p>
      <w:pPr>
        <w:pStyle w:val="Heading3"/>
      </w:pPr>
      <w:r>
        <w:t>For one student, for one outcome</w:t>
      </w:r>
    </w:p>
    <w:p>
      <w:pPr>
        <w:spacing w:before="0" w:after="140" w:line="274" w:lineRule="auto"/>
        <w:jc w:val="left"/>
      </w:pPr>
      <w:r>
        <w:rPr>
          <w:rFonts w:ascii="Calibri" w:hAnsi="Calibri"/>
          <w:b w:val="0"/>
          <w:i w:val="0"/>
          <w:color w:val="1F2A28"/>
          <w:sz w:val="22"/>
        </w:rPr>
        <w:t>Add up the marks that student earned on every item tagged with that outcome. Divide by the total marks available on those items. That gives a percentage for that student on that outcome.</w:t>
      </w:r>
    </w:p>
    <w:p>
      <w:pPr>
        <w:pStyle w:val="Heading3"/>
      </w:pPr>
      <w:r>
        <w:t>For the class</w:t>
      </w:r>
    </w:p>
    <w:p>
      <w:pPr>
        <w:spacing w:before="0" w:after="140" w:line="274" w:lineRule="auto"/>
        <w:jc w:val="left"/>
      </w:pPr>
      <w:r>
        <w:rPr>
          <w:rFonts w:ascii="Calibri" w:hAnsi="Calibri"/>
          <w:b w:val="0"/>
          <w:i w:val="0"/>
          <w:color w:val="1F2A28"/>
          <w:sz w:val="22"/>
        </w:rPr>
        <w:t>Count how many students reached the Target Pass Marks. Express it as a percentage of the students who have marks. That is the outcome's attainment. The same is done at the KPI Marks threshold, giving the stricter figure.</w:t>
      </w:r>
    </w:p>
    <w:p>
      <w:pPr>
        <w:spacing w:before="0" w:after="140" w:line="274" w:lineRule="auto"/>
        <w:jc w:val="left"/>
      </w:pPr>
      <w:r>
        <w:rPr>
          <w:rFonts w:ascii="Calibri" w:hAnsi="Calibri"/>
          <w:b w:val="0"/>
          <w:i w:val="0"/>
          <w:color w:val="1F2A28"/>
          <w:sz w:val="22"/>
        </w:rPr>
        <w:t>The outcome is attained when that percentage is at least the KPI Target.</w:t>
      </w:r>
    </w:p>
    <w:p>
      <w:pPr>
        <w:pStyle w:val="Heading3"/>
      </w:pPr>
      <w:r>
        <w:t>For Programme Outcomes</w:t>
      </w:r>
    </w:p>
    <w:p>
      <w:pPr>
        <w:spacing w:before="0" w:after="140" w:line="274" w:lineRule="auto"/>
        <w:jc w:val="left"/>
      </w:pPr>
      <w:r>
        <w:rPr>
          <w:rFonts w:ascii="Calibri" w:hAnsi="Calibri"/>
          <w:b w:val="0"/>
          <w:i w:val="0"/>
          <w:color w:val="1F2A28"/>
          <w:sz w:val="22"/>
        </w:rPr>
        <w:t>A PO takes the outcomes mapped to it, weighted by the marks behind each one. An outcome carrying 40 marks influences the PO twice as much as one carrying 20.</w:t>
      </w:r>
    </w:p>
    <w:p>
      <w:pPr>
        <w:pStyle w:val="Heading3"/>
      </w:pPr>
      <w:r>
        <w:t>Choice questions</w:t>
      </w:r>
    </w:p>
    <w:p>
      <w:pPr>
        <w:spacing w:before="0" w:after="140" w:line="274" w:lineRule="auto"/>
        <w:jc w:val="left"/>
      </w:pPr>
      <w:r>
        <w:rPr>
          <w:rFonts w:ascii="Calibri" w:hAnsi="Calibri"/>
          <w:b w:val="0"/>
          <w:i w:val="0"/>
          <w:color w:val="1F2A28"/>
          <w:sz w:val="22"/>
        </w:rPr>
        <w:t>A question a student was entitled to skip is left out of both the numerator and the denominator for that student. Nobody is penalised for a choice the rules allowed. A skipped compulsory question is a zero and counts.</w:t>
      </w:r>
    </w:p>
    <w:p>
      <w:pPr>
        <w:pStyle w:val="Heading3"/>
      </w:pPr>
      <w:r>
        <w:t>Indirect and combined</w:t>
      </w:r>
    </w:p>
    <w:p>
      <w:pPr>
        <w:spacing w:before="0" w:after="140" w:line="274" w:lineRule="auto"/>
        <w:jc w:val="left"/>
      </w:pPr>
      <w:r>
        <w:rPr>
          <w:rFonts w:ascii="Calibri" w:hAnsi="Calibri"/>
          <w:b w:val="0"/>
          <w:i w:val="0"/>
          <w:color w:val="1F2A28"/>
          <w:sz w:val="22"/>
        </w:rPr>
        <w:t>The survey uses a five-point scale. A response of 4 or higher counts as agreement. The indirect figure is the share of agreeing responses. The combined figure is the direct and indirect figures blended using the weights in Course Info.</w:t>
      </w:r>
    </w:p>
    <w:p>
      <w:pPr>
        <w:pStyle w:val="Heading2"/>
      </w:pPr>
      <w:r>
        <w:t>26. Data formats</w:t>
      </w:r>
    </w:p>
    <w:p>
      <w:pPr>
        <w:pStyle w:val="Heading3"/>
      </w:pPr>
      <w:r>
        <w:t>Pasting a student list</w:t>
      </w:r>
    </w:p>
    <w:p>
      <w:pPr>
        <w:spacing w:before="0" w:after="140" w:line="274" w:lineRule="auto"/>
        <w:jc w:val="left"/>
      </w:pPr>
      <w:r>
        <w:rPr>
          <w:rFonts w:ascii="Calibri" w:hAnsi="Calibri"/>
          <w:b w:val="0"/>
          <w:i w:val="0"/>
          <w:color w:val="1F2A28"/>
          <w:sz w:val="22"/>
        </w:rPr>
        <w:t>One student per line. Put the ID first, then a tab, comma or semicolon, then the name.</w:t>
      </w:r>
    </w:p>
    <w:p>
      <w:pPr>
        <w:spacing w:before="0" w:after="140" w:line="274" w:lineRule="auto"/>
        <w:ind w:left="360"/>
        <w:jc w:val="left"/>
      </w:pPr>
      <w:r>
        <w:rPr>
          <w:rFonts w:ascii="Calibri" w:hAnsi="Calibri"/>
          <w:b w:val="0"/>
          <w:i w:val="0"/>
          <w:color w:val="083A32"/>
          <w:sz w:val="21"/>
        </w:rPr>
        <w:t>2021010800101, Farhana Rahman</w:t>
      </w:r>
    </w:p>
    <w:p>
      <w:pPr>
        <w:pStyle w:val="Heading3"/>
      </w:pPr>
      <w:r>
        <w:t>Marks by CSV</w:t>
      </w:r>
    </w:p>
    <w:p>
      <w:pPr>
        <w:spacing w:before="0" w:after="140" w:line="274" w:lineRule="auto"/>
        <w:jc w:val="left"/>
      </w:pPr>
      <w:r>
        <w:rPr>
          <w:rFonts w:ascii="Calibri" w:hAnsi="Calibri"/>
          <w:b w:val="0"/>
          <w:i w:val="0"/>
          <w:color w:val="1F2A28"/>
          <w:sz w:val="22"/>
        </w:rPr>
        <w:t>Download the empty template first, and keep its headers exactly. Each column header is the assessment name, two colons, then the item name.</w:t>
      </w:r>
    </w:p>
    <w:p>
      <w:pPr>
        <w:spacing w:before="0" w:after="140" w:line="274" w:lineRule="auto"/>
        <w:ind w:left="360"/>
        <w:jc w:val="left"/>
      </w:pPr>
      <w:r>
        <w:rPr>
          <w:rFonts w:ascii="Calibri" w:hAnsi="Calibri"/>
          <w:b w:val="0"/>
          <w:i w:val="0"/>
          <w:color w:val="083A32"/>
          <w:sz w:val="21"/>
        </w:rPr>
        <w:t>Student ID, Name, Quiz 1 :: Q1, Quiz 1 :: Q2, Final :: Q3(a)</w:t>
      </w:r>
    </w:p>
    <w:p>
      <w:pPr>
        <w:spacing w:before="0" w:after="140" w:line="274" w:lineRule="auto"/>
        <w:jc w:val="left"/>
      </w:pPr>
      <w:r>
        <w:rPr>
          <w:rFonts w:ascii="Calibri" w:hAnsi="Calibri"/>
          <w:b w:val="0"/>
          <w:i w:val="0"/>
          <w:color w:val="1F2A28"/>
          <w:sz w:val="22"/>
        </w:rPr>
        <w:t>Leave a cell empty for a question the student was entitled to skip. Write 0 when they attempted it and scored nothing.</w:t>
      </w:r>
    </w:p>
    <w:p>
      <w:pPr>
        <w:pStyle w:val="Heading3"/>
      </w:pPr>
      <w:r>
        <w:t>Survey responses by CSV</w:t>
      </w:r>
    </w:p>
    <w:p>
      <w:pPr>
        <w:spacing w:before="0" w:after="140" w:line="274" w:lineRule="auto"/>
        <w:jc w:val="left"/>
      </w:pPr>
      <w:r>
        <w:rPr>
          <w:rFonts w:ascii="Calibri" w:hAnsi="Calibri"/>
          <w:b w:val="0"/>
          <w:i w:val="0"/>
          <w:color w:val="1F2A28"/>
          <w:sz w:val="22"/>
        </w:rPr>
        <w:t>Export from Google Forms. The tool looks for CO1, CO2 and so on in the column headers, and expects ratings from 1 to 5.</w:t>
      </w:r>
    </w:p>
    <w:p>
      <w:pPr>
        <w:pStyle w:val="Heading3"/>
      </w:pPr>
      <w:r>
        <w:t>Data files</w:t>
      </w:r>
    </w:p>
    <w:p>
      <w:pPr>
        <w:spacing w:before="0" w:after="140" w:line="274" w:lineRule="auto"/>
        <w:jc w:val="left"/>
      </w:pPr>
      <w:r>
        <w:rPr>
          <w:rFonts w:ascii="Calibri" w:hAnsi="Calibri"/>
          <w:b w:val="0"/>
          <w:i w:val="0"/>
          <w:color w:val="1F2A28"/>
          <w:sz w:val="22"/>
        </w:rPr>
        <w:t>Your data file is ordinary JSON. It holds every course, your students, marks, documents and pools. It is readable text, so it will still open in twenty years, with or without this tool.</w:t>
      </w:r>
    </w:p>
    <w:p>
      <w:pPr>
        <w:pStyle w:val="Heading2"/>
      </w:pPr>
      <w:r>
        <w:t>27. Questions people ask</w:t>
      </w:r>
    </w:p>
    <w:p>
      <w:pPr>
        <w:spacing w:before="120" w:after="40" w:line="274" w:lineRule="auto"/>
        <w:jc w:val="left"/>
      </w:pPr>
      <w:r>
        <w:rPr>
          <w:rFonts w:ascii="Calibri" w:hAnsi="Calibri"/>
          <w:b/>
          <w:i w:val="0"/>
          <w:color w:val="083A32"/>
          <w:sz w:val="22"/>
        </w:rPr>
        <w:t>There is no Save button. Is my work safe?</w:t>
      </w:r>
    </w:p>
    <w:p>
      <w:pPr>
        <w:spacing w:before="0" w:after="80" w:line="274" w:lineRule="auto"/>
        <w:jc w:val="left"/>
      </w:pPr>
      <w:r>
        <w:rPr>
          <w:rFonts w:ascii="Calibri" w:hAnsi="Calibri"/>
          <w:b w:val="0"/>
          <w:i w:val="0"/>
          <w:color w:val="1F2A28"/>
          <w:sz w:val="22"/>
        </w:rPr>
        <w:t>Yes. Every field is written the moment you leave it. If you have linked a data file, it is written there too. Ctrl+S forces it immediately.</w:t>
      </w:r>
    </w:p>
    <w:p>
      <w:pPr>
        <w:spacing w:before="120" w:after="40" w:line="274" w:lineRule="auto"/>
        <w:jc w:val="left"/>
      </w:pPr>
      <w:r>
        <w:rPr>
          <w:rFonts w:ascii="Calibri" w:hAnsi="Calibri"/>
          <w:b/>
          <w:i w:val="0"/>
          <w:color w:val="083A32"/>
          <w:sz w:val="22"/>
        </w:rPr>
        <w:t>I closed the browser and it says the file is disconnected.</w:t>
      </w:r>
    </w:p>
    <w:p>
      <w:pPr>
        <w:spacing w:before="0" w:after="80" w:line="274" w:lineRule="auto"/>
        <w:jc w:val="left"/>
      </w:pPr>
      <w:r>
        <w:rPr>
          <w:rFonts w:ascii="Calibri" w:hAnsi="Calibri"/>
          <w:b w:val="0"/>
          <w:i w:val="0"/>
          <w:color w:val="1F2A28"/>
          <w:sz w:val="22"/>
        </w:rPr>
        <w:t>Press Reconnect once. Browsers ask for file permission again in each new session. It is a security rule, not a fault.</w:t>
      </w:r>
    </w:p>
    <w:p>
      <w:pPr>
        <w:spacing w:before="120" w:after="40" w:line="274" w:lineRule="auto"/>
        <w:jc w:val="left"/>
      </w:pPr>
      <w:r>
        <w:rPr>
          <w:rFonts w:ascii="Calibri" w:hAnsi="Calibri"/>
          <w:b/>
          <w:i w:val="0"/>
          <w:color w:val="083A32"/>
          <w:sz w:val="22"/>
        </w:rPr>
        <w:t>Can two of us work on the same course?</w:t>
      </w:r>
    </w:p>
    <w:p>
      <w:pPr>
        <w:spacing w:before="0" w:after="80" w:line="274" w:lineRule="auto"/>
        <w:jc w:val="left"/>
      </w:pPr>
      <w:r>
        <w:rPr>
          <w:rFonts w:ascii="Calibri" w:hAnsi="Calibri"/>
          <w:b w:val="0"/>
          <w:i w:val="0"/>
          <w:color w:val="1F2A28"/>
          <w:sz w:val="22"/>
        </w:rPr>
        <w:t>Yes, but not at the same moment. A synced folder keeps the last save and discards the other silently. Agree who holds the file.</w:t>
      </w:r>
    </w:p>
    <w:p>
      <w:pPr>
        <w:spacing w:before="120" w:after="40" w:line="274" w:lineRule="auto"/>
        <w:jc w:val="left"/>
      </w:pPr>
      <w:r>
        <w:rPr>
          <w:rFonts w:ascii="Calibri" w:hAnsi="Calibri"/>
          <w:b/>
          <w:i w:val="0"/>
          <w:color w:val="083A32"/>
          <w:sz w:val="22"/>
        </w:rPr>
        <w:t>Why is my attainment 0% when students clearly passed?</w:t>
      </w:r>
    </w:p>
    <w:p>
      <w:pPr>
        <w:spacing w:before="0" w:after="80" w:line="274" w:lineRule="auto"/>
        <w:jc w:val="left"/>
      </w:pPr>
      <w:r>
        <w:rPr>
          <w:rFonts w:ascii="Calibri" w:hAnsi="Calibri"/>
          <w:b w:val="0"/>
          <w:i w:val="0"/>
          <w:color w:val="1F2A28"/>
          <w:sz w:val="22"/>
        </w:rPr>
        <w:t>Almost always the marks are not tagged to any outcome. Check the Assessments summary for unmapped marks.</w:t>
      </w:r>
    </w:p>
    <w:p>
      <w:pPr>
        <w:spacing w:before="120" w:after="40" w:line="274" w:lineRule="auto"/>
        <w:jc w:val="left"/>
      </w:pPr>
      <w:r>
        <w:rPr>
          <w:rFonts w:ascii="Calibri" w:hAnsi="Calibri"/>
          <w:b/>
          <w:i w:val="0"/>
          <w:color w:val="083A32"/>
          <w:sz w:val="22"/>
        </w:rPr>
        <w:t>A question is flagged “WP expected”. Have I done something wrong?</w:t>
      </w:r>
    </w:p>
    <w:p>
      <w:pPr>
        <w:spacing w:before="0" w:after="80" w:line="274" w:lineRule="auto"/>
        <w:jc w:val="left"/>
      </w:pPr>
      <w:r>
        <w:rPr>
          <w:rFonts w:ascii="Calibri" w:hAnsi="Calibri"/>
          <w:b w:val="0"/>
          <w:i w:val="0"/>
          <w:color w:val="1F2A28"/>
          <w:sz w:val="22"/>
        </w:rPr>
        <w:t>No. It is a reminder that a question at this Bloom level often exercises a complex-problem attribute. Tag it, or decide it does not qualify and move on.</w:t>
      </w:r>
    </w:p>
    <w:p>
      <w:pPr>
        <w:spacing w:before="120" w:after="40" w:line="274" w:lineRule="auto"/>
        <w:jc w:val="left"/>
      </w:pPr>
      <w:r>
        <w:rPr>
          <w:rFonts w:ascii="Calibri" w:hAnsi="Calibri"/>
          <w:b/>
          <w:i w:val="0"/>
          <w:color w:val="083A32"/>
          <w:sz w:val="22"/>
        </w:rPr>
        <w:t>The tool says a CO claims an attribute with no evidence. What now?</w:t>
      </w:r>
    </w:p>
    <w:p>
      <w:pPr>
        <w:spacing w:before="0" w:after="80" w:line="274" w:lineRule="auto"/>
        <w:jc w:val="left"/>
      </w:pPr>
      <w:r>
        <w:rPr>
          <w:rFonts w:ascii="Calibri" w:hAnsi="Calibri"/>
          <w:b w:val="0"/>
          <w:i w:val="0"/>
          <w:color w:val="1F2A28"/>
          <w:sz w:val="22"/>
        </w:rPr>
        <w:t>Two honest options. Tag an assessment item that really does exercise it, or untick the claim in §14. Do not leave it claimed and unevidenced.</w:t>
      </w:r>
    </w:p>
    <w:p>
      <w:pPr>
        <w:spacing w:before="120" w:after="40" w:line="274" w:lineRule="auto"/>
        <w:jc w:val="left"/>
      </w:pPr>
      <w:r>
        <w:rPr>
          <w:rFonts w:ascii="Calibri" w:hAnsi="Calibri"/>
          <w:b/>
          <w:i w:val="0"/>
          <w:color w:val="083A32"/>
          <w:sz w:val="22"/>
        </w:rPr>
        <w:t>Can I change a CO the committee already approved?</w:t>
      </w:r>
    </w:p>
    <w:p>
      <w:pPr>
        <w:spacing w:before="0" w:after="80" w:line="274" w:lineRule="auto"/>
        <w:jc w:val="left"/>
      </w:pPr>
      <w:r>
        <w:rPr>
          <w:rFonts w:ascii="Calibri" w:hAnsi="Calibri"/>
          <w:b w:val="0"/>
          <w:i w:val="0"/>
          <w:color w:val="1F2A28"/>
          <w:sz w:val="22"/>
        </w:rPr>
        <w:t>Not directly, and the tool will not do it for you. Use the CO Modification Request Form so the change is dated, reasoned and approved.</w:t>
      </w:r>
    </w:p>
    <w:p>
      <w:pPr>
        <w:spacing w:before="120" w:after="40" w:line="274" w:lineRule="auto"/>
        <w:jc w:val="left"/>
      </w:pPr>
      <w:r>
        <w:rPr>
          <w:rFonts w:ascii="Calibri" w:hAnsi="Calibri"/>
          <w:b/>
          <w:i w:val="0"/>
          <w:color w:val="083A32"/>
          <w:sz w:val="22"/>
        </w:rPr>
        <w:t>Do I have to use the Sustainable Development Goals?</w:t>
      </w:r>
    </w:p>
    <w:p>
      <w:pPr>
        <w:spacing w:before="0" w:after="80" w:line="274" w:lineRule="auto"/>
        <w:jc w:val="left"/>
      </w:pPr>
      <w:r>
        <w:rPr>
          <w:rFonts w:ascii="Calibri" w:hAnsi="Calibri"/>
          <w:b w:val="0"/>
          <w:i w:val="0"/>
          <w:color w:val="1F2A28"/>
          <w:sz w:val="22"/>
        </w:rPr>
        <w:t>Only on a Version 3 course, where the criteria ask for them. On a Version 2.2 course the feature is hidden.</w:t>
      </w:r>
    </w:p>
    <w:p>
      <w:pPr>
        <w:spacing w:before="120" w:after="40" w:line="274" w:lineRule="auto"/>
        <w:jc w:val="left"/>
      </w:pPr>
      <w:r>
        <w:rPr>
          <w:rFonts w:ascii="Calibri" w:hAnsi="Calibri"/>
          <w:b/>
          <w:i w:val="0"/>
          <w:color w:val="083A32"/>
          <w:sz w:val="22"/>
        </w:rPr>
        <w:t>My university is not the one in the letterhead.</w:t>
      </w:r>
    </w:p>
    <w:p>
      <w:pPr>
        <w:spacing w:before="0" w:after="80" w:line="274" w:lineRule="auto"/>
        <w:jc w:val="left"/>
      </w:pPr>
      <w:r>
        <w:rPr>
          <w:rFonts w:ascii="Calibri" w:hAnsi="Calibri"/>
          <w:b w:val="0"/>
          <w:i w:val="0"/>
          <w:color w:val="1F2A28"/>
          <w:sz w:val="22"/>
        </w:rPr>
        <w:t>Open the Setup Section and change it. Name, address, logo and signatory titles are all yours to set.</w:t>
      </w:r>
    </w:p>
    <w:p>
      <w:pPr>
        <w:spacing w:before="120" w:after="40" w:line="274" w:lineRule="auto"/>
        <w:jc w:val="left"/>
      </w:pPr>
      <w:r>
        <w:rPr>
          <w:rFonts w:ascii="Calibri" w:hAnsi="Calibri"/>
          <w:b/>
          <w:i w:val="0"/>
          <w:color w:val="083A32"/>
          <w:sz w:val="22"/>
        </w:rPr>
        <w:t>Where did the demonstration courses go?</w:t>
      </w:r>
    </w:p>
    <w:p>
      <w:pPr>
        <w:spacing w:before="0" w:after="80" w:line="274" w:lineRule="auto"/>
        <w:jc w:val="left"/>
      </w:pPr>
      <w:r>
        <w:rPr>
          <w:rFonts w:ascii="Calibri" w:hAnsi="Calibri"/>
          <w:b w:val="0"/>
          <w:i w:val="0"/>
          <w:color w:val="1F2A28"/>
          <w:sz w:val="22"/>
        </w:rPr>
        <w:t>They are in Data &amp; Backup → File &amp; Backups, and they can be removed there in one click without touching your own courses.</w:t>
      </w:r>
    </w:p>
    <w:p>
      <w:pPr>
        <w:spacing w:before="120" w:after="40" w:line="274" w:lineRule="auto"/>
        <w:jc w:val="left"/>
      </w:pPr>
      <w:r>
        <w:rPr>
          <w:rFonts w:ascii="Calibri" w:hAnsi="Calibri"/>
          <w:b/>
          <w:i w:val="0"/>
          <w:color w:val="083A32"/>
          <w:sz w:val="22"/>
        </w:rPr>
        <w:t>Is any of my data sent anywhere?</w:t>
      </w:r>
    </w:p>
    <w:p>
      <w:pPr>
        <w:spacing w:before="0" w:after="80" w:line="274" w:lineRule="auto"/>
        <w:jc w:val="left"/>
      </w:pPr>
      <w:r>
        <w:rPr>
          <w:rFonts w:ascii="Calibri" w:hAnsi="Calibri"/>
          <w:b w:val="0"/>
          <w:i w:val="0"/>
          <w:color w:val="1F2A28"/>
          <w:sz w:val="22"/>
        </w:rPr>
        <w:t>No. There is no server. The only thing fetched from the internet is the charting library, once.</w:t>
      </w:r>
    </w:p>
    <w:p>
      <w:pPr>
        <w:spacing w:before="120" w:after="40" w:line="274" w:lineRule="auto"/>
        <w:jc w:val="left"/>
      </w:pPr>
      <w:r>
        <w:rPr>
          <w:rFonts w:ascii="Calibri" w:hAnsi="Calibri"/>
          <w:b/>
          <w:i w:val="0"/>
          <w:color w:val="083A32"/>
          <w:sz w:val="22"/>
        </w:rPr>
        <w:t>What happens to my old Version 2.2 courses?</w:t>
      </w:r>
    </w:p>
    <w:p>
      <w:pPr>
        <w:spacing w:before="0" w:after="80" w:line="274" w:lineRule="auto"/>
        <w:jc w:val="left"/>
      </w:pPr>
      <w:r>
        <w:rPr>
          <w:rFonts w:ascii="Calibri" w:hAnsi="Calibri"/>
          <w:b w:val="0"/>
          <w:i w:val="0"/>
          <w:color w:val="1F2A28"/>
          <w:sz w:val="22"/>
        </w:rPr>
        <w:t>Nothing. Leave them exactly as approved. They stay reportable under Version 2.2, which is what students assessed under it require.</w:t>
      </w:r>
    </w:p>
    <w:p>
      <w:pPr>
        <w:pStyle w:val="Heading2"/>
      </w:pPr>
      <w:r>
        <w:t>28. Where to get help</w:t>
      </w:r>
    </w:p>
    <w:tbl>
      <w:tblPr>
        <w:tblStyle w:val="TableGrid"/>
        <w:tblW w:type="auto" w:w="0"/>
        <w:jc w:val="center"/>
        <w:tblLook w:firstColumn="1" w:firstRow="1" w:lastColumn="0" w:lastRow="0" w:noHBand="0" w:noVBand="1" w:val="04A0"/>
      </w:tblPr>
      <w:tblGrid>
        <w:gridCol w:w="4752"/>
        <w:gridCol w:w="4752"/>
      </w:tblGrid>
      <w:tr>
        <w:trPr>
          <w:tblHeader w:val="true"/>
        </w:trPr>
        <w:tc>
          <w:tcPr>
            <w:tcW w:type="dxa" w:w="3312"/>
            <w:shd w:val="clear" w:color="auto" w:fill="E9F3EF"/>
          </w:tcPr>
          <w:p>
            <w:pPr>
              <w:spacing w:before="40" w:after="40" w:line="259" w:lineRule="auto"/>
            </w:pPr>
            <w:r>
              <w:rPr>
                <w:rFonts w:ascii="Calibri" w:hAnsi="Calibri"/>
                <w:b/>
                <w:color w:val="083A32"/>
                <w:sz w:val="19"/>
              </w:rPr>
              <w:t>Where</w:t>
            </w:r>
          </w:p>
        </w:tc>
        <w:tc>
          <w:tcPr>
            <w:tcW w:type="dxa" w:w="6192"/>
            <w:shd w:val="clear" w:color="auto" w:fill="E9F3EF"/>
          </w:tcPr>
          <w:p>
            <w:pPr>
              <w:spacing w:before="40" w:after="40" w:line="259" w:lineRule="auto"/>
            </w:pPr>
            <w:r>
              <w:rPr>
                <w:rFonts w:ascii="Calibri" w:hAnsi="Calibri"/>
                <w:b/>
                <w:color w:val="083A32"/>
                <w:sz w:val="19"/>
              </w:rPr>
              <w:t>What you get</w:t>
            </w:r>
          </w:p>
        </w:tc>
      </w:tr>
      <w:tr>
        <w:tc>
          <w:tcPr>
            <w:tcW w:type="dxa" w:w="3312"/>
          </w:tcPr>
          <w:p>
            <w:pPr>
              <w:spacing w:before="40" w:after="40" w:line="259" w:lineRule="auto"/>
            </w:pPr>
            <w:r>
              <w:rPr>
                <w:rFonts w:ascii="Calibri" w:hAnsi="Calibri"/>
                <w:b w:val="0"/>
                <w:color w:val="1F2A28"/>
                <w:sz w:val="19"/>
              </w:rPr>
              <w:t>The guidance card in each Section</w:t>
            </w:r>
          </w:p>
        </w:tc>
        <w:tc>
          <w:tcPr>
            <w:tcW w:type="dxa" w:w="6192"/>
          </w:tcPr>
          <w:p>
            <w:pPr>
              <w:spacing w:before="40" w:after="40" w:line="259" w:lineRule="auto"/>
            </w:pPr>
            <w:r>
              <w:rPr>
                <w:rFonts w:ascii="Calibri" w:hAnsi="Calibri"/>
                <w:b w:val="0"/>
                <w:color w:val="1F2A28"/>
                <w:sz w:val="19"/>
              </w:rPr>
              <w:t>What goes in, what you do, what comes out — with the sources it relies on</w:t>
            </w:r>
          </w:p>
        </w:tc>
      </w:tr>
      <w:tr>
        <w:tc>
          <w:tcPr>
            <w:tcW w:type="dxa" w:w="3312"/>
          </w:tcPr>
          <w:p>
            <w:pPr>
              <w:spacing w:before="40" w:after="40" w:line="259" w:lineRule="auto"/>
            </w:pPr>
            <w:r>
              <w:rPr>
                <w:rFonts w:ascii="Calibri" w:hAnsi="Calibri"/>
                <w:b w:val="0"/>
                <w:color w:val="1F2A28"/>
                <w:sz w:val="19"/>
              </w:rPr>
              <w:t>The About Section</w:t>
            </w:r>
          </w:p>
        </w:tc>
        <w:tc>
          <w:tcPr>
            <w:tcW w:type="dxa" w:w="6192"/>
          </w:tcPr>
          <w:p>
            <w:pPr>
              <w:spacing w:before="40" w:after="40" w:line="259" w:lineRule="auto"/>
            </w:pPr>
            <w:r>
              <w:rPr>
                <w:rFonts w:ascii="Calibri" w:hAnsi="Calibri"/>
                <w:b w:val="0"/>
                <w:color w:val="1F2A28"/>
                <w:sz w:val="19"/>
              </w:rPr>
              <w:t>Why each feature works the way it does, with 31 cited references</w:t>
            </w:r>
          </w:p>
        </w:tc>
      </w:tr>
      <w:tr>
        <w:tc>
          <w:tcPr>
            <w:tcW w:type="dxa" w:w="3312"/>
          </w:tcPr>
          <w:p>
            <w:pPr>
              <w:spacing w:before="40" w:after="40" w:line="259" w:lineRule="auto"/>
            </w:pPr>
            <w:r>
              <w:rPr>
                <w:rFonts w:ascii="Calibri" w:hAnsi="Calibri"/>
                <w:b w:val="0"/>
                <w:color w:val="1F2A28"/>
                <w:sz w:val="19"/>
              </w:rPr>
              <w:t>Demonstration courses</w:t>
            </w:r>
          </w:p>
        </w:tc>
        <w:tc>
          <w:tcPr>
            <w:tcW w:type="dxa" w:w="6192"/>
          </w:tcPr>
          <w:p>
            <w:pPr>
              <w:spacing w:before="40" w:after="40" w:line="259" w:lineRule="auto"/>
            </w:pPr>
            <w:r>
              <w:rPr>
                <w:rFonts w:ascii="Calibri" w:hAnsi="Calibri"/>
                <w:b w:val="0"/>
                <w:color w:val="1F2A28"/>
                <w:sz w:val="19"/>
              </w:rPr>
              <w:t>Two courses, both framework versions, three offerings each — a complete worked example</w:t>
            </w:r>
          </w:p>
        </w:tc>
      </w:tr>
      <w:tr>
        <w:tc>
          <w:tcPr>
            <w:tcW w:type="dxa" w:w="3312"/>
          </w:tcPr>
          <w:p>
            <w:pPr>
              <w:spacing w:before="40" w:after="40" w:line="259" w:lineRule="auto"/>
            </w:pPr>
            <w:r>
              <w:rPr>
                <w:rFonts w:ascii="Calibri" w:hAnsi="Calibri"/>
                <w:b w:val="0"/>
                <w:color w:val="1F2A28"/>
                <w:sz w:val="19"/>
              </w:rPr>
              <w:t>Attainment Calculation Methodology</w:t>
            </w:r>
          </w:p>
        </w:tc>
        <w:tc>
          <w:tcPr>
            <w:tcW w:type="dxa" w:w="6192"/>
          </w:tcPr>
          <w:p>
            <w:pPr>
              <w:spacing w:before="40" w:after="40" w:line="259" w:lineRule="auto"/>
            </w:pPr>
            <w:r>
              <w:rPr>
                <w:rFonts w:ascii="Calibri" w:hAnsi="Calibri"/>
                <w:b w:val="0"/>
                <w:color w:val="1F2A28"/>
                <w:sz w:val="19"/>
              </w:rPr>
              <w:t>The full algebra with worked examples</w:t>
            </w:r>
          </w:p>
        </w:tc>
      </w:tr>
      <w:tr>
        <w:tc>
          <w:tcPr>
            <w:tcW w:type="dxa" w:w="3312"/>
          </w:tcPr>
          <w:p>
            <w:pPr>
              <w:spacing w:before="40" w:after="40" w:line="259" w:lineRule="auto"/>
            </w:pPr>
            <w:r>
              <w:rPr>
                <w:rFonts w:ascii="Calibri" w:hAnsi="Calibri"/>
                <w:b w:val="0"/>
                <w:color w:val="1F2A28"/>
                <w:sz w:val="19"/>
              </w:rPr>
              <w:t>README and change log</w:t>
            </w:r>
          </w:p>
        </w:tc>
        <w:tc>
          <w:tcPr>
            <w:tcW w:type="dxa" w:w="6192"/>
          </w:tcPr>
          <w:p>
            <w:pPr>
              <w:spacing w:before="40" w:after="40" w:line="259" w:lineRule="auto"/>
            </w:pPr>
            <w:r>
              <w:rPr>
                <w:rFonts w:ascii="Calibri" w:hAnsi="Calibri"/>
                <w:b w:val="0"/>
                <w:color w:val="1F2A28"/>
                <w:sz w:val="19"/>
              </w:rPr>
              <w:t>Setup, hosting, and the history of every feature</w:t>
            </w:r>
          </w:p>
        </w:tc>
      </w:tr>
      <w:tr>
        <w:tc>
          <w:tcPr>
            <w:tcW w:type="dxa" w:w="3312"/>
          </w:tcPr>
          <w:p>
            <w:pPr>
              <w:spacing w:before="40" w:after="40" w:line="259" w:lineRule="auto"/>
            </w:pPr>
            <w:r>
              <w:rPr>
                <w:rFonts w:ascii="Calibri" w:hAnsi="Calibri"/>
                <w:b w:val="0"/>
                <w:color w:val="1F2A28"/>
                <w:sz w:val="19"/>
              </w:rPr>
              <w:t>mazharul.islam.mpe@aust.edu</w:t>
            </w:r>
          </w:p>
        </w:tc>
        <w:tc>
          <w:tcPr>
            <w:tcW w:type="dxa" w:w="6192"/>
          </w:tcPr>
          <w:p>
            <w:pPr>
              <w:spacing w:before="40" w:after="40" w:line="259" w:lineRule="auto"/>
            </w:pPr>
            <w:r>
              <w:rPr>
                <w:rFonts w:ascii="Calibri" w:hAnsi="Calibri"/>
                <w:b w:val="0"/>
                <w:color w:val="1F2A28"/>
                <w:sz w:val="19"/>
              </w:rPr>
              <w:t>Comments, questions and suggestions</w:t>
            </w:r>
          </w:p>
        </w:tc>
      </w:tr>
    </w:tbl>
    <w:p>
      <w:pPr>
        <w:spacing w:before="0" w:after="80" w:line="274" w:lineRule="auto"/>
        <w:jc w:val="left"/>
      </w:pPr>
    </w:p>
    <w:p>
      <w:r>
        <w:br w:type="page"/>
      </w:r>
    </w:p>
    <w:p>
      <w:pPr>
        <w:pStyle w:val="Heading1"/>
      </w:pPr>
      <w:r>
        <w:t>Appendix A — the teaching and learning activity pool</w:t>
      </w:r>
    </w:p>
    <w:p>
      <w:pPr>
        <w:spacing w:before="0" w:after="140" w:line="274" w:lineRule="auto"/>
        <w:jc w:val="left"/>
      </w:pPr>
      <w:r>
        <w:rPr>
          <w:rFonts w:ascii="Calibri" w:hAnsi="Calibri"/>
          <w:b w:val="0"/>
          <w:i w:val="0"/>
          <w:color w:val="1F2A28"/>
          <w:sz w:val="22"/>
        </w:rPr>
        <w:t>The tool suggests activities from this pool, ranked against the Bloom level of the outcome you are planning for. You may add your own; the pool is shared across your courses.</w:t>
      </w:r>
    </w:p>
    <w:p>
      <w:pPr>
        <w:spacing w:before="0" w:after="140" w:line="274" w:lineRule="auto"/>
        <w:jc w:val="left"/>
      </w:pPr>
      <w:r>
        <w:rPr>
          <w:rFonts w:ascii="Calibri" w:hAnsi="Calibri"/>
          <w:b w:val="0"/>
          <w:i/>
          <w:color w:val="5C6B68"/>
          <w:sz w:val="22"/>
        </w:rPr>
        <w:t>Bloom levels are shown as the range the activity suits best.</w:t>
      </w:r>
    </w:p>
    <w:tbl>
      <w:tblPr>
        <w:tblStyle w:val="TableGrid"/>
        <w:tblW w:type="auto" w:w="0"/>
        <w:jc w:val="center"/>
        <w:tblLook w:firstColumn="1" w:firstRow="1" w:lastColumn="0" w:lastRow="0" w:noHBand="0" w:noVBand="1" w:val="04A0"/>
      </w:tblPr>
      <w:tblGrid>
        <w:gridCol w:w="2376"/>
        <w:gridCol w:w="2376"/>
        <w:gridCol w:w="2376"/>
        <w:gridCol w:w="2376"/>
      </w:tblGrid>
      <w:tr>
        <w:trPr>
          <w:tblHeader w:val="true"/>
        </w:trPr>
        <w:tc>
          <w:tcPr>
            <w:tcW w:type="dxa" w:w="1944"/>
            <w:shd w:val="clear" w:color="auto" w:fill="E9F3EF"/>
          </w:tcPr>
          <w:p>
            <w:pPr>
              <w:spacing w:before="40" w:after="40" w:line="259" w:lineRule="auto"/>
            </w:pPr>
            <w:r>
              <w:rPr>
                <w:rFonts w:ascii="Calibri" w:hAnsi="Calibri"/>
                <w:b/>
                <w:color w:val="083A32"/>
                <w:sz w:val="17"/>
              </w:rPr>
              <w:t>Activity</w:t>
            </w:r>
          </w:p>
        </w:tc>
        <w:tc>
          <w:tcPr>
            <w:tcW w:type="dxa" w:w="792"/>
            <w:shd w:val="clear" w:color="auto" w:fill="E9F3EF"/>
          </w:tcPr>
          <w:p>
            <w:pPr>
              <w:spacing w:before="40" w:after="40" w:line="259" w:lineRule="auto"/>
            </w:pPr>
            <w:r>
              <w:rPr>
                <w:rFonts w:ascii="Calibri" w:hAnsi="Calibri"/>
                <w:b/>
                <w:color w:val="083A32"/>
                <w:sz w:val="17"/>
              </w:rPr>
              <w:t>Bloom</w:t>
            </w:r>
          </w:p>
        </w:tc>
        <w:tc>
          <w:tcPr>
            <w:tcW w:type="dxa" w:w="3312"/>
            <w:shd w:val="clear" w:color="auto" w:fill="E9F3EF"/>
          </w:tcPr>
          <w:p>
            <w:pPr>
              <w:spacing w:before="40" w:after="40" w:line="259" w:lineRule="auto"/>
            </w:pPr>
            <w:r>
              <w:rPr>
                <w:rFonts w:ascii="Calibri" w:hAnsi="Calibri"/>
                <w:b/>
                <w:color w:val="083A32"/>
                <w:sz w:val="17"/>
              </w:rPr>
              <w:t>What it is</w:t>
            </w:r>
          </w:p>
        </w:tc>
        <w:tc>
          <w:tcPr>
            <w:tcW w:type="dxa" w:w="3456"/>
            <w:shd w:val="clear" w:color="auto" w:fill="E9F3EF"/>
          </w:tcPr>
          <w:p>
            <w:pPr>
              <w:spacing w:before="40" w:after="40" w:line="259" w:lineRule="auto"/>
            </w:pPr>
            <w:r>
              <w:rPr>
                <w:rFonts w:ascii="Calibri" w:hAnsi="Calibri"/>
                <w:b/>
                <w:color w:val="083A32"/>
                <w:sz w:val="17"/>
              </w:rPr>
              <w:t>Why it is in the pool</w:t>
            </w:r>
          </w:p>
        </w:tc>
      </w:tr>
      <w:tr>
        <w:tc>
          <w:tcPr>
            <w:tcW w:type="dxa" w:w="1944"/>
          </w:tcPr>
          <w:p>
            <w:pPr>
              <w:spacing w:before="40" w:after="40" w:line="259" w:lineRule="auto"/>
            </w:pPr>
            <w:r>
              <w:rPr>
                <w:rFonts w:ascii="Calibri" w:hAnsi="Calibri"/>
                <w:b w:val="0"/>
                <w:color w:val="1F2A28"/>
                <w:sz w:val="17"/>
              </w:rPr>
              <w:t>BOPPPS-structured lecture</w:t>
            </w:r>
          </w:p>
        </w:tc>
        <w:tc>
          <w:tcPr>
            <w:tcW w:type="dxa" w:w="792"/>
          </w:tcPr>
          <w:p>
            <w:pPr>
              <w:spacing w:before="40" w:after="40" w:line="259" w:lineRule="auto"/>
            </w:pPr>
            <w:r>
              <w:rPr>
                <w:rFonts w:ascii="Calibri" w:hAnsi="Calibri"/>
                <w:b w:val="0"/>
                <w:color w:val="1F2A28"/>
                <w:sz w:val="17"/>
              </w:rPr>
              <w:t>C1–C4</w:t>
            </w:r>
          </w:p>
        </w:tc>
        <w:tc>
          <w:tcPr>
            <w:tcW w:type="dxa" w:w="3312"/>
          </w:tcPr>
          <w:p>
            <w:pPr>
              <w:spacing w:before="40" w:after="40" w:line="259" w:lineRule="auto"/>
            </w:pPr>
            <w:r>
              <w:rPr>
                <w:rFonts w:ascii="Calibri" w:hAnsi="Calibri"/>
                <w:b w:val="0"/>
                <w:color w:val="1F2A28"/>
                <w:sz w:val="17"/>
              </w:rPr>
              <w:t>Lecture organized as Bridge-in, Objectives, Pre-assessment, Participatory learning, Post-assessment, Summary — keeps interactive checkpoints in every session.</w:t>
            </w:r>
          </w:p>
        </w:tc>
        <w:tc>
          <w:tcPr>
            <w:tcW w:type="dxa" w:w="3456"/>
          </w:tcPr>
          <w:p>
            <w:pPr>
              <w:spacing w:before="40" w:after="40" w:line="259" w:lineRule="auto"/>
            </w:pPr>
            <w:r>
              <w:rPr>
                <w:rFonts w:ascii="Calibri" w:hAnsi="Calibri"/>
                <w:b w:val="0"/>
                <w:color w:val="1F2A28"/>
                <w:sz w:val="17"/>
              </w:rPr>
              <w:t>The ISW (Instructional Skills Workshop) model; embeds outcomes and formative checks in every session — a direct enactment of constructive alignment.</w:t>
            </w:r>
          </w:p>
        </w:tc>
      </w:tr>
      <w:tr>
        <w:tc>
          <w:tcPr>
            <w:tcW w:type="dxa" w:w="1944"/>
          </w:tcPr>
          <w:p>
            <w:pPr>
              <w:spacing w:before="40" w:after="40" w:line="259" w:lineRule="auto"/>
            </w:pPr>
            <w:r>
              <w:rPr>
                <w:rFonts w:ascii="Calibri" w:hAnsi="Calibri"/>
                <w:b w:val="0"/>
                <w:color w:val="1F2A28"/>
                <w:sz w:val="17"/>
              </w:rPr>
              <w:t>Flipped classroom</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Students study recorded lectures/readings at home; class time is used for problem solving and discussion.</w:t>
            </w:r>
          </w:p>
        </w:tc>
        <w:tc>
          <w:tcPr>
            <w:tcW w:type="dxa" w:w="3456"/>
          </w:tcPr>
          <w:p>
            <w:pPr>
              <w:spacing w:before="40" w:after="40" w:line="259" w:lineRule="auto"/>
            </w:pPr>
            <w:r>
              <w:rPr>
                <w:rFonts w:ascii="Calibri" w:hAnsi="Calibri"/>
                <w:b w:val="0"/>
                <w:color w:val="1F2A28"/>
                <w:sz w:val="17"/>
              </w:rPr>
              <w:t>Frees contact hours for higher-order work; meta-analyses report improved achievement when in-class time is used for active problem solving.</w:t>
            </w:r>
          </w:p>
        </w:tc>
      </w:tr>
      <w:tr>
        <w:tc>
          <w:tcPr>
            <w:tcW w:type="dxa" w:w="1944"/>
          </w:tcPr>
          <w:p>
            <w:pPr>
              <w:spacing w:before="40" w:after="40" w:line="259" w:lineRule="auto"/>
            </w:pPr>
            <w:r>
              <w:rPr>
                <w:rFonts w:ascii="Calibri" w:hAnsi="Calibri"/>
                <w:b w:val="0"/>
                <w:color w:val="1F2A28"/>
                <w:sz w:val="17"/>
              </w:rPr>
              <w:t>Think-pair-share</w:t>
            </w:r>
          </w:p>
        </w:tc>
        <w:tc>
          <w:tcPr>
            <w:tcW w:type="dxa" w:w="792"/>
          </w:tcPr>
          <w:p>
            <w:pPr>
              <w:spacing w:before="40" w:after="40" w:line="259" w:lineRule="auto"/>
            </w:pPr>
            <w:r>
              <w:rPr>
                <w:rFonts w:ascii="Calibri" w:hAnsi="Calibri"/>
                <w:b w:val="0"/>
                <w:color w:val="1F2A28"/>
                <w:sz w:val="17"/>
              </w:rPr>
              <w:t>C2–C4</w:t>
            </w:r>
          </w:p>
        </w:tc>
        <w:tc>
          <w:tcPr>
            <w:tcW w:type="dxa" w:w="3312"/>
          </w:tcPr>
          <w:p>
            <w:pPr>
              <w:spacing w:before="40" w:after="40" w:line="259" w:lineRule="auto"/>
            </w:pPr>
            <w:r>
              <w:rPr>
                <w:rFonts w:ascii="Calibri" w:hAnsi="Calibri"/>
                <w:b w:val="0"/>
                <w:color w:val="1F2A28"/>
                <w:sz w:val="17"/>
              </w:rPr>
              <w:t>Pose a question; students think individually, discuss in pairs, then share with the class.</w:t>
            </w:r>
          </w:p>
        </w:tc>
        <w:tc>
          <w:tcPr>
            <w:tcW w:type="dxa" w:w="3456"/>
          </w:tcPr>
          <w:p>
            <w:pPr>
              <w:spacing w:before="40" w:after="40" w:line="259" w:lineRule="auto"/>
            </w:pPr>
            <w:r>
              <w:rPr>
                <w:rFonts w:ascii="Calibri" w:hAnsi="Calibri"/>
                <w:b w:val="0"/>
                <w:color w:val="1F2A28"/>
                <w:sz w:val="17"/>
              </w:rPr>
              <w:t>Low-preparation interactive engagement; increases participation in large classes and surfaces misconceptions early.</w:t>
            </w:r>
          </w:p>
        </w:tc>
      </w:tr>
      <w:tr>
        <w:tc>
          <w:tcPr>
            <w:tcW w:type="dxa" w:w="1944"/>
          </w:tcPr>
          <w:p>
            <w:pPr>
              <w:spacing w:before="40" w:after="40" w:line="259" w:lineRule="auto"/>
            </w:pPr>
            <w:r>
              <w:rPr>
                <w:rFonts w:ascii="Calibri" w:hAnsi="Calibri"/>
                <w:b w:val="0"/>
                <w:color w:val="1F2A28"/>
                <w:sz w:val="17"/>
              </w:rPr>
              <w:t>Peer instruction with concept questions</w:t>
            </w:r>
          </w:p>
        </w:tc>
        <w:tc>
          <w:tcPr>
            <w:tcW w:type="dxa" w:w="792"/>
          </w:tcPr>
          <w:p>
            <w:pPr>
              <w:spacing w:before="40" w:after="40" w:line="259" w:lineRule="auto"/>
            </w:pPr>
            <w:r>
              <w:rPr>
                <w:rFonts w:ascii="Calibri" w:hAnsi="Calibri"/>
                <w:b w:val="0"/>
                <w:color w:val="1F2A28"/>
                <w:sz w:val="17"/>
              </w:rPr>
              <w:t>C2–C3</w:t>
            </w:r>
          </w:p>
        </w:tc>
        <w:tc>
          <w:tcPr>
            <w:tcW w:type="dxa" w:w="3312"/>
          </w:tcPr>
          <w:p>
            <w:pPr>
              <w:spacing w:before="40" w:after="40" w:line="259" w:lineRule="auto"/>
            </w:pPr>
            <w:r>
              <w:rPr>
                <w:rFonts w:ascii="Calibri" w:hAnsi="Calibri"/>
                <w:b w:val="0"/>
                <w:color w:val="1F2A28"/>
                <w:sz w:val="17"/>
              </w:rPr>
              <w:t>Conceptual MCQs answered individually, then re-answered after peer discussion (clickers or show of hands).</w:t>
            </w:r>
          </w:p>
        </w:tc>
        <w:tc>
          <w:tcPr>
            <w:tcW w:type="dxa" w:w="3456"/>
          </w:tcPr>
          <w:p>
            <w:pPr>
              <w:spacing w:before="40" w:after="40" w:line="259" w:lineRule="auto"/>
            </w:pPr>
            <w:r>
              <w:rPr>
                <w:rFonts w:ascii="Calibri" w:hAnsi="Calibri"/>
                <w:b w:val="0"/>
                <w:color w:val="1F2A28"/>
                <w:sz w:val="17"/>
              </w:rPr>
              <w:t>Mazur's peer instruction; documented large gains in conceptual understanding, scalable to large classes.</w:t>
            </w:r>
          </w:p>
        </w:tc>
      </w:tr>
      <w:tr>
        <w:tc>
          <w:tcPr>
            <w:tcW w:type="dxa" w:w="1944"/>
          </w:tcPr>
          <w:p>
            <w:pPr>
              <w:spacing w:before="40" w:after="40" w:line="259" w:lineRule="auto"/>
            </w:pPr>
            <w:r>
              <w:rPr>
                <w:rFonts w:ascii="Calibri" w:hAnsi="Calibri"/>
                <w:b w:val="0"/>
                <w:color w:val="1F2A28"/>
                <w:sz w:val="17"/>
              </w:rPr>
              <w:t>One-minute paper</w:t>
            </w:r>
          </w:p>
        </w:tc>
        <w:tc>
          <w:tcPr>
            <w:tcW w:type="dxa" w:w="792"/>
          </w:tcPr>
          <w:p>
            <w:pPr>
              <w:spacing w:before="40" w:after="40" w:line="259" w:lineRule="auto"/>
            </w:pPr>
            <w:r>
              <w:rPr>
                <w:rFonts w:ascii="Calibri" w:hAnsi="Calibri"/>
                <w:b w:val="0"/>
                <w:color w:val="1F2A28"/>
                <w:sz w:val="17"/>
              </w:rPr>
              <w:t>C1–C2</w:t>
            </w:r>
          </w:p>
        </w:tc>
        <w:tc>
          <w:tcPr>
            <w:tcW w:type="dxa" w:w="3312"/>
          </w:tcPr>
          <w:p>
            <w:pPr>
              <w:spacing w:before="40" w:after="40" w:line="259" w:lineRule="auto"/>
            </w:pPr>
            <w:r>
              <w:rPr>
                <w:rFonts w:ascii="Calibri" w:hAnsi="Calibri"/>
                <w:b w:val="0"/>
                <w:color w:val="1F2A28"/>
                <w:sz w:val="17"/>
              </w:rPr>
              <w:t>Students write for one minute on the key point or muddiest point of the session — quick formative feedback.</w:t>
            </w:r>
          </w:p>
        </w:tc>
        <w:tc>
          <w:tcPr>
            <w:tcW w:type="dxa" w:w="3456"/>
          </w:tcPr>
          <w:p>
            <w:pPr>
              <w:spacing w:before="40" w:after="40" w:line="259" w:lineRule="auto"/>
            </w:pPr>
            <w:r>
              <w:rPr>
                <w:rFonts w:ascii="Calibri" w:hAnsi="Calibri"/>
                <w:b w:val="0"/>
                <w:color w:val="1F2A28"/>
                <w:sz w:val="17"/>
              </w:rPr>
              <w:t>Classic classroom assessment technique (Angelo &amp; Cross); fast formative feedback loop for the teacher.</w:t>
            </w:r>
          </w:p>
        </w:tc>
      </w:tr>
      <w:tr>
        <w:tc>
          <w:tcPr>
            <w:tcW w:type="dxa" w:w="1944"/>
          </w:tcPr>
          <w:p>
            <w:pPr>
              <w:spacing w:before="40" w:after="40" w:line="259" w:lineRule="auto"/>
            </w:pPr>
            <w:r>
              <w:rPr>
                <w:rFonts w:ascii="Calibri" w:hAnsi="Calibri"/>
                <w:b w:val="0"/>
                <w:color w:val="1F2A28"/>
                <w:sz w:val="17"/>
              </w:rPr>
              <w:t>Recall quiz with feedback</w:t>
            </w:r>
          </w:p>
        </w:tc>
        <w:tc>
          <w:tcPr>
            <w:tcW w:type="dxa" w:w="792"/>
          </w:tcPr>
          <w:p>
            <w:pPr>
              <w:spacing w:before="40" w:after="40" w:line="259" w:lineRule="auto"/>
            </w:pPr>
            <w:r>
              <w:rPr>
                <w:rFonts w:ascii="Calibri" w:hAnsi="Calibri"/>
                <w:b w:val="0"/>
                <w:color w:val="1F2A28"/>
                <w:sz w:val="17"/>
              </w:rPr>
              <w:t>C1–C2</w:t>
            </w:r>
          </w:p>
        </w:tc>
        <w:tc>
          <w:tcPr>
            <w:tcW w:type="dxa" w:w="3312"/>
          </w:tcPr>
          <w:p>
            <w:pPr>
              <w:spacing w:before="40" w:after="40" w:line="259" w:lineRule="auto"/>
            </w:pPr>
            <w:r>
              <w:rPr>
                <w:rFonts w:ascii="Calibri" w:hAnsi="Calibri"/>
                <w:b w:val="0"/>
                <w:color w:val="1F2A28"/>
                <w:sz w:val="17"/>
              </w:rPr>
              <w:t>Short low-stakes quiz at the start/end of class with immediate feedback to consolidate memory.</w:t>
            </w:r>
          </w:p>
        </w:tc>
        <w:tc>
          <w:tcPr>
            <w:tcW w:type="dxa" w:w="3456"/>
          </w:tcPr>
          <w:p>
            <w:pPr>
              <w:spacing w:before="40" w:after="40" w:line="259" w:lineRule="auto"/>
            </w:pPr>
            <w:r>
              <w:rPr>
                <w:rFonts w:ascii="Calibri" w:hAnsi="Calibri"/>
                <w:b w:val="0"/>
                <w:color w:val="1F2A28"/>
                <w:sz w:val="17"/>
              </w:rPr>
              <w:t>Exploits the testing effect (retrieval practice), one of the most robust findings in learning science.</w:t>
            </w:r>
          </w:p>
        </w:tc>
      </w:tr>
      <w:tr>
        <w:tc>
          <w:tcPr>
            <w:tcW w:type="dxa" w:w="1944"/>
          </w:tcPr>
          <w:p>
            <w:pPr>
              <w:spacing w:before="40" w:after="40" w:line="259" w:lineRule="auto"/>
            </w:pPr>
            <w:r>
              <w:rPr>
                <w:rFonts w:ascii="Calibri" w:hAnsi="Calibri"/>
                <w:b w:val="0"/>
                <w:color w:val="1F2A28"/>
                <w:sz w:val="17"/>
              </w:rPr>
              <w:t>Concept mapping</w:t>
            </w:r>
          </w:p>
        </w:tc>
        <w:tc>
          <w:tcPr>
            <w:tcW w:type="dxa" w:w="792"/>
          </w:tcPr>
          <w:p>
            <w:pPr>
              <w:spacing w:before="40" w:after="40" w:line="259" w:lineRule="auto"/>
            </w:pPr>
            <w:r>
              <w:rPr>
                <w:rFonts w:ascii="Calibri" w:hAnsi="Calibri"/>
                <w:b w:val="0"/>
                <w:color w:val="1F2A28"/>
                <w:sz w:val="17"/>
              </w:rPr>
              <w:t>C2–C4</w:t>
            </w:r>
          </w:p>
        </w:tc>
        <w:tc>
          <w:tcPr>
            <w:tcW w:type="dxa" w:w="3312"/>
          </w:tcPr>
          <w:p>
            <w:pPr>
              <w:spacing w:before="40" w:after="40" w:line="259" w:lineRule="auto"/>
            </w:pPr>
            <w:r>
              <w:rPr>
                <w:rFonts w:ascii="Calibri" w:hAnsi="Calibri"/>
                <w:b w:val="0"/>
                <w:color w:val="1F2A28"/>
                <w:sz w:val="17"/>
              </w:rPr>
              <w:t>Students draw diagrams connecting course concepts to reveal and organize their understanding.</w:t>
            </w:r>
          </w:p>
        </w:tc>
        <w:tc>
          <w:tcPr>
            <w:tcW w:type="dxa" w:w="3456"/>
          </w:tcPr>
          <w:p>
            <w:pPr>
              <w:spacing w:before="40" w:after="40" w:line="259" w:lineRule="auto"/>
            </w:pPr>
            <w:r>
              <w:rPr>
                <w:rFonts w:ascii="Calibri" w:hAnsi="Calibri"/>
                <w:b w:val="0"/>
                <w:color w:val="1F2A28"/>
                <w:sz w:val="17"/>
              </w:rPr>
              <w:t>Externalises knowledge structure; supports meaningful learning (Novak) and reveals gaps for both student and teacher.</w:t>
            </w:r>
          </w:p>
        </w:tc>
      </w:tr>
      <w:tr>
        <w:tc>
          <w:tcPr>
            <w:tcW w:type="dxa" w:w="1944"/>
          </w:tcPr>
          <w:p>
            <w:pPr>
              <w:spacing w:before="40" w:after="40" w:line="259" w:lineRule="auto"/>
            </w:pPr>
            <w:r>
              <w:rPr>
                <w:rFonts w:ascii="Calibri" w:hAnsi="Calibri"/>
                <w:b w:val="0"/>
                <w:color w:val="1F2A28"/>
                <w:sz w:val="17"/>
              </w:rPr>
              <w:t>Guided reading with questions</w:t>
            </w:r>
          </w:p>
        </w:tc>
        <w:tc>
          <w:tcPr>
            <w:tcW w:type="dxa" w:w="792"/>
          </w:tcPr>
          <w:p>
            <w:pPr>
              <w:spacing w:before="40" w:after="40" w:line="259" w:lineRule="auto"/>
            </w:pPr>
            <w:r>
              <w:rPr>
                <w:rFonts w:ascii="Calibri" w:hAnsi="Calibri"/>
                <w:b w:val="0"/>
                <w:color w:val="1F2A28"/>
                <w:sz w:val="17"/>
              </w:rPr>
              <w:t>C1–C2</w:t>
            </w:r>
          </w:p>
        </w:tc>
        <w:tc>
          <w:tcPr>
            <w:tcW w:type="dxa" w:w="3312"/>
          </w:tcPr>
          <w:p>
            <w:pPr>
              <w:spacing w:before="40" w:after="40" w:line="259" w:lineRule="auto"/>
            </w:pPr>
            <w:r>
              <w:rPr>
                <w:rFonts w:ascii="Calibri" w:hAnsi="Calibri"/>
                <w:b w:val="0"/>
                <w:color w:val="1F2A28"/>
                <w:sz w:val="17"/>
              </w:rPr>
              <w:t>Assigned reading with structured questions to be answered before class.</w:t>
            </w:r>
          </w:p>
        </w:tc>
        <w:tc>
          <w:tcPr>
            <w:tcW w:type="dxa" w:w="3456"/>
          </w:tcPr>
          <w:p>
            <w:pPr>
              <w:spacing w:before="40" w:after="40" w:line="259" w:lineRule="auto"/>
            </w:pPr>
            <w:r>
              <w:rPr>
                <w:rFonts w:ascii="Calibri" w:hAnsi="Calibri"/>
                <w:b w:val="0"/>
                <w:color w:val="1F2A28"/>
                <w:sz w:val="17"/>
              </w:rPr>
              <w:t>Ensures preparation for higher-order in-class work; foundation of flipped and blended designs.</w:t>
            </w:r>
          </w:p>
        </w:tc>
      </w:tr>
      <w:tr>
        <w:tc>
          <w:tcPr>
            <w:tcW w:type="dxa" w:w="1944"/>
          </w:tcPr>
          <w:p>
            <w:pPr>
              <w:spacing w:before="40" w:after="40" w:line="259" w:lineRule="auto"/>
            </w:pPr>
            <w:r>
              <w:rPr>
                <w:rFonts w:ascii="Calibri" w:hAnsi="Calibri"/>
                <w:b w:val="0"/>
                <w:color w:val="1F2A28"/>
                <w:sz w:val="17"/>
              </w:rPr>
              <w:t>Worked examples &amp; tutorial problem solving</w:t>
            </w:r>
          </w:p>
        </w:tc>
        <w:tc>
          <w:tcPr>
            <w:tcW w:type="dxa" w:w="792"/>
          </w:tcPr>
          <w:p>
            <w:pPr>
              <w:spacing w:before="40" w:after="40" w:line="259" w:lineRule="auto"/>
            </w:pPr>
            <w:r>
              <w:rPr>
                <w:rFonts w:ascii="Calibri" w:hAnsi="Calibri"/>
                <w:b w:val="0"/>
                <w:color w:val="1F2A28"/>
                <w:sz w:val="17"/>
              </w:rPr>
              <w:t>C3</w:t>
            </w:r>
          </w:p>
        </w:tc>
        <w:tc>
          <w:tcPr>
            <w:tcW w:type="dxa" w:w="3312"/>
          </w:tcPr>
          <w:p>
            <w:pPr>
              <w:spacing w:before="40" w:after="40" w:line="259" w:lineRule="auto"/>
            </w:pPr>
            <w:r>
              <w:rPr>
                <w:rFonts w:ascii="Calibri" w:hAnsi="Calibri"/>
                <w:b w:val="0"/>
                <w:color w:val="1F2A28"/>
                <w:sz w:val="17"/>
              </w:rPr>
              <w:t>Instructor demonstrates worked examples, then students solve graded-difficulty problems in tutorial.</w:t>
            </w:r>
          </w:p>
        </w:tc>
        <w:tc>
          <w:tcPr>
            <w:tcW w:type="dxa" w:w="3456"/>
          </w:tcPr>
          <w:p>
            <w:pPr>
              <w:spacing w:before="40" w:after="40" w:line="259" w:lineRule="auto"/>
            </w:pPr>
            <w:r>
              <w:rPr>
                <w:rFonts w:ascii="Calibri" w:hAnsi="Calibri"/>
                <w:b w:val="0"/>
                <w:color w:val="1F2A28"/>
                <w:sz w:val="17"/>
              </w:rPr>
              <w:t>Worked-example effect (cognitive load theory): efficient for novice learners in engineering problem solving.</w:t>
            </w:r>
          </w:p>
        </w:tc>
      </w:tr>
      <w:tr>
        <w:tc>
          <w:tcPr>
            <w:tcW w:type="dxa" w:w="1944"/>
          </w:tcPr>
          <w:p>
            <w:pPr>
              <w:spacing w:before="40" w:after="40" w:line="259" w:lineRule="auto"/>
            </w:pPr>
            <w:r>
              <w:rPr>
                <w:rFonts w:ascii="Calibri" w:hAnsi="Calibri"/>
                <w:b w:val="0"/>
                <w:color w:val="1F2A28"/>
                <w:sz w:val="17"/>
              </w:rPr>
              <w:t>Laboratory experiment</w:t>
            </w:r>
          </w:p>
        </w:tc>
        <w:tc>
          <w:tcPr>
            <w:tcW w:type="dxa" w:w="792"/>
          </w:tcPr>
          <w:p>
            <w:pPr>
              <w:spacing w:before="40" w:after="40" w:line="259" w:lineRule="auto"/>
            </w:pPr>
            <w:r>
              <w:rPr>
                <w:rFonts w:ascii="Calibri" w:hAnsi="Calibri"/>
                <w:b w:val="0"/>
                <w:color w:val="1F2A28"/>
                <w:sz w:val="17"/>
              </w:rPr>
              <w:t>C3–C4</w:t>
            </w:r>
          </w:p>
        </w:tc>
        <w:tc>
          <w:tcPr>
            <w:tcW w:type="dxa" w:w="3312"/>
          </w:tcPr>
          <w:p>
            <w:pPr>
              <w:spacing w:before="40" w:after="40" w:line="259" w:lineRule="auto"/>
            </w:pPr>
            <w:r>
              <w:rPr>
                <w:rFonts w:ascii="Calibri" w:hAnsi="Calibri"/>
                <w:b w:val="0"/>
                <w:color w:val="1F2A28"/>
                <w:sz w:val="17"/>
              </w:rPr>
              <w:t>Hands-on experiment following/designing procedures, collecting and interpreting data.</w:t>
            </w:r>
          </w:p>
        </w:tc>
        <w:tc>
          <w:tcPr>
            <w:tcW w:type="dxa" w:w="3456"/>
          </w:tcPr>
          <w:p>
            <w:pPr>
              <w:spacing w:before="40" w:after="40" w:line="259" w:lineRule="auto"/>
            </w:pPr>
            <w:r>
              <w:rPr>
                <w:rFonts w:ascii="Calibri" w:hAnsi="Calibri"/>
                <w:b w:val="0"/>
                <w:color w:val="1F2A28"/>
                <w:sz w:val="17"/>
              </w:rPr>
              <w:t>Core of engineering education; develops psychomotor skills and links theory to measurement (Kolb's experiential cycle).</w:t>
            </w:r>
          </w:p>
        </w:tc>
      </w:tr>
      <w:tr>
        <w:tc>
          <w:tcPr>
            <w:tcW w:type="dxa" w:w="1944"/>
          </w:tcPr>
          <w:p>
            <w:pPr>
              <w:spacing w:before="40" w:after="40" w:line="259" w:lineRule="auto"/>
            </w:pPr>
            <w:r>
              <w:rPr>
                <w:rFonts w:ascii="Calibri" w:hAnsi="Calibri"/>
                <w:b w:val="0"/>
                <w:color w:val="1F2A28"/>
                <w:sz w:val="17"/>
              </w:rPr>
              <w:t>Simulation / virtual lab</w:t>
            </w:r>
          </w:p>
        </w:tc>
        <w:tc>
          <w:tcPr>
            <w:tcW w:type="dxa" w:w="792"/>
          </w:tcPr>
          <w:p>
            <w:pPr>
              <w:spacing w:before="40" w:after="40" w:line="259" w:lineRule="auto"/>
            </w:pPr>
            <w:r>
              <w:rPr>
                <w:rFonts w:ascii="Calibri" w:hAnsi="Calibri"/>
                <w:b w:val="0"/>
                <w:color w:val="1F2A28"/>
                <w:sz w:val="17"/>
              </w:rPr>
              <w:t>C3–C4</w:t>
            </w:r>
          </w:p>
        </w:tc>
        <w:tc>
          <w:tcPr>
            <w:tcW w:type="dxa" w:w="3312"/>
          </w:tcPr>
          <w:p>
            <w:pPr>
              <w:spacing w:before="40" w:after="40" w:line="259" w:lineRule="auto"/>
            </w:pPr>
            <w:r>
              <w:rPr>
                <w:rFonts w:ascii="Calibri" w:hAnsi="Calibri"/>
                <w:b w:val="0"/>
                <w:color w:val="1F2A28"/>
                <w:sz w:val="17"/>
              </w:rPr>
              <w:t>Software-based experimentation (e.g., CFD, circuit or process simulators, virtual labs) to apply and explore concepts.</w:t>
            </w:r>
          </w:p>
        </w:tc>
        <w:tc>
          <w:tcPr>
            <w:tcW w:type="dxa" w:w="3456"/>
          </w:tcPr>
          <w:p>
            <w:pPr>
              <w:spacing w:before="40" w:after="40" w:line="259" w:lineRule="auto"/>
            </w:pPr>
            <w:r>
              <w:rPr>
                <w:rFonts w:ascii="Calibri" w:hAnsi="Calibri"/>
                <w:b w:val="0"/>
                <w:color w:val="1F2A28"/>
                <w:sz w:val="17"/>
              </w:rPr>
              <w:t>Extends laboratory access at low cost and risk; supports PO5 (modern tool usage) directly.</w:t>
            </w:r>
          </w:p>
        </w:tc>
      </w:tr>
      <w:tr>
        <w:tc>
          <w:tcPr>
            <w:tcW w:type="dxa" w:w="1944"/>
          </w:tcPr>
          <w:p>
            <w:pPr>
              <w:spacing w:before="40" w:after="40" w:line="259" w:lineRule="auto"/>
            </w:pPr>
            <w:r>
              <w:rPr>
                <w:rFonts w:ascii="Calibri" w:hAnsi="Calibri"/>
                <w:b w:val="0"/>
                <w:color w:val="1F2A28"/>
                <w:sz w:val="17"/>
              </w:rPr>
              <w:t>Demonstration with prediction</w:t>
            </w:r>
          </w:p>
        </w:tc>
        <w:tc>
          <w:tcPr>
            <w:tcW w:type="dxa" w:w="792"/>
          </w:tcPr>
          <w:p>
            <w:pPr>
              <w:spacing w:before="40" w:after="40" w:line="259" w:lineRule="auto"/>
            </w:pPr>
            <w:r>
              <w:rPr>
                <w:rFonts w:ascii="Calibri" w:hAnsi="Calibri"/>
                <w:b w:val="0"/>
                <w:color w:val="1F2A28"/>
                <w:sz w:val="17"/>
              </w:rPr>
              <w:t>C2–C3</w:t>
            </w:r>
          </w:p>
        </w:tc>
        <w:tc>
          <w:tcPr>
            <w:tcW w:type="dxa" w:w="3312"/>
          </w:tcPr>
          <w:p>
            <w:pPr>
              <w:spacing w:before="40" w:after="40" w:line="259" w:lineRule="auto"/>
            </w:pPr>
            <w:r>
              <w:rPr>
                <w:rFonts w:ascii="Calibri" w:hAnsi="Calibri"/>
                <w:b w:val="0"/>
                <w:color w:val="1F2A28"/>
                <w:sz w:val="17"/>
              </w:rPr>
              <w:t>Students predict the outcome of a physical demonstration before it is shown, then reconcile differences.</w:t>
            </w:r>
          </w:p>
        </w:tc>
        <w:tc>
          <w:tcPr>
            <w:tcW w:type="dxa" w:w="3456"/>
          </w:tcPr>
          <w:p>
            <w:pPr>
              <w:spacing w:before="40" w:after="40" w:line="259" w:lineRule="auto"/>
            </w:pPr>
            <w:r>
              <w:rPr>
                <w:rFonts w:ascii="Calibri" w:hAnsi="Calibri"/>
                <w:b w:val="0"/>
                <w:color w:val="1F2A28"/>
                <w:sz w:val="17"/>
              </w:rPr>
              <w:t>Predict-Observe-Explain sequence; confronting misconceptions produces durable conceptual change.</w:t>
            </w:r>
          </w:p>
        </w:tc>
      </w:tr>
      <w:tr>
        <w:tc>
          <w:tcPr>
            <w:tcW w:type="dxa" w:w="1944"/>
          </w:tcPr>
          <w:p>
            <w:pPr>
              <w:spacing w:before="40" w:after="40" w:line="259" w:lineRule="auto"/>
            </w:pPr>
            <w:r>
              <w:rPr>
                <w:rFonts w:ascii="Calibri" w:hAnsi="Calibri"/>
                <w:b w:val="0"/>
                <w:color w:val="1F2A28"/>
                <w:sz w:val="17"/>
              </w:rPr>
              <w:t>Case study analysis</w:t>
            </w:r>
          </w:p>
        </w:tc>
        <w:tc>
          <w:tcPr>
            <w:tcW w:type="dxa" w:w="792"/>
          </w:tcPr>
          <w:p>
            <w:pPr>
              <w:spacing w:before="40" w:after="40" w:line="259" w:lineRule="auto"/>
            </w:pPr>
            <w:r>
              <w:rPr>
                <w:rFonts w:ascii="Calibri" w:hAnsi="Calibri"/>
                <w:b w:val="0"/>
                <w:color w:val="1F2A28"/>
                <w:sz w:val="17"/>
              </w:rPr>
              <w:t>C4–C5</w:t>
            </w:r>
          </w:p>
        </w:tc>
        <w:tc>
          <w:tcPr>
            <w:tcW w:type="dxa" w:w="3312"/>
          </w:tcPr>
          <w:p>
            <w:pPr>
              <w:spacing w:before="40" w:after="40" w:line="259" w:lineRule="auto"/>
            </w:pPr>
            <w:r>
              <w:rPr>
                <w:rFonts w:ascii="Calibri" w:hAnsi="Calibri"/>
                <w:b w:val="0"/>
                <w:color w:val="1F2A28"/>
                <w:sz w:val="17"/>
              </w:rPr>
              <w:t>Real-world engineering case analyzed in groups against course concepts, constraints, and standards.</w:t>
            </w:r>
          </w:p>
        </w:tc>
        <w:tc>
          <w:tcPr>
            <w:tcW w:type="dxa" w:w="3456"/>
          </w:tcPr>
          <w:p>
            <w:pPr>
              <w:spacing w:before="40" w:after="40" w:line="259" w:lineRule="auto"/>
            </w:pPr>
            <w:r>
              <w:rPr>
                <w:rFonts w:ascii="Calibri" w:hAnsi="Calibri"/>
                <w:b w:val="0"/>
                <w:color w:val="1F2A28"/>
                <w:sz w:val="17"/>
              </w:rPr>
              <w:t>Situates knowledge in authentic contexts; develops judgement required for complex engineering problems (WK/EP attributes).</w:t>
            </w:r>
          </w:p>
        </w:tc>
      </w:tr>
      <w:tr>
        <w:tc>
          <w:tcPr>
            <w:tcW w:type="dxa" w:w="1944"/>
          </w:tcPr>
          <w:p>
            <w:pPr>
              <w:spacing w:before="40" w:after="40" w:line="259" w:lineRule="auto"/>
            </w:pPr>
            <w:r>
              <w:rPr>
                <w:rFonts w:ascii="Calibri" w:hAnsi="Calibri"/>
                <w:b w:val="0"/>
                <w:color w:val="1F2A28"/>
                <w:sz w:val="17"/>
              </w:rPr>
              <w:t>Jigsaw cooperative learning</w:t>
            </w:r>
          </w:p>
        </w:tc>
        <w:tc>
          <w:tcPr>
            <w:tcW w:type="dxa" w:w="792"/>
          </w:tcPr>
          <w:p>
            <w:pPr>
              <w:spacing w:before="40" w:after="40" w:line="259" w:lineRule="auto"/>
            </w:pPr>
            <w:r>
              <w:rPr>
                <w:rFonts w:ascii="Calibri" w:hAnsi="Calibri"/>
                <w:b w:val="0"/>
                <w:color w:val="1F2A28"/>
                <w:sz w:val="17"/>
              </w:rPr>
              <w:t>C2–C4</w:t>
            </w:r>
          </w:p>
        </w:tc>
        <w:tc>
          <w:tcPr>
            <w:tcW w:type="dxa" w:w="3312"/>
          </w:tcPr>
          <w:p>
            <w:pPr>
              <w:spacing w:before="40" w:after="40" w:line="259" w:lineRule="auto"/>
            </w:pPr>
            <w:r>
              <w:rPr>
                <w:rFonts w:ascii="Calibri" w:hAnsi="Calibri"/>
                <w:b w:val="0"/>
                <w:color w:val="1F2A28"/>
                <w:sz w:val="17"/>
              </w:rPr>
              <w:t>Each group masters one sub-topic then regroups to teach peers — full topic coverage through peer teaching.</w:t>
            </w:r>
          </w:p>
        </w:tc>
        <w:tc>
          <w:tcPr>
            <w:tcW w:type="dxa" w:w="3456"/>
          </w:tcPr>
          <w:p>
            <w:pPr>
              <w:spacing w:before="40" w:after="40" w:line="259" w:lineRule="auto"/>
            </w:pPr>
            <w:r>
              <w:rPr>
                <w:rFonts w:ascii="Calibri" w:hAnsi="Calibri"/>
                <w:b w:val="0"/>
                <w:color w:val="1F2A28"/>
                <w:sz w:val="17"/>
              </w:rPr>
              <w:t>Cooperative structure with individual accountability; peer teaching deepens mastery (protégé effect).</w:t>
            </w:r>
          </w:p>
        </w:tc>
      </w:tr>
      <w:tr>
        <w:tc>
          <w:tcPr>
            <w:tcW w:type="dxa" w:w="1944"/>
          </w:tcPr>
          <w:p>
            <w:pPr>
              <w:spacing w:before="40" w:after="40" w:line="259" w:lineRule="auto"/>
            </w:pPr>
            <w:r>
              <w:rPr>
                <w:rFonts w:ascii="Calibri" w:hAnsi="Calibri"/>
                <w:b w:val="0"/>
                <w:color w:val="1F2A28"/>
                <w:sz w:val="17"/>
              </w:rPr>
              <w:t>Structured debate</w:t>
            </w:r>
          </w:p>
        </w:tc>
        <w:tc>
          <w:tcPr>
            <w:tcW w:type="dxa" w:w="792"/>
          </w:tcPr>
          <w:p>
            <w:pPr>
              <w:spacing w:before="40" w:after="40" w:line="259" w:lineRule="auto"/>
            </w:pPr>
            <w:r>
              <w:rPr>
                <w:rFonts w:ascii="Calibri" w:hAnsi="Calibri"/>
                <w:b w:val="0"/>
                <w:color w:val="1F2A28"/>
                <w:sz w:val="17"/>
              </w:rPr>
              <w:t>C4–C5</w:t>
            </w:r>
          </w:p>
        </w:tc>
        <w:tc>
          <w:tcPr>
            <w:tcW w:type="dxa" w:w="3312"/>
          </w:tcPr>
          <w:p>
            <w:pPr>
              <w:spacing w:before="40" w:after="40" w:line="259" w:lineRule="auto"/>
            </w:pPr>
            <w:r>
              <w:rPr>
                <w:rFonts w:ascii="Calibri" w:hAnsi="Calibri"/>
                <w:b w:val="0"/>
                <w:color w:val="1F2A28"/>
                <w:sz w:val="17"/>
              </w:rPr>
              <w:t>Teams argue opposing sides of an engineering/societal issue with evidence, then reflect.</w:t>
            </w:r>
          </w:p>
        </w:tc>
        <w:tc>
          <w:tcPr>
            <w:tcW w:type="dxa" w:w="3456"/>
          </w:tcPr>
          <w:p>
            <w:pPr>
              <w:spacing w:before="40" w:after="40" w:line="259" w:lineRule="auto"/>
            </w:pPr>
            <w:r>
              <w:rPr>
                <w:rFonts w:ascii="Calibri" w:hAnsi="Calibri"/>
                <w:b w:val="0"/>
                <w:color w:val="1F2A28"/>
                <w:sz w:val="17"/>
              </w:rPr>
              <w:t>Develops evaluation, argumentation and the engineer-and-society perspective (PO6/PO7).</w:t>
            </w:r>
          </w:p>
        </w:tc>
      </w:tr>
      <w:tr>
        <w:tc>
          <w:tcPr>
            <w:tcW w:type="dxa" w:w="1944"/>
          </w:tcPr>
          <w:p>
            <w:pPr>
              <w:spacing w:before="40" w:after="40" w:line="259" w:lineRule="auto"/>
            </w:pPr>
            <w:r>
              <w:rPr>
                <w:rFonts w:ascii="Calibri" w:hAnsi="Calibri"/>
                <w:b w:val="0"/>
                <w:color w:val="1F2A28"/>
                <w:sz w:val="17"/>
              </w:rPr>
              <w:t>Troubleshooting / failure analysis exercise</w:t>
            </w:r>
          </w:p>
        </w:tc>
        <w:tc>
          <w:tcPr>
            <w:tcW w:type="dxa" w:w="792"/>
          </w:tcPr>
          <w:p>
            <w:pPr>
              <w:spacing w:before="40" w:after="40" w:line="259" w:lineRule="auto"/>
            </w:pPr>
            <w:r>
              <w:rPr>
                <w:rFonts w:ascii="Calibri" w:hAnsi="Calibri"/>
                <w:b w:val="0"/>
                <w:color w:val="1F2A28"/>
                <w:sz w:val="17"/>
              </w:rPr>
              <w:t>C4</w:t>
            </w:r>
          </w:p>
        </w:tc>
        <w:tc>
          <w:tcPr>
            <w:tcW w:type="dxa" w:w="3312"/>
          </w:tcPr>
          <w:p>
            <w:pPr>
              <w:spacing w:before="40" w:after="40" w:line="259" w:lineRule="auto"/>
            </w:pPr>
            <w:r>
              <w:rPr>
                <w:rFonts w:ascii="Calibri" w:hAnsi="Calibri"/>
                <w:b w:val="0"/>
                <w:color w:val="1F2A28"/>
                <w:sz w:val="17"/>
              </w:rPr>
              <w:t>Students diagnose a faulty design, dataset, or system and justify the root cause.</w:t>
            </w:r>
          </w:p>
        </w:tc>
        <w:tc>
          <w:tcPr>
            <w:tcW w:type="dxa" w:w="3456"/>
          </w:tcPr>
          <w:p>
            <w:pPr>
              <w:spacing w:before="40" w:after="40" w:line="259" w:lineRule="auto"/>
            </w:pPr>
            <w:r>
              <w:rPr>
                <w:rFonts w:ascii="Calibri" w:hAnsi="Calibri"/>
                <w:b w:val="0"/>
                <w:color w:val="1F2A28"/>
                <w:sz w:val="17"/>
              </w:rPr>
              <w:t>Authentic analytic engineering task; directly exercises complex problem characteristics (no obvious solution).</w:t>
            </w:r>
          </w:p>
        </w:tc>
      </w:tr>
      <w:tr>
        <w:tc>
          <w:tcPr>
            <w:tcW w:type="dxa" w:w="1944"/>
          </w:tcPr>
          <w:p>
            <w:pPr>
              <w:spacing w:before="40" w:after="40" w:line="259" w:lineRule="auto"/>
            </w:pPr>
            <w:r>
              <w:rPr>
                <w:rFonts w:ascii="Calibri" w:hAnsi="Calibri"/>
                <w:b w:val="0"/>
                <w:color w:val="1F2A28"/>
                <w:sz w:val="17"/>
              </w:rPr>
              <w:t>Data analysis assignment</w:t>
            </w:r>
          </w:p>
        </w:tc>
        <w:tc>
          <w:tcPr>
            <w:tcW w:type="dxa" w:w="792"/>
          </w:tcPr>
          <w:p>
            <w:pPr>
              <w:spacing w:before="40" w:after="40" w:line="259" w:lineRule="auto"/>
            </w:pPr>
            <w:r>
              <w:rPr>
                <w:rFonts w:ascii="Calibri" w:hAnsi="Calibri"/>
                <w:b w:val="0"/>
                <w:color w:val="1F2A28"/>
                <w:sz w:val="17"/>
              </w:rPr>
              <w:t>C4</w:t>
            </w:r>
          </w:p>
        </w:tc>
        <w:tc>
          <w:tcPr>
            <w:tcW w:type="dxa" w:w="3312"/>
          </w:tcPr>
          <w:p>
            <w:pPr>
              <w:spacing w:before="40" w:after="40" w:line="259" w:lineRule="auto"/>
            </w:pPr>
            <w:r>
              <w:rPr>
                <w:rFonts w:ascii="Calibri" w:hAnsi="Calibri"/>
                <w:b w:val="0"/>
                <w:color w:val="1F2A28"/>
                <w:sz w:val="17"/>
              </w:rPr>
              <w:t>Students process and interpret experimental/field data, drawing and defending conclusions.</w:t>
            </w:r>
          </w:p>
        </w:tc>
        <w:tc>
          <w:tcPr>
            <w:tcW w:type="dxa" w:w="3456"/>
          </w:tcPr>
          <w:p>
            <w:pPr>
              <w:spacing w:before="40" w:after="40" w:line="259" w:lineRule="auto"/>
            </w:pPr>
            <w:r>
              <w:rPr>
                <w:rFonts w:ascii="Calibri" w:hAnsi="Calibri"/>
                <w:b w:val="0"/>
                <w:color w:val="1F2A28"/>
                <w:sz w:val="17"/>
              </w:rPr>
              <w:t>Builds investigation skills (PO4); assessable evidence of analysis-level attainment.</w:t>
            </w:r>
          </w:p>
        </w:tc>
      </w:tr>
      <w:tr>
        <w:tc>
          <w:tcPr>
            <w:tcW w:type="dxa" w:w="1944"/>
          </w:tcPr>
          <w:p>
            <w:pPr>
              <w:spacing w:before="40" w:after="40" w:line="259" w:lineRule="auto"/>
            </w:pPr>
            <w:r>
              <w:rPr>
                <w:rFonts w:ascii="Calibri" w:hAnsi="Calibri"/>
                <w:b w:val="0"/>
                <w:color w:val="1F2A28"/>
                <w:sz w:val="17"/>
              </w:rPr>
              <w:t>Peer review with rubric</w:t>
            </w:r>
          </w:p>
        </w:tc>
        <w:tc>
          <w:tcPr>
            <w:tcW w:type="dxa" w:w="792"/>
          </w:tcPr>
          <w:p>
            <w:pPr>
              <w:spacing w:before="40" w:after="40" w:line="259" w:lineRule="auto"/>
            </w:pPr>
            <w:r>
              <w:rPr>
                <w:rFonts w:ascii="Calibri" w:hAnsi="Calibri"/>
                <w:b w:val="0"/>
                <w:color w:val="1F2A28"/>
                <w:sz w:val="17"/>
              </w:rPr>
              <w:t>C5</w:t>
            </w:r>
          </w:p>
        </w:tc>
        <w:tc>
          <w:tcPr>
            <w:tcW w:type="dxa" w:w="3312"/>
          </w:tcPr>
          <w:p>
            <w:pPr>
              <w:spacing w:before="40" w:after="40" w:line="259" w:lineRule="auto"/>
            </w:pPr>
            <w:r>
              <w:rPr>
                <w:rFonts w:ascii="Calibri" w:hAnsi="Calibri"/>
                <w:b w:val="0"/>
                <w:color w:val="1F2A28"/>
                <w:sz w:val="17"/>
              </w:rPr>
              <w:t>Students evaluate one another's reports/designs against a rubric and give written feedback.</w:t>
            </w:r>
          </w:p>
        </w:tc>
        <w:tc>
          <w:tcPr>
            <w:tcW w:type="dxa" w:w="3456"/>
          </w:tcPr>
          <w:p>
            <w:pPr>
              <w:spacing w:before="40" w:after="40" w:line="259" w:lineRule="auto"/>
            </w:pPr>
            <w:r>
              <w:rPr>
                <w:rFonts w:ascii="Calibri" w:hAnsi="Calibri"/>
                <w:b w:val="0"/>
                <w:color w:val="1F2A28"/>
                <w:sz w:val="17"/>
              </w:rPr>
              <w:t>Evaluative judgement develops self-regulation; rubric use makes standards explicit to students.</w:t>
            </w:r>
          </w:p>
        </w:tc>
      </w:tr>
      <w:tr>
        <w:tc>
          <w:tcPr>
            <w:tcW w:type="dxa" w:w="1944"/>
          </w:tcPr>
          <w:p>
            <w:pPr>
              <w:spacing w:before="40" w:after="40" w:line="259" w:lineRule="auto"/>
            </w:pPr>
            <w:r>
              <w:rPr>
                <w:rFonts w:ascii="Calibri" w:hAnsi="Calibri"/>
                <w:b w:val="0"/>
                <w:color w:val="1F2A28"/>
                <w:sz w:val="17"/>
              </w:rPr>
              <w:t>Design review / critique session</w:t>
            </w:r>
          </w:p>
        </w:tc>
        <w:tc>
          <w:tcPr>
            <w:tcW w:type="dxa" w:w="792"/>
          </w:tcPr>
          <w:p>
            <w:pPr>
              <w:spacing w:before="40" w:after="40" w:line="259" w:lineRule="auto"/>
            </w:pPr>
            <w:r>
              <w:rPr>
                <w:rFonts w:ascii="Calibri" w:hAnsi="Calibri"/>
                <w:b w:val="0"/>
                <w:color w:val="1F2A28"/>
                <w:sz w:val="17"/>
              </w:rPr>
              <w:t>C5–C6</w:t>
            </w:r>
          </w:p>
        </w:tc>
        <w:tc>
          <w:tcPr>
            <w:tcW w:type="dxa" w:w="3312"/>
          </w:tcPr>
          <w:p>
            <w:pPr>
              <w:spacing w:before="40" w:after="40" w:line="259" w:lineRule="auto"/>
            </w:pPr>
            <w:r>
              <w:rPr>
                <w:rFonts w:ascii="Calibri" w:hAnsi="Calibri"/>
                <w:b w:val="0"/>
                <w:color w:val="1F2A28"/>
                <w:sz w:val="17"/>
              </w:rPr>
              <w:t>Student teams present interim designs; class and instructor critique against requirements and standards.</w:t>
            </w:r>
          </w:p>
        </w:tc>
        <w:tc>
          <w:tcPr>
            <w:tcW w:type="dxa" w:w="3456"/>
          </w:tcPr>
          <w:p>
            <w:pPr>
              <w:spacing w:before="40" w:after="40" w:line="259" w:lineRule="auto"/>
            </w:pPr>
            <w:r>
              <w:rPr>
                <w:rFonts w:ascii="Calibri" w:hAnsi="Calibri"/>
                <w:b w:val="0"/>
                <w:color w:val="1F2A28"/>
                <w:sz w:val="17"/>
              </w:rPr>
              <w:t>Mirrors professional design-review practice; formative feedback at the Create level.</w:t>
            </w:r>
          </w:p>
        </w:tc>
      </w:tr>
      <w:tr>
        <w:tc>
          <w:tcPr>
            <w:tcW w:type="dxa" w:w="1944"/>
          </w:tcPr>
          <w:p>
            <w:pPr>
              <w:spacing w:before="40" w:after="40" w:line="259" w:lineRule="auto"/>
            </w:pPr>
            <w:r>
              <w:rPr>
                <w:rFonts w:ascii="Calibri" w:hAnsi="Calibri"/>
                <w:b w:val="0"/>
                <w:color w:val="1F2A28"/>
                <w:sz w:val="17"/>
              </w:rPr>
              <w:t>Journal club / paper review</w:t>
            </w:r>
          </w:p>
        </w:tc>
        <w:tc>
          <w:tcPr>
            <w:tcW w:type="dxa" w:w="792"/>
          </w:tcPr>
          <w:p>
            <w:pPr>
              <w:spacing w:before="40" w:after="40" w:line="259" w:lineRule="auto"/>
            </w:pPr>
            <w:r>
              <w:rPr>
                <w:rFonts w:ascii="Calibri" w:hAnsi="Calibri"/>
                <w:b w:val="0"/>
                <w:color w:val="1F2A28"/>
                <w:sz w:val="17"/>
              </w:rPr>
              <w:t>C4–C5</w:t>
            </w:r>
          </w:p>
        </w:tc>
        <w:tc>
          <w:tcPr>
            <w:tcW w:type="dxa" w:w="3312"/>
          </w:tcPr>
          <w:p>
            <w:pPr>
              <w:spacing w:before="40" w:after="40" w:line="259" w:lineRule="auto"/>
            </w:pPr>
            <w:r>
              <w:rPr>
                <w:rFonts w:ascii="Calibri" w:hAnsi="Calibri"/>
                <w:b w:val="0"/>
                <w:color w:val="1F2A28"/>
                <w:sz w:val="17"/>
              </w:rPr>
              <w:t>Students present and critically evaluate a recent journal/conference paper related to a CO.</w:t>
            </w:r>
          </w:p>
        </w:tc>
        <w:tc>
          <w:tcPr>
            <w:tcW w:type="dxa" w:w="3456"/>
          </w:tcPr>
          <w:p>
            <w:pPr>
              <w:spacing w:before="40" w:after="40" w:line="259" w:lineRule="auto"/>
            </w:pPr>
            <w:r>
              <w:rPr>
                <w:rFonts w:ascii="Calibri" w:hAnsi="Calibri"/>
                <w:b w:val="0"/>
                <w:color w:val="1F2A28"/>
                <w:sz w:val="17"/>
              </w:rPr>
              <w:t>Connects courses to current research; develops life-long-learning habits (PO12).</w:t>
            </w:r>
          </w:p>
        </w:tc>
      </w:tr>
      <w:tr>
        <w:tc>
          <w:tcPr>
            <w:tcW w:type="dxa" w:w="1944"/>
          </w:tcPr>
          <w:p>
            <w:pPr>
              <w:spacing w:before="40" w:after="40" w:line="259" w:lineRule="auto"/>
            </w:pPr>
            <w:r>
              <w:rPr>
                <w:rFonts w:ascii="Calibri" w:hAnsi="Calibri"/>
                <w:b w:val="0"/>
                <w:color w:val="1F2A28"/>
                <w:sz w:val="17"/>
              </w:rPr>
              <w:t>Project-based learning (PBL)</w:t>
            </w:r>
          </w:p>
        </w:tc>
        <w:tc>
          <w:tcPr>
            <w:tcW w:type="dxa" w:w="792"/>
          </w:tcPr>
          <w:p>
            <w:pPr>
              <w:spacing w:before="40" w:after="40" w:line="259" w:lineRule="auto"/>
            </w:pPr>
            <w:r>
              <w:rPr>
                <w:rFonts w:ascii="Calibri" w:hAnsi="Calibri"/>
                <w:b w:val="0"/>
                <w:color w:val="1F2A28"/>
                <w:sz w:val="17"/>
              </w:rPr>
              <w:t>C3–C6</w:t>
            </w:r>
          </w:p>
        </w:tc>
        <w:tc>
          <w:tcPr>
            <w:tcW w:type="dxa" w:w="3312"/>
          </w:tcPr>
          <w:p>
            <w:pPr>
              <w:spacing w:before="40" w:after="40" w:line="259" w:lineRule="auto"/>
            </w:pPr>
            <w:r>
              <w:rPr>
                <w:rFonts w:ascii="Calibri" w:hAnsi="Calibri"/>
                <w:b w:val="0"/>
                <w:color w:val="1F2A28"/>
                <w:sz w:val="17"/>
              </w:rPr>
              <w:t>Open-ended team project spanning several weeks, producing a designed artifact/analysis and report.</w:t>
            </w:r>
          </w:p>
        </w:tc>
        <w:tc>
          <w:tcPr>
            <w:tcW w:type="dxa" w:w="3456"/>
          </w:tcPr>
          <w:p>
            <w:pPr>
              <w:spacing w:before="40" w:after="40" w:line="259" w:lineRule="auto"/>
            </w:pPr>
            <w:r>
              <w:rPr>
                <w:rFonts w:ascii="Calibri" w:hAnsi="Calibri"/>
                <w:b w:val="0"/>
                <w:color w:val="1F2A28"/>
                <w:sz w:val="17"/>
              </w:rPr>
              <w:t>The strongest single vehicle for complex engineering problems and activities; integrates PO3, PO5, PO9–PO11.</w:t>
            </w:r>
          </w:p>
        </w:tc>
      </w:tr>
      <w:tr>
        <w:tc>
          <w:tcPr>
            <w:tcW w:type="dxa" w:w="1944"/>
          </w:tcPr>
          <w:p>
            <w:pPr>
              <w:spacing w:before="40" w:after="40" w:line="259" w:lineRule="auto"/>
            </w:pPr>
            <w:r>
              <w:rPr>
                <w:rFonts w:ascii="Calibri" w:hAnsi="Calibri"/>
                <w:b w:val="0"/>
                <w:color w:val="1F2A28"/>
                <w:sz w:val="17"/>
              </w:rPr>
              <w:t>Capstone-style mini design project</w:t>
            </w:r>
          </w:p>
        </w:tc>
        <w:tc>
          <w:tcPr>
            <w:tcW w:type="dxa" w:w="792"/>
          </w:tcPr>
          <w:p>
            <w:pPr>
              <w:spacing w:before="40" w:after="40" w:line="259" w:lineRule="auto"/>
            </w:pPr>
            <w:r>
              <w:rPr>
                <w:rFonts w:ascii="Calibri" w:hAnsi="Calibri"/>
                <w:b w:val="0"/>
                <w:color w:val="1F2A28"/>
                <w:sz w:val="17"/>
              </w:rPr>
              <w:t>C6</w:t>
            </w:r>
          </w:p>
        </w:tc>
        <w:tc>
          <w:tcPr>
            <w:tcW w:type="dxa" w:w="3312"/>
          </w:tcPr>
          <w:p>
            <w:pPr>
              <w:spacing w:before="40" w:after="40" w:line="259" w:lineRule="auto"/>
            </w:pPr>
            <w:r>
              <w:rPr>
                <w:rFonts w:ascii="Calibri" w:hAnsi="Calibri"/>
                <w:b w:val="0"/>
                <w:color w:val="1F2A28"/>
                <w:sz w:val="17"/>
              </w:rPr>
              <w:t>Small design-build-test task with realistic constraints (cost, safety, sustainability).</w:t>
            </w:r>
          </w:p>
        </w:tc>
        <w:tc>
          <w:tcPr>
            <w:tcW w:type="dxa" w:w="3456"/>
          </w:tcPr>
          <w:p>
            <w:pPr>
              <w:spacing w:before="40" w:after="40" w:line="259" w:lineRule="auto"/>
            </w:pPr>
            <w:r>
              <w:rPr>
                <w:rFonts w:ascii="Calibri" w:hAnsi="Calibri"/>
                <w:b w:val="0"/>
                <w:color w:val="1F2A28"/>
                <w:sz w:val="17"/>
              </w:rPr>
              <w:t>Brings capstone-type synthesis into ordinary courses; constraint handling is a complex-activity attribute.</w:t>
            </w:r>
          </w:p>
        </w:tc>
      </w:tr>
      <w:tr>
        <w:tc>
          <w:tcPr>
            <w:tcW w:type="dxa" w:w="1944"/>
          </w:tcPr>
          <w:p>
            <w:pPr>
              <w:spacing w:before="40" w:after="40" w:line="259" w:lineRule="auto"/>
            </w:pPr>
            <w:r>
              <w:rPr>
                <w:rFonts w:ascii="Calibri" w:hAnsi="Calibri"/>
                <w:b w:val="0"/>
                <w:color w:val="1F2A28"/>
                <w:sz w:val="17"/>
              </w:rPr>
              <w:t>Prototype / poster presentation</w:t>
            </w:r>
          </w:p>
        </w:tc>
        <w:tc>
          <w:tcPr>
            <w:tcW w:type="dxa" w:w="792"/>
          </w:tcPr>
          <w:p>
            <w:pPr>
              <w:spacing w:before="40" w:after="40" w:line="259" w:lineRule="auto"/>
            </w:pPr>
            <w:r>
              <w:rPr>
                <w:rFonts w:ascii="Calibri" w:hAnsi="Calibri"/>
                <w:b w:val="0"/>
                <w:color w:val="1F2A28"/>
                <w:sz w:val="17"/>
              </w:rPr>
              <w:t>C5–C6</w:t>
            </w:r>
          </w:p>
        </w:tc>
        <w:tc>
          <w:tcPr>
            <w:tcW w:type="dxa" w:w="3312"/>
          </w:tcPr>
          <w:p>
            <w:pPr>
              <w:spacing w:before="40" w:after="40" w:line="259" w:lineRule="auto"/>
            </w:pPr>
            <w:r>
              <w:rPr>
                <w:rFonts w:ascii="Calibri" w:hAnsi="Calibri"/>
                <w:b w:val="0"/>
                <w:color w:val="1F2A28"/>
                <w:sz w:val="17"/>
              </w:rPr>
              <w:t>Teams build a prototype or poster and defend it in a session open to peers/faculty.</w:t>
            </w:r>
          </w:p>
        </w:tc>
        <w:tc>
          <w:tcPr>
            <w:tcW w:type="dxa" w:w="3456"/>
          </w:tcPr>
          <w:p>
            <w:pPr>
              <w:spacing w:before="40" w:after="40" w:line="259" w:lineRule="auto"/>
            </w:pPr>
            <w:r>
              <w:rPr>
                <w:rFonts w:ascii="Calibri" w:hAnsi="Calibri"/>
                <w:b w:val="0"/>
                <w:color w:val="1F2A28"/>
                <w:sz w:val="17"/>
              </w:rPr>
              <w:t>Authentic assessment of creation plus communication (PO10); motivating audience effect.</w:t>
            </w:r>
          </w:p>
        </w:tc>
      </w:tr>
      <w:tr>
        <w:tc>
          <w:tcPr>
            <w:tcW w:type="dxa" w:w="1944"/>
          </w:tcPr>
          <w:p>
            <w:pPr>
              <w:spacing w:before="40" w:after="40" w:line="259" w:lineRule="auto"/>
            </w:pPr>
            <w:r>
              <w:rPr>
                <w:rFonts w:ascii="Calibri" w:hAnsi="Calibri"/>
                <w:b w:val="0"/>
                <w:color w:val="1F2A28"/>
                <w:sz w:val="17"/>
              </w:rPr>
              <w:t>Research mini-project</w:t>
            </w:r>
          </w:p>
        </w:tc>
        <w:tc>
          <w:tcPr>
            <w:tcW w:type="dxa" w:w="792"/>
          </w:tcPr>
          <w:p>
            <w:pPr>
              <w:spacing w:before="40" w:after="40" w:line="259" w:lineRule="auto"/>
            </w:pPr>
            <w:r>
              <w:rPr>
                <w:rFonts w:ascii="Calibri" w:hAnsi="Calibri"/>
                <w:b w:val="0"/>
                <w:color w:val="1F2A28"/>
                <w:sz w:val="17"/>
              </w:rPr>
              <w:t>C4–C6</w:t>
            </w:r>
          </w:p>
        </w:tc>
        <w:tc>
          <w:tcPr>
            <w:tcW w:type="dxa" w:w="3312"/>
          </w:tcPr>
          <w:p>
            <w:pPr>
              <w:spacing w:before="40" w:after="40" w:line="259" w:lineRule="auto"/>
            </w:pPr>
            <w:r>
              <w:rPr>
                <w:rFonts w:ascii="Calibri" w:hAnsi="Calibri"/>
                <w:b w:val="0"/>
                <w:color w:val="1F2A28"/>
                <w:sz w:val="17"/>
              </w:rPr>
              <w:t>Short literature-plus-analysis investigation of an open question, with a written mini-paper.</w:t>
            </w:r>
          </w:p>
        </w:tc>
        <w:tc>
          <w:tcPr>
            <w:tcW w:type="dxa" w:w="3456"/>
          </w:tcPr>
          <w:p>
            <w:pPr>
              <w:spacing w:before="40" w:after="40" w:line="259" w:lineRule="auto"/>
            </w:pPr>
            <w:r>
              <w:rPr>
                <w:rFonts w:ascii="Calibri" w:hAnsi="Calibri"/>
                <w:b w:val="0"/>
                <w:color w:val="1F2A28"/>
                <w:sz w:val="17"/>
              </w:rPr>
              <w:t>Scaffolds undergraduate research; develops investigation and writing within one semester.</w:t>
            </w:r>
          </w:p>
        </w:tc>
      </w:tr>
      <w:tr>
        <w:tc>
          <w:tcPr>
            <w:tcW w:type="dxa" w:w="1944"/>
          </w:tcPr>
          <w:p>
            <w:pPr>
              <w:spacing w:before="40" w:after="40" w:line="259" w:lineRule="auto"/>
            </w:pPr>
            <w:r>
              <w:rPr>
                <w:rFonts w:ascii="Calibri" w:hAnsi="Calibri"/>
                <w:b w:val="0"/>
                <w:color w:val="1F2A28"/>
                <w:sz w:val="17"/>
              </w:rPr>
              <w:t>Brainstorming &amp; concept generation</w:t>
            </w:r>
          </w:p>
        </w:tc>
        <w:tc>
          <w:tcPr>
            <w:tcW w:type="dxa" w:w="792"/>
          </w:tcPr>
          <w:p>
            <w:pPr>
              <w:spacing w:before="40" w:after="40" w:line="259" w:lineRule="auto"/>
            </w:pPr>
            <w:r>
              <w:rPr>
                <w:rFonts w:ascii="Calibri" w:hAnsi="Calibri"/>
                <w:b w:val="0"/>
                <w:color w:val="1F2A28"/>
                <w:sz w:val="17"/>
              </w:rPr>
              <w:t>C6</w:t>
            </w:r>
          </w:p>
        </w:tc>
        <w:tc>
          <w:tcPr>
            <w:tcW w:type="dxa" w:w="3312"/>
          </w:tcPr>
          <w:p>
            <w:pPr>
              <w:spacing w:before="40" w:after="40" w:line="259" w:lineRule="auto"/>
            </w:pPr>
            <w:r>
              <w:rPr>
                <w:rFonts w:ascii="Calibri" w:hAnsi="Calibri"/>
                <w:b w:val="0"/>
                <w:color w:val="1F2A28"/>
                <w:sz w:val="17"/>
              </w:rPr>
              <w:t>Structured ideation (e.g., brainwriting, morphological chart) for open-ended problems.</w:t>
            </w:r>
          </w:p>
        </w:tc>
        <w:tc>
          <w:tcPr>
            <w:tcW w:type="dxa" w:w="3456"/>
          </w:tcPr>
          <w:p>
            <w:pPr>
              <w:spacing w:before="40" w:after="40" w:line="259" w:lineRule="auto"/>
            </w:pPr>
            <w:r>
              <w:rPr>
                <w:rFonts w:ascii="Calibri" w:hAnsi="Calibri"/>
                <w:b w:val="0"/>
                <w:color w:val="1F2A28"/>
                <w:sz w:val="17"/>
              </w:rPr>
              <w:t>Teaches divergent thinking as an explicit, assessable engineering-design skill.</w:t>
            </w:r>
          </w:p>
        </w:tc>
      </w:tr>
      <w:tr>
        <w:tc>
          <w:tcPr>
            <w:tcW w:type="dxa" w:w="1944"/>
          </w:tcPr>
          <w:p>
            <w:pPr>
              <w:spacing w:before="40" w:after="40" w:line="259" w:lineRule="auto"/>
            </w:pPr>
            <w:r>
              <w:rPr>
                <w:rFonts w:ascii="Calibri" w:hAnsi="Calibri"/>
                <w:b w:val="0"/>
                <w:color w:val="1F2A28"/>
                <w:sz w:val="17"/>
              </w:rPr>
              <w:t>Role play (professional scenario)</w:t>
            </w:r>
          </w:p>
        </w:tc>
        <w:tc>
          <w:tcPr>
            <w:tcW w:type="dxa" w:w="792"/>
          </w:tcPr>
          <w:p>
            <w:pPr>
              <w:spacing w:before="40" w:after="40" w:line="259" w:lineRule="auto"/>
            </w:pPr>
            <w:r>
              <w:rPr>
                <w:rFonts w:ascii="Calibri" w:hAnsi="Calibri"/>
                <w:b w:val="0"/>
                <w:color w:val="1F2A28"/>
                <w:sz w:val="17"/>
              </w:rPr>
              <w:t>C3–C5</w:t>
            </w:r>
          </w:p>
        </w:tc>
        <w:tc>
          <w:tcPr>
            <w:tcW w:type="dxa" w:w="3312"/>
          </w:tcPr>
          <w:p>
            <w:pPr>
              <w:spacing w:before="40" w:after="40" w:line="259" w:lineRule="auto"/>
            </w:pPr>
            <w:r>
              <w:rPr>
                <w:rFonts w:ascii="Calibri" w:hAnsi="Calibri"/>
                <w:b w:val="0"/>
                <w:color w:val="1F2A28"/>
                <w:sz w:val="17"/>
              </w:rPr>
              <w:t>Students act as engineer/client/regulator in a scenario involving ethics, safety, or communication.</w:t>
            </w:r>
          </w:p>
        </w:tc>
        <w:tc>
          <w:tcPr>
            <w:tcW w:type="dxa" w:w="3456"/>
          </w:tcPr>
          <w:p>
            <w:pPr>
              <w:spacing w:before="40" w:after="40" w:line="259" w:lineRule="auto"/>
            </w:pPr>
            <w:r>
              <w:rPr>
                <w:rFonts w:ascii="Calibri" w:hAnsi="Calibri"/>
                <w:b w:val="0"/>
                <w:color w:val="1F2A28"/>
                <w:sz w:val="17"/>
              </w:rPr>
              <w:t>Affective-domain learning for ethics (PO8) that lectures cannot reach; rehearses professional judgement.</w:t>
            </w:r>
          </w:p>
        </w:tc>
      </w:tr>
      <w:tr>
        <w:tc>
          <w:tcPr>
            <w:tcW w:type="dxa" w:w="1944"/>
          </w:tcPr>
          <w:p>
            <w:pPr>
              <w:spacing w:before="40" w:after="40" w:line="259" w:lineRule="auto"/>
            </w:pPr>
            <w:r>
              <w:rPr>
                <w:rFonts w:ascii="Calibri" w:hAnsi="Calibri"/>
                <w:b w:val="0"/>
                <w:color w:val="1F2A28"/>
                <w:sz w:val="17"/>
              </w:rPr>
              <w:t>Guest lecture / industry talk</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Practitioner session connecting COs to current industry practice, followed by Q&amp;A reflection.</w:t>
            </w:r>
          </w:p>
        </w:tc>
        <w:tc>
          <w:tcPr>
            <w:tcW w:type="dxa" w:w="3456"/>
          </w:tcPr>
          <w:p>
            <w:pPr>
              <w:spacing w:before="40" w:after="40" w:line="259" w:lineRule="auto"/>
            </w:pPr>
            <w:r>
              <w:rPr>
                <w:rFonts w:ascii="Calibri" w:hAnsi="Calibri"/>
                <w:b w:val="0"/>
                <w:color w:val="1F2A28"/>
                <w:sz w:val="17"/>
              </w:rPr>
              <w:t>Stakeholder involvement in teaching; strengthens relevance and industry linkage evidence for accreditation.</w:t>
            </w:r>
          </w:p>
        </w:tc>
      </w:tr>
      <w:tr>
        <w:tc>
          <w:tcPr>
            <w:tcW w:type="dxa" w:w="1944"/>
          </w:tcPr>
          <w:p>
            <w:pPr>
              <w:spacing w:before="40" w:after="40" w:line="259" w:lineRule="auto"/>
            </w:pPr>
            <w:r>
              <w:rPr>
                <w:rFonts w:ascii="Calibri" w:hAnsi="Calibri"/>
                <w:b w:val="0"/>
                <w:color w:val="1F2A28"/>
                <w:sz w:val="17"/>
              </w:rPr>
              <w:t>Field visit / site tour</w:t>
            </w:r>
          </w:p>
        </w:tc>
        <w:tc>
          <w:tcPr>
            <w:tcW w:type="dxa" w:w="792"/>
          </w:tcPr>
          <w:p>
            <w:pPr>
              <w:spacing w:before="40" w:after="40" w:line="259" w:lineRule="auto"/>
            </w:pPr>
            <w:r>
              <w:rPr>
                <w:rFonts w:ascii="Calibri" w:hAnsi="Calibri"/>
                <w:b w:val="0"/>
                <w:color w:val="1F2A28"/>
                <w:sz w:val="17"/>
              </w:rPr>
              <w:t>C2–C4</w:t>
            </w:r>
          </w:p>
        </w:tc>
        <w:tc>
          <w:tcPr>
            <w:tcW w:type="dxa" w:w="3312"/>
          </w:tcPr>
          <w:p>
            <w:pPr>
              <w:spacing w:before="40" w:after="40" w:line="259" w:lineRule="auto"/>
            </w:pPr>
            <w:r>
              <w:rPr>
                <w:rFonts w:ascii="Calibri" w:hAnsi="Calibri"/>
                <w:b w:val="0"/>
                <w:color w:val="1F2A28"/>
                <w:sz w:val="17"/>
              </w:rPr>
              <w:t>Visit to a plant/site with a structured observation sheet tied to COs and a reflection report.</w:t>
            </w:r>
          </w:p>
        </w:tc>
        <w:tc>
          <w:tcPr>
            <w:tcW w:type="dxa" w:w="3456"/>
          </w:tcPr>
          <w:p>
            <w:pPr>
              <w:spacing w:before="40" w:after="40" w:line="259" w:lineRule="auto"/>
            </w:pPr>
            <w:r>
              <w:rPr>
                <w:rFonts w:ascii="Calibri" w:hAnsi="Calibri"/>
                <w:b w:val="0"/>
                <w:color w:val="1F2A28"/>
                <w:sz w:val="17"/>
              </w:rPr>
              <w:t>Concrete experience anchoring abstract content; documented in the Kolb cycle; strong student engagement.</w:t>
            </w:r>
          </w:p>
        </w:tc>
      </w:tr>
      <w:tr>
        <w:tc>
          <w:tcPr>
            <w:tcW w:type="dxa" w:w="1944"/>
          </w:tcPr>
          <w:p>
            <w:pPr>
              <w:spacing w:before="40" w:after="40" w:line="259" w:lineRule="auto"/>
            </w:pPr>
            <w:r>
              <w:rPr>
                <w:rFonts w:ascii="Calibri" w:hAnsi="Calibri"/>
                <w:b w:val="0"/>
                <w:color w:val="1F2A28"/>
                <w:sz w:val="17"/>
              </w:rPr>
              <w:t>XR (AR/VR) demonstration</w:t>
            </w:r>
          </w:p>
        </w:tc>
        <w:tc>
          <w:tcPr>
            <w:tcW w:type="dxa" w:w="792"/>
          </w:tcPr>
          <w:p>
            <w:pPr>
              <w:spacing w:before="40" w:after="40" w:line="259" w:lineRule="auto"/>
            </w:pPr>
            <w:r>
              <w:rPr>
                <w:rFonts w:ascii="Calibri" w:hAnsi="Calibri"/>
                <w:b w:val="0"/>
                <w:color w:val="1F2A28"/>
                <w:sz w:val="17"/>
              </w:rPr>
              <w:t>C2–C3</w:t>
            </w:r>
          </w:p>
        </w:tc>
        <w:tc>
          <w:tcPr>
            <w:tcW w:type="dxa" w:w="3312"/>
          </w:tcPr>
          <w:p>
            <w:pPr>
              <w:spacing w:before="40" w:after="40" w:line="259" w:lineRule="auto"/>
            </w:pPr>
            <w:r>
              <w:rPr>
                <w:rFonts w:ascii="Calibri" w:hAnsi="Calibri"/>
                <w:b w:val="0"/>
                <w:color w:val="1F2A28"/>
                <w:sz w:val="17"/>
              </w:rPr>
              <w:t>Immersive visualization of machinery, flows, or processes that are hard to observe physically.</w:t>
            </w:r>
          </w:p>
        </w:tc>
        <w:tc>
          <w:tcPr>
            <w:tcW w:type="dxa" w:w="3456"/>
          </w:tcPr>
          <w:p>
            <w:pPr>
              <w:spacing w:before="40" w:after="40" w:line="259" w:lineRule="auto"/>
            </w:pPr>
            <w:r>
              <w:rPr>
                <w:rFonts w:ascii="Calibri" w:hAnsi="Calibri"/>
                <w:b w:val="0"/>
                <w:color w:val="1F2A28"/>
                <w:sz w:val="17"/>
              </w:rPr>
              <w:t>Makes the invisible visible (internal flows, assemblies); aligns with AUST's XR-in-education research initiative.</w:t>
            </w:r>
          </w:p>
        </w:tc>
      </w:tr>
      <w:tr>
        <w:tc>
          <w:tcPr>
            <w:tcW w:type="dxa" w:w="1944"/>
          </w:tcPr>
          <w:p>
            <w:pPr>
              <w:spacing w:before="40" w:after="40" w:line="259" w:lineRule="auto"/>
            </w:pPr>
            <w:r>
              <w:rPr>
                <w:rFonts w:ascii="Calibri" w:hAnsi="Calibri"/>
                <w:b w:val="0"/>
                <w:color w:val="1F2A28"/>
                <w:sz w:val="17"/>
              </w:rPr>
              <w:t>Online discussion forum task</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Moderated asynchronous discussion with assessed contributions (e.g., LMS/Google Classroom).</w:t>
            </w:r>
          </w:p>
        </w:tc>
        <w:tc>
          <w:tcPr>
            <w:tcW w:type="dxa" w:w="3456"/>
          </w:tcPr>
          <w:p>
            <w:pPr>
              <w:spacing w:before="40" w:after="40" w:line="259" w:lineRule="auto"/>
            </w:pPr>
            <w:r>
              <w:rPr>
                <w:rFonts w:ascii="Calibri" w:hAnsi="Calibri"/>
                <w:b w:val="0"/>
                <w:color w:val="1F2A28"/>
                <w:sz w:val="17"/>
              </w:rPr>
              <w:t>Extends participation beyond class time; written argumentation evidence; inclusive of quieter students.</w:t>
            </w:r>
          </w:p>
        </w:tc>
      </w:tr>
      <w:tr>
        <w:tc>
          <w:tcPr>
            <w:tcW w:type="dxa" w:w="1944"/>
          </w:tcPr>
          <w:p>
            <w:pPr>
              <w:spacing w:before="40" w:after="40" w:line="259" w:lineRule="auto"/>
            </w:pPr>
            <w:r>
              <w:rPr>
                <w:rFonts w:ascii="Calibri" w:hAnsi="Calibri"/>
                <w:b w:val="0"/>
                <w:color w:val="1F2A28"/>
                <w:sz w:val="17"/>
              </w:rPr>
              <w:t>Interactive e-learning module / infographics</w:t>
            </w:r>
          </w:p>
        </w:tc>
        <w:tc>
          <w:tcPr>
            <w:tcW w:type="dxa" w:w="792"/>
          </w:tcPr>
          <w:p>
            <w:pPr>
              <w:spacing w:before="40" w:after="40" w:line="259" w:lineRule="auto"/>
            </w:pPr>
            <w:r>
              <w:rPr>
                <w:rFonts w:ascii="Calibri" w:hAnsi="Calibri"/>
                <w:b w:val="0"/>
                <w:color w:val="1F2A28"/>
                <w:sz w:val="17"/>
              </w:rPr>
              <w:t>C1–C3</w:t>
            </w:r>
          </w:p>
        </w:tc>
        <w:tc>
          <w:tcPr>
            <w:tcW w:type="dxa" w:w="3312"/>
          </w:tcPr>
          <w:p>
            <w:pPr>
              <w:spacing w:before="40" w:after="40" w:line="259" w:lineRule="auto"/>
            </w:pPr>
            <w:r>
              <w:rPr>
                <w:rFonts w:ascii="Calibri" w:hAnsi="Calibri"/>
                <w:b w:val="0"/>
                <w:color w:val="1F2A28"/>
                <w:sz w:val="17"/>
              </w:rPr>
              <w:t>Self-paced interactive HTML modules or infographics with embedded self-checks.</w:t>
            </w:r>
          </w:p>
        </w:tc>
        <w:tc>
          <w:tcPr>
            <w:tcW w:type="dxa" w:w="3456"/>
          </w:tcPr>
          <w:p>
            <w:pPr>
              <w:spacing w:before="40" w:after="40" w:line="259" w:lineRule="auto"/>
            </w:pPr>
            <w:r>
              <w:rPr>
                <w:rFonts w:ascii="Calibri" w:hAnsi="Calibri"/>
                <w:b w:val="0"/>
                <w:color w:val="1F2A28"/>
                <w:sz w:val="17"/>
              </w:rPr>
              <w:t>Supports self-paced revision and blended delivery; consistent with AUST's interactive learning resources practice.</w:t>
            </w:r>
          </w:p>
        </w:tc>
      </w:tr>
      <w:tr>
        <w:tc>
          <w:tcPr>
            <w:tcW w:type="dxa" w:w="1944"/>
          </w:tcPr>
          <w:p>
            <w:pPr>
              <w:spacing w:before="40" w:after="40" w:line="259" w:lineRule="auto"/>
            </w:pPr>
            <w:r>
              <w:rPr>
                <w:rFonts w:ascii="Calibri" w:hAnsi="Calibri"/>
                <w:b w:val="0"/>
                <w:color w:val="1F2A28"/>
                <w:sz w:val="17"/>
              </w:rPr>
              <w:t>Traditional classroom lecture</w:t>
            </w:r>
          </w:p>
        </w:tc>
        <w:tc>
          <w:tcPr>
            <w:tcW w:type="dxa" w:w="792"/>
          </w:tcPr>
          <w:p>
            <w:pPr>
              <w:spacing w:before="40" w:after="40" w:line="259" w:lineRule="auto"/>
            </w:pPr>
            <w:r>
              <w:rPr>
                <w:rFonts w:ascii="Calibri" w:hAnsi="Calibri"/>
                <w:b w:val="0"/>
                <w:color w:val="1F2A28"/>
                <w:sz w:val="17"/>
              </w:rPr>
              <w:t>C1–C3</w:t>
            </w:r>
          </w:p>
        </w:tc>
        <w:tc>
          <w:tcPr>
            <w:tcW w:type="dxa" w:w="3312"/>
          </w:tcPr>
          <w:p>
            <w:pPr>
              <w:spacing w:before="40" w:after="40" w:line="259" w:lineRule="auto"/>
            </w:pPr>
            <w:r>
              <w:rPr>
                <w:rFonts w:ascii="Calibri" w:hAnsi="Calibri"/>
                <w:b w:val="0"/>
                <w:color w:val="1F2A28"/>
                <w:sz w:val="17"/>
              </w:rPr>
              <w:t>Structured oral exposition with board/slides — the efficient baseline for delivering foundational content to any class size.</w:t>
            </w:r>
          </w:p>
        </w:tc>
        <w:tc>
          <w:tcPr>
            <w:tcW w:type="dxa" w:w="3456"/>
          </w:tcPr>
          <w:p>
            <w:pPr>
              <w:spacing w:before="40" w:after="40" w:line="259" w:lineRule="auto"/>
            </w:pPr>
            <w:r>
              <w:rPr>
                <w:rFonts w:ascii="Calibri" w:hAnsi="Calibri"/>
                <w:b w:val="0"/>
                <w:color w:val="1F2A28"/>
                <w:sz w:val="17"/>
              </w:rPr>
              <w:t>Efficient for transmitting structured content to a large group; kept in the pool because it remains appropriate for lower-order outcomes, and because naming it honestly is better than pretending it is not used.</w:t>
            </w:r>
          </w:p>
        </w:tc>
      </w:tr>
      <w:tr>
        <w:tc>
          <w:tcPr>
            <w:tcW w:type="dxa" w:w="1944"/>
          </w:tcPr>
          <w:p>
            <w:pPr>
              <w:spacing w:before="40" w:after="40" w:line="259" w:lineRule="auto"/>
            </w:pPr>
            <w:r>
              <w:rPr>
                <w:rFonts w:ascii="Calibri" w:hAnsi="Calibri"/>
                <w:b w:val="0"/>
                <w:color w:val="1F2A28"/>
                <w:sz w:val="17"/>
              </w:rPr>
              <w:t>Inductive teaching &amp; learning</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Instruction begins with specifics — data, a case or a real problem — from which students induce the governing principles (an umbrella covering inquiry, problem-, project-, case- and just-in-time approaches; Prince &amp; Felder, 2006).</w:t>
            </w:r>
          </w:p>
        </w:tc>
        <w:tc>
          <w:tcPr>
            <w:tcW w:type="dxa" w:w="3456"/>
          </w:tcPr>
          <w:p>
            <w:pPr>
              <w:spacing w:before="40" w:after="40" w:line="259" w:lineRule="auto"/>
            </w:pPr>
            <w:r>
              <w:rPr>
                <w:rFonts w:ascii="Calibri" w:hAnsi="Calibri"/>
                <w:b w:val="0"/>
                <w:color w:val="1F2A28"/>
                <w:sz w:val="17"/>
              </w:rPr>
              <w:t>Begins from a problem, case or observation and derives the principle from it, so students meet the reason for a theory before the theory itself.</w:t>
            </w:r>
          </w:p>
        </w:tc>
      </w:tr>
      <w:tr>
        <w:tc>
          <w:tcPr>
            <w:tcW w:type="dxa" w:w="1944"/>
          </w:tcPr>
          <w:p>
            <w:pPr>
              <w:spacing w:before="40" w:after="40" w:line="259" w:lineRule="auto"/>
            </w:pPr>
            <w:r>
              <w:rPr>
                <w:rFonts w:ascii="Calibri" w:hAnsi="Calibri"/>
                <w:b w:val="0"/>
                <w:color w:val="1F2A28"/>
                <w:sz w:val="17"/>
              </w:rPr>
              <w:t>In-class group discussion</w:t>
            </w:r>
          </w:p>
        </w:tc>
        <w:tc>
          <w:tcPr>
            <w:tcW w:type="dxa" w:w="792"/>
          </w:tcPr>
          <w:p>
            <w:pPr>
              <w:spacing w:before="40" w:after="40" w:line="259" w:lineRule="auto"/>
            </w:pPr>
            <w:r>
              <w:rPr>
                <w:rFonts w:ascii="Calibri" w:hAnsi="Calibri"/>
                <w:b w:val="0"/>
                <w:color w:val="1F2A28"/>
                <w:sz w:val="17"/>
              </w:rPr>
              <w:t>C2–C5</w:t>
            </w:r>
          </w:p>
        </w:tc>
        <w:tc>
          <w:tcPr>
            <w:tcW w:type="dxa" w:w="3312"/>
          </w:tcPr>
          <w:p>
            <w:pPr>
              <w:spacing w:before="40" w:after="40" w:line="259" w:lineRule="auto"/>
            </w:pPr>
            <w:r>
              <w:rPr>
                <w:rFonts w:ascii="Calibri" w:hAnsi="Calibri"/>
                <w:b w:val="0"/>
                <w:color w:val="1F2A28"/>
                <w:sz w:val="17"/>
              </w:rPr>
              <w:t>Facilitated small-group discussion of a focused question, with groups reporting their conclusions to the class.</w:t>
            </w:r>
          </w:p>
        </w:tc>
        <w:tc>
          <w:tcPr>
            <w:tcW w:type="dxa" w:w="3456"/>
          </w:tcPr>
          <w:p>
            <w:pPr>
              <w:spacing w:before="40" w:after="40" w:line="259" w:lineRule="auto"/>
            </w:pPr>
            <w:r>
              <w:rPr>
                <w:rFonts w:ascii="Calibri" w:hAnsi="Calibri"/>
                <w:b w:val="0"/>
                <w:color w:val="1F2A28"/>
                <w:sz w:val="17"/>
              </w:rPr>
              <w:t>Surfaces misconceptions that silent reading conceals, and gives students practice in articulating technical reasoning aloud.</w:t>
            </w:r>
          </w:p>
        </w:tc>
      </w:tr>
      <w:tr>
        <w:tc>
          <w:tcPr>
            <w:tcW w:type="dxa" w:w="1944"/>
          </w:tcPr>
          <w:p>
            <w:pPr>
              <w:spacing w:before="40" w:after="40" w:line="259" w:lineRule="auto"/>
            </w:pPr>
            <w:r>
              <w:rPr>
                <w:rFonts w:ascii="Calibri" w:hAnsi="Calibri"/>
                <w:b w:val="0"/>
                <w:color w:val="1F2A28"/>
                <w:sz w:val="17"/>
              </w:rPr>
              <w:t>Guided inquiry session</w:t>
            </w:r>
          </w:p>
        </w:tc>
        <w:tc>
          <w:tcPr>
            <w:tcW w:type="dxa" w:w="792"/>
          </w:tcPr>
          <w:p>
            <w:pPr>
              <w:spacing w:before="40" w:after="40" w:line="259" w:lineRule="auto"/>
            </w:pPr>
            <w:r>
              <w:rPr>
                <w:rFonts w:ascii="Calibri" w:hAnsi="Calibri"/>
                <w:b w:val="0"/>
                <w:color w:val="1F2A28"/>
                <w:sz w:val="17"/>
              </w:rPr>
              <w:t>C3–C5</w:t>
            </w:r>
          </w:p>
        </w:tc>
        <w:tc>
          <w:tcPr>
            <w:tcW w:type="dxa" w:w="3312"/>
          </w:tcPr>
          <w:p>
            <w:pPr>
              <w:spacing w:before="40" w:after="40" w:line="259" w:lineRule="auto"/>
            </w:pPr>
            <w:r>
              <w:rPr>
                <w:rFonts w:ascii="Calibri" w:hAnsi="Calibri"/>
                <w:b w:val="0"/>
                <w:color w:val="1F2A28"/>
                <w:sz w:val="17"/>
              </w:rPr>
              <w:t>Students investigate a driving question through structured, scaffolded steps toward the target concept.</w:t>
            </w:r>
          </w:p>
        </w:tc>
        <w:tc>
          <w:tcPr>
            <w:tcW w:type="dxa" w:w="3456"/>
          </w:tcPr>
          <w:p>
            <w:pPr>
              <w:spacing w:before="40" w:after="40" w:line="259" w:lineRule="auto"/>
            </w:pPr>
            <w:r>
              <w:rPr>
                <w:rFonts w:ascii="Calibri" w:hAnsi="Calibri"/>
                <w:b w:val="0"/>
                <w:color w:val="1F2A28"/>
                <w:sz w:val="17"/>
              </w:rPr>
              <w:t>Students reach the concept themselves through structured questions, which supports retention and suits analysis-level outcomes.</w:t>
            </w:r>
          </w:p>
        </w:tc>
      </w:tr>
      <w:tr>
        <w:tc>
          <w:tcPr>
            <w:tcW w:type="dxa" w:w="1944"/>
          </w:tcPr>
          <w:p>
            <w:pPr>
              <w:spacing w:before="40" w:after="40" w:line="259" w:lineRule="auto"/>
            </w:pPr>
            <w:r>
              <w:rPr>
                <w:rFonts w:ascii="Calibri" w:hAnsi="Calibri"/>
                <w:b w:val="0"/>
                <w:color w:val="1F2A28"/>
                <w:sz w:val="17"/>
              </w:rPr>
              <w:t>Just-in-time teaching (JiTT)</w:t>
            </w:r>
          </w:p>
        </w:tc>
        <w:tc>
          <w:tcPr>
            <w:tcW w:type="dxa" w:w="792"/>
          </w:tcPr>
          <w:p>
            <w:pPr>
              <w:spacing w:before="40" w:after="40" w:line="259" w:lineRule="auto"/>
            </w:pPr>
            <w:r>
              <w:rPr>
                <w:rFonts w:ascii="Calibri" w:hAnsi="Calibri"/>
                <w:b w:val="0"/>
                <w:color w:val="1F2A28"/>
                <w:sz w:val="17"/>
              </w:rPr>
              <w:t>C1–C3</w:t>
            </w:r>
          </w:p>
        </w:tc>
        <w:tc>
          <w:tcPr>
            <w:tcW w:type="dxa" w:w="3312"/>
          </w:tcPr>
          <w:p>
            <w:pPr>
              <w:spacing w:before="40" w:after="40" w:line="259" w:lineRule="auto"/>
            </w:pPr>
            <w:r>
              <w:rPr>
                <w:rFonts w:ascii="Calibri" w:hAnsi="Calibri"/>
                <w:b w:val="0"/>
                <w:color w:val="1F2A28"/>
                <w:sz w:val="17"/>
              </w:rPr>
              <w:t>Short web-based responses submitted before class shape that day's session around the revealed gaps.</w:t>
            </w:r>
          </w:p>
        </w:tc>
        <w:tc>
          <w:tcPr>
            <w:tcW w:type="dxa" w:w="3456"/>
          </w:tcPr>
          <w:p>
            <w:pPr>
              <w:spacing w:before="40" w:after="40" w:line="259" w:lineRule="auto"/>
            </w:pPr>
            <w:r>
              <w:rPr>
                <w:rFonts w:ascii="Calibri" w:hAnsi="Calibri"/>
                <w:b w:val="0"/>
                <w:color w:val="1F2A28"/>
                <w:sz w:val="17"/>
              </w:rPr>
              <w:t>Short pre-class tasks are reviewed before the session so contact time is spent on what the class actually found difficult.</w:t>
            </w:r>
          </w:p>
        </w:tc>
      </w:tr>
    </w:tbl>
    <w:p>
      <w:pPr>
        <w:spacing w:before="0" w:after="80" w:line="274" w:lineRule="auto"/>
        <w:jc w:val="left"/>
      </w:pPr>
    </w:p>
    <w:p>
      <w:pPr>
        <w:spacing w:before="0" w:after="140" w:line="274" w:lineRule="auto"/>
        <w:jc w:val="left"/>
      </w:pPr>
      <w:r>
        <w:rPr>
          <w:rFonts w:ascii="Calibri" w:hAnsi="Calibri"/>
          <w:b w:val="0"/>
          <w:i/>
          <w:color w:val="5C6B68"/>
          <w:sz w:val="20"/>
        </w:rPr>
        <w:t>36 activities. The pool is extensible: add your own in Data &amp; Backup → Pools, and they are ranked alongside these.</w:t>
      </w:r>
    </w:p>
    <w:p>
      <w:pPr>
        <w:pBdr>
          <w:left w:val="single" w:sz="14" w:space="8" w:color="A87210"/>
        </w:pBdr>
        <w:spacing w:before="100" w:after="180" w:line="271" w:lineRule="auto"/>
        <w:ind w:left="230"/>
      </w:pPr>
      <w:r>
        <w:rPr>
          <w:rFonts w:ascii="Calibri" w:hAnsi="Calibri"/>
          <w:b/>
          <w:color w:val="A87210"/>
          <w:sz w:val="21"/>
        </w:rPr>
        <w:t xml:space="preserve">About the PO numbers in the last column.  </w:t>
      </w:r>
      <w:r>
        <w:rPr>
          <w:rFonts w:ascii="Calibri" w:hAnsi="Calibri"/>
          <w:color w:val="1F2A28"/>
          <w:sz w:val="21"/>
        </w:rPr>
        <w:t>These rationales were written under Version 2.2, so the Programme Outcome numbers they cite follow Version 2.2 numbering. The reasoning is unchanged, but from PO6 onwards the numbers shift under Version 3 — see the table in Section 8. The activities themselves are not version-specific.</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F2A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i w:val="0"/>
      <w:color w:val="083A32"/>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i w:val="0"/>
      <w:color w:val="0F6B5C"/>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i w:val="0"/>
      <w:color w:val="083A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