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v2.20 (core calculations unchanged since v1.20; Group and choice-scheme settings live under each assessment's ⚙ Advanced panel; Class Performance assessments are described in Annex B; item Bloom levels, the CA tab and the PO Indicators of Framework Version 3 are alignment/documentation aids and do not enter the attainment mathematics) · © 2026 Prof. Mazharul Islam (mazhar17.github.io/MI)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>
              <w:t>Choice questions that are sub-parts of one question share a group name (Q3a, Q3b → group “Q3”). The group is the unit of the student's choice.</w:t>
            </w:r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>
              <w:t>Choice question left blank, but the student attempted another item of the same group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>
              <w:t>Choice question left blank, and no item of its group was attempted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choice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 varies per CO by design. A small n on a CO assessed only through choice questions means few students chose it — a curriculum signal in itself, visible before any percentage is read.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>Status: implemented in v1.20; from v1.21 the settings are entered under the assessment's ⚙ Advanced (question choice) panel. The rules below describe how the tool treats students who answer fewer choice questions than the exam requires.</w:t>
      </w:r>
      <w:r>
        <w:rPr>
          <w:b w:val="0"/>
          <w:i w:val="0"/>
          <w:color w:val="1F2D3D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Declaration: each assessment gains a field — “students must answer k of the choice questions” (e.g., 4 of 6). A question-unit is a group (Q3a+Q3b = one question) or an ungrouped choice question.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choice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p>
      <w:pPr>
        <w:pStyle w:val="Heading1"/>
      </w:pPr>
      <w:r>
        <w:rPr>
          <w:rFonts w:ascii="Calibri" w:hAnsi="Calibri"/>
          <w:color w:val="0A4A40"/>
        </w:rPr>
        <w:t>Annex B — v1.79: Class Performance (CP) assessments</w:t>
      </w:r>
    </w:p>
    <w:p>
      <w:pPr>
        <w:spacing w:after="120"/>
      </w:pPr>
      <w:r>
        <w:rPr>
          <w:b w:val="0"/>
          <w:i w:val="0"/>
          <w:color w:val="1F2D3D"/>
        </w:rPr>
        <w:t>Class performance is difficult to attribute to a single CO, so a CP assessment carries no authored questions. The teacher sets a total (typically 10) and ticks the COs the CP covers; the app maintains one internal item per ticked CO, each holding an equal share of the total (10 over 3 COs = 3.3333 each, stored to four decimals).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One mark per student: the marks grid shows a single CP column per CP assessment. The entered mark is distributed equally over the ticked COs, so every one of them receives the SAME percentage — a CP of 8/10 contributes 80% to each CO it covers.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No new rules: once distributed, the per-CO shares are ordinary mandatory items and follow R1–R2 exactly as any other item. A blank CP cell leaves the student unassessed on those shares rather than scoring zero.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Courses taught in parts: add one CP assessment per part (e.g., “CP — Part A”, “CP — Part B”), each with its own total and its own ticked COs. Each part's teacher fills only their own column, and the shares simply add to the COs they cover.</w:t>
      </w:r>
    </w:p>
    <w:p>
      <w:pPr>
        <w:spacing w:after="120"/>
      </w:pPr>
      <w:r>
        <w:rPr>
          <w:b w:val="0"/>
          <w:i w:val="0"/>
          <w:color w:val="1F2D3D"/>
        </w:rPr>
        <w:t>Because the split is equal by construction, a CP cannot discriminate between the COs it covers — it raises or lowers them together. Keep the CP total modest relative to the COs' other marks so that genuine, CO-specific evidence continues to dominate each attainment figure.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