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8F6" w:rsidRDefault="00485086">
      <w:pPr>
        <w:spacing w:after="280" w:line="259" w:lineRule="auto"/>
        <w:ind w:left="83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883785" cy="6096"/>
                <wp:effectExtent l="0" t="0" r="0" b="0"/>
                <wp:docPr id="3627" name="Group 3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4882" name="Shape 4882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7" style="width:384.55pt;height:0.47998pt;mso-position-horizontal-relative:char;mso-position-vertical-relative:line" coordsize="48837,60">
                <v:shape id="Shape 4883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:rsidR="00E338F6" w:rsidRDefault="00485086">
      <w:pPr>
        <w:spacing w:after="0" w:line="259" w:lineRule="auto"/>
        <w:ind w:left="7" w:firstLine="0"/>
        <w:jc w:val="center"/>
      </w:pPr>
      <w:r>
        <w:rPr>
          <w:rFonts w:ascii="Calibri" w:eastAsia="Calibri" w:hAnsi="Calibri" w:cs="Calibri"/>
          <w:color w:val="5B9BD5"/>
          <w:sz w:val="40"/>
        </w:rPr>
        <w:t xml:space="preserve">Change Tracking MS Dynamics CRM </w:t>
      </w:r>
    </w:p>
    <w:p w:rsidR="00E338F6" w:rsidRDefault="00485086">
      <w:pPr>
        <w:spacing w:after="423" w:line="259" w:lineRule="auto"/>
        <w:ind w:left="83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883785" cy="6096"/>
                <wp:effectExtent l="0" t="0" r="0" b="0"/>
                <wp:docPr id="3630" name="Group 3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4884" name="Shape 4884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0" style="width:384.55pt;height:0.47998pt;mso-position-horizontal-relative:char;mso-position-vertical-relative:line" coordsize="48837,60">
                <v:shape id="Shape 4885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sdt>
      <w:sdtPr>
        <w:id w:val="-1514147842"/>
        <w:docPartObj>
          <w:docPartGallery w:val="Table of Contents"/>
        </w:docPartObj>
      </w:sdtPr>
      <w:sdtEndPr/>
      <w:sdtContent>
        <w:p w:rsidR="00E338F6" w:rsidRDefault="00485086">
          <w:pPr>
            <w:spacing w:after="0" w:line="259" w:lineRule="auto"/>
            <w:ind w:left="0" w:firstLine="0"/>
          </w:pPr>
          <w:r>
            <w:rPr>
              <w:rFonts w:ascii="Calibri" w:eastAsia="Calibri" w:hAnsi="Calibri" w:cs="Calibri"/>
              <w:color w:val="2E74B5"/>
              <w:sz w:val="32"/>
            </w:rPr>
            <w:t xml:space="preserve">Contents </w:t>
          </w:r>
        </w:p>
        <w:p w:rsidR="00E338F6" w:rsidRDefault="00485086">
          <w:pPr>
            <w:spacing w:after="0" w:line="259" w:lineRule="auto"/>
            <w:ind w:left="0" w:firstLine="0"/>
          </w:pPr>
          <w:r>
            <w:rPr>
              <w:rFonts w:ascii="Calibri" w:eastAsia="Calibri" w:hAnsi="Calibri" w:cs="Calibri"/>
              <w:color w:val="000000"/>
              <w:sz w:val="22"/>
            </w:rPr>
            <w:t xml:space="preserve"> </w:t>
          </w:r>
        </w:p>
        <w:p w:rsidR="00E338F6" w:rsidRDefault="00485086">
          <w:pPr>
            <w:spacing w:after="7" w:line="259" w:lineRule="auto"/>
            <w:ind w:left="0" w:firstLine="0"/>
          </w:pPr>
          <w:r>
            <w:rPr>
              <w:rFonts w:ascii="Calibri" w:eastAsia="Calibri" w:hAnsi="Calibri" w:cs="Calibri"/>
              <w:color w:val="000000"/>
              <w:sz w:val="22"/>
            </w:rPr>
            <w:t xml:space="preserve"> </w:t>
          </w:r>
        </w:p>
        <w:p w:rsidR="00E338F6" w:rsidRDefault="00485086">
          <w:pPr>
            <w:pStyle w:val="TOC1"/>
            <w:tabs>
              <w:tab w:val="right" w:leader="dot" w:pos="9353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57">
            <w:r>
              <w:rPr>
                <w:rFonts w:ascii="Segoe UI" w:eastAsia="Segoe UI" w:hAnsi="Segoe UI" w:cs="Segoe UI"/>
              </w:rPr>
              <w:t>Introduction</w:t>
            </w:r>
            <w:r>
              <w:tab/>
            </w:r>
            <w:r>
              <w:fldChar w:fldCharType="begin"/>
            </w:r>
            <w:r>
              <w:instrText>PAGEREF _Toc4857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E338F6" w:rsidRDefault="00485086">
          <w:pPr>
            <w:pStyle w:val="TOC1"/>
            <w:tabs>
              <w:tab w:val="right" w:leader="dot" w:pos="9353"/>
            </w:tabs>
          </w:pPr>
          <w:hyperlink w:anchor="_Toc4858">
            <w:r>
              <w:rPr>
                <w:rFonts w:ascii="Segoe UI" w:eastAsia="Segoe UI" w:hAnsi="Segoe UI" w:cs="Segoe UI"/>
              </w:rPr>
              <w:t>Approach</w:t>
            </w:r>
            <w:r>
              <w:tab/>
            </w:r>
            <w:r>
              <w:fldChar w:fldCharType="begin"/>
            </w:r>
            <w:r>
              <w:instrText>PAGEREF _Toc4858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E338F6" w:rsidRDefault="00485086">
          <w:pPr>
            <w:pStyle w:val="TOC2"/>
            <w:tabs>
              <w:tab w:val="right" w:leader="dot" w:pos="9353"/>
            </w:tabs>
          </w:pPr>
          <w:hyperlink w:anchor="_Toc4859">
            <w:r>
              <w:rPr>
                <w:rFonts w:ascii="Segoe UI" w:eastAsia="Segoe UI" w:hAnsi="Segoe UI" w:cs="Segoe UI"/>
                <w:b/>
              </w:rPr>
              <w:t>Using Plugin</w:t>
            </w:r>
            <w:r>
              <w:tab/>
            </w:r>
            <w:r>
              <w:fldChar w:fldCharType="begin"/>
            </w:r>
            <w:r>
              <w:instrText>PAGEREF _Toc4859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E338F6" w:rsidRDefault="00485086">
          <w:pPr>
            <w:pStyle w:val="TOC1"/>
            <w:tabs>
              <w:tab w:val="right" w:leader="dot" w:pos="9353"/>
            </w:tabs>
          </w:pPr>
          <w:hyperlink w:anchor="_Toc4860">
            <w:r>
              <w:rPr>
                <w:rFonts w:ascii="Segoe UI" w:eastAsia="Segoe UI" w:hAnsi="Segoe UI" w:cs="Segoe UI"/>
              </w:rPr>
              <w:t>Further Improvements</w:t>
            </w:r>
            <w:r>
              <w:tab/>
            </w:r>
            <w:r>
              <w:fldChar w:fldCharType="begin"/>
            </w:r>
            <w:r>
              <w:instrText>PAGEREF _Toc4860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E338F6" w:rsidRDefault="00485086">
          <w:r>
            <w:fldChar w:fldCharType="end"/>
          </w:r>
        </w:p>
      </w:sdtContent>
    </w:sdt>
    <w:p w:rsidR="00E338F6" w:rsidRDefault="00485086">
      <w:pPr>
        <w:spacing w:after="482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338F6" w:rsidRDefault="00485086">
      <w:pPr>
        <w:spacing w:after="0" w:line="259" w:lineRule="auto"/>
        <w:ind w:left="0" w:firstLine="0"/>
      </w:pPr>
      <w:r>
        <w:rPr>
          <w:color w:val="000000"/>
          <w:sz w:val="66"/>
        </w:rPr>
        <w:t xml:space="preserve"> </w:t>
      </w:r>
    </w:p>
    <w:p w:rsidR="00E338F6" w:rsidRDefault="00485086">
      <w:pPr>
        <w:spacing w:after="0" w:line="259" w:lineRule="auto"/>
        <w:ind w:left="0" w:firstLine="0"/>
      </w:pPr>
      <w:r>
        <w:rPr>
          <w:color w:val="000000"/>
          <w:sz w:val="66"/>
        </w:rPr>
        <w:t xml:space="preserve"> </w:t>
      </w:r>
    </w:p>
    <w:p w:rsidR="00E338F6" w:rsidRDefault="00485086">
      <w:pPr>
        <w:spacing w:after="0" w:line="259" w:lineRule="auto"/>
        <w:ind w:left="0" w:firstLine="0"/>
      </w:pPr>
      <w:r>
        <w:rPr>
          <w:color w:val="000000"/>
          <w:sz w:val="66"/>
        </w:rPr>
        <w:t xml:space="preserve"> </w:t>
      </w:r>
    </w:p>
    <w:p w:rsidR="00E338F6" w:rsidRDefault="00485086">
      <w:pPr>
        <w:spacing w:after="0" w:line="259" w:lineRule="auto"/>
        <w:ind w:left="0" w:firstLine="0"/>
      </w:pPr>
      <w:r>
        <w:rPr>
          <w:color w:val="000000"/>
          <w:sz w:val="66"/>
        </w:rPr>
        <w:t xml:space="preserve"> </w:t>
      </w:r>
    </w:p>
    <w:p w:rsidR="00E338F6" w:rsidRDefault="00485086">
      <w:pPr>
        <w:spacing w:after="0" w:line="259" w:lineRule="auto"/>
        <w:ind w:left="0" w:firstLine="0"/>
      </w:pPr>
      <w:r>
        <w:rPr>
          <w:color w:val="000000"/>
          <w:sz w:val="66"/>
        </w:rPr>
        <w:t xml:space="preserve"> </w:t>
      </w:r>
    </w:p>
    <w:p w:rsidR="00E338F6" w:rsidRDefault="00485086">
      <w:pPr>
        <w:spacing w:after="0" w:line="259" w:lineRule="auto"/>
        <w:ind w:left="0" w:firstLine="0"/>
      </w:pPr>
      <w:r>
        <w:rPr>
          <w:color w:val="000000"/>
          <w:sz w:val="66"/>
        </w:rPr>
        <w:t xml:space="preserve"> </w:t>
      </w:r>
    </w:p>
    <w:p w:rsidR="00E338F6" w:rsidRDefault="00485086">
      <w:pPr>
        <w:spacing w:after="0" w:line="259" w:lineRule="auto"/>
        <w:ind w:left="0" w:firstLine="0"/>
      </w:pPr>
      <w:r>
        <w:rPr>
          <w:color w:val="000000"/>
          <w:sz w:val="66"/>
        </w:rPr>
        <w:t xml:space="preserve"> </w:t>
      </w:r>
    </w:p>
    <w:p w:rsidR="00E338F6" w:rsidRDefault="00485086">
      <w:pPr>
        <w:spacing w:after="0" w:line="259" w:lineRule="auto"/>
        <w:ind w:left="0" w:firstLine="0"/>
      </w:pPr>
      <w:r>
        <w:rPr>
          <w:color w:val="000000"/>
          <w:sz w:val="66"/>
        </w:rPr>
        <w:t xml:space="preserve"> </w:t>
      </w:r>
    </w:p>
    <w:p w:rsidR="00E338F6" w:rsidRDefault="00485086">
      <w:pPr>
        <w:spacing w:after="0" w:line="259" w:lineRule="auto"/>
        <w:ind w:left="0" w:firstLine="0"/>
      </w:pPr>
      <w:r>
        <w:rPr>
          <w:color w:val="000000"/>
          <w:sz w:val="66"/>
        </w:rPr>
        <w:t xml:space="preserve"> </w:t>
      </w:r>
    </w:p>
    <w:p w:rsidR="00E338F6" w:rsidRDefault="00485086">
      <w:pPr>
        <w:pStyle w:val="Heading1"/>
        <w:ind w:left="0" w:firstLine="0"/>
      </w:pPr>
      <w:bookmarkStart w:id="0" w:name="_Toc4857"/>
      <w:r>
        <w:rPr>
          <w:color w:val="000000"/>
        </w:rPr>
        <w:t xml:space="preserve">Introduction </w:t>
      </w:r>
      <w:bookmarkEnd w:id="0"/>
    </w:p>
    <w:p w:rsidR="00E338F6" w:rsidRDefault="00485086">
      <w:pPr>
        <w:spacing w:after="0" w:line="259" w:lineRule="auto"/>
        <w:ind w:left="0" w:firstLine="0"/>
      </w:pPr>
      <w:r>
        <w:rPr>
          <w:b/>
          <w:color w:val="5D5D5D"/>
        </w:rPr>
        <w:t xml:space="preserve"> </w:t>
      </w:r>
    </w:p>
    <w:p w:rsidR="00E338F6" w:rsidRDefault="00485086">
      <w:pPr>
        <w:spacing w:after="0" w:line="259" w:lineRule="auto"/>
        <w:ind w:left="0" w:firstLine="0"/>
      </w:pPr>
      <w:r>
        <w:rPr>
          <w:b/>
          <w:color w:val="5D5D5D"/>
        </w:rPr>
        <w:t>Dynamics CRM 2016</w:t>
      </w:r>
      <w:r>
        <w:rPr>
          <w:color w:val="5D5D5D"/>
        </w:rPr>
        <w:t xml:space="preserve"> </w:t>
      </w:r>
    </w:p>
    <w:p w:rsidR="00E338F6" w:rsidRDefault="00485086">
      <w:pPr>
        <w:spacing w:after="0" w:line="259" w:lineRule="auto"/>
        <w:ind w:left="0" w:firstLine="0"/>
      </w:pPr>
      <w:r>
        <w:rPr>
          <w:color w:val="000000"/>
        </w:rPr>
        <w:t xml:space="preserve">  </w:t>
      </w:r>
    </w:p>
    <w:p w:rsidR="00E338F6" w:rsidRDefault="00485086">
      <w:pPr>
        <w:ind w:left="-5"/>
      </w:pPr>
      <w:r>
        <w:t xml:space="preserve">Applies To: Dynamics 365 (online), Dynamics 365 (on-premises </w:t>
      </w:r>
    </w:p>
    <w:p w:rsidR="00E338F6" w:rsidRDefault="00485086">
      <w:pPr>
        <w:spacing w:after="0" w:line="259" w:lineRule="auto"/>
        <w:ind w:left="0" w:firstLine="0"/>
      </w:pPr>
      <w:r>
        <w:t xml:space="preserve"> </w:t>
      </w:r>
    </w:p>
    <w:p w:rsidR="00E338F6" w:rsidRDefault="00485086">
      <w:pPr>
        <w:ind w:left="-5"/>
      </w:pPr>
      <w:r>
        <w:t>In Microsoft Dynamics 365, An o</w:t>
      </w:r>
      <w:r>
        <w:t>ut of the box feature to capture the changes on</w:t>
      </w:r>
      <w:r>
        <w:t xml:space="preserve"> records by the Users or System is achieved by enabling the</w:t>
      </w:r>
      <w:r>
        <w:t xml:space="preserve"> “Audit” for an entity but there is no out of the box feature to track </w:t>
      </w:r>
      <w:r>
        <w:t>the changes done by</w:t>
      </w:r>
      <w:r>
        <w:rPr>
          <w:color w:val="1F497D"/>
        </w:rPr>
        <w:t xml:space="preserve"> </w:t>
      </w:r>
      <w:r>
        <w:t>System Administrators/System Customizers or anyone having access to make a change</w:t>
      </w:r>
      <w:r>
        <w:t xml:space="preserve"> in the application. </w:t>
      </w:r>
    </w:p>
    <w:p w:rsidR="00E338F6" w:rsidRDefault="00485086">
      <w:pPr>
        <w:spacing w:after="0" w:line="259" w:lineRule="auto"/>
        <w:ind w:left="0" w:firstLine="0"/>
      </w:pPr>
      <w:r>
        <w:t xml:space="preserve"> </w:t>
      </w:r>
    </w:p>
    <w:p w:rsidR="00E338F6" w:rsidRDefault="00485086">
      <w:pPr>
        <w:ind w:left="-5"/>
      </w:pPr>
      <w:r>
        <w:t>There could be requirements where the business owners and IT Admins</w:t>
      </w:r>
      <w:r>
        <w:t xml:space="preserve"> want to see the changes done in the application for a specific time period. It could be useful during a Live Site, Troubleshooting or fixing an issue. </w:t>
      </w:r>
      <w:r>
        <w:t>But, there is no audit available for such customization changes in MS CRM</w:t>
      </w:r>
      <w:r>
        <w:t xml:space="preserve"> right now. </w:t>
      </w:r>
    </w:p>
    <w:p w:rsidR="00E338F6" w:rsidRDefault="00485086">
      <w:pPr>
        <w:spacing w:after="0" w:line="259" w:lineRule="auto"/>
        <w:ind w:left="0" w:firstLine="0"/>
      </w:pPr>
      <w:r>
        <w:lastRenderedPageBreak/>
        <w:t xml:space="preserve"> </w:t>
      </w:r>
    </w:p>
    <w:p w:rsidR="00E338F6" w:rsidRDefault="00485086">
      <w:pPr>
        <w:ind w:left="-5"/>
      </w:pPr>
      <w:r>
        <w:t>CRM stores the information about various components like Entities, Web resources (HTML, JavaScript etc), Workflows in its</w:t>
      </w:r>
      <w:r>
        <w:t xml:space="preserve"> data base. </w:t>
      </w:r>
    </w:p>
    <w:p w:rsidR="00E338F6" w:rsidRDefault="00485086">
      <w:pPr>
        <w:spacing w:after="0" w:line="259" w:lineRule="auto"/>
        <w:ind w:left="0" w:firstLine="0"/>
      </w:pPr>
      <w:r>
        <w:t xml:space="preserve"> </w:t>
      </w:r>
    </w:p>
    <w:p w:rsidR="00E338F6" w:rsidRDefault="00485086">
      <w:pPr>
        <w:ind w:left="-5"/>
      </w:pPr>
      <w:r>
        <w:t>The extraction of this information and the triggering point to collect this information varies due to som</w:t>
      </w:r>
      <w:r>
        <w:t xml:space="preserve">e restrictions for developers. </w:t>
      </w:r>
    </w:p>
    <w:p w:rsidR="00E338F6" w:rsidRDefault="00485086">
      <w:pPr>
        <w:spacing w:after="0" w:line="259" w:lineRule="auto"/>
        <w:ind w:left="0" w:firstLine="0"/>
      </w:pPr>
      <w:r>
        <w:t xml:space="preserve"> </w:t>
      </w:r>
    </w:p>
    <w:p w:rsidR="00E338F6" w:rsidRDefault="00485086" w:rsidP="00485086">
      <w:pPr>
        <w:ind w:left="-5"/>
      </w:pPr>
      <w:r>
        <w:t xml:space="preserve">The approach followed for this solution is elaborated in this document. </w:t>
      </w:r>
      <w:r>
        <w:rPr>
          <w:b/>
          <w:sz w:val="28"/>
        </w:rPr>
        <w:t xml:space="preserve"> </w:t>
      </w:r>
    </w:p>
    <w:p w:rsidR="00E338F6" w:rsidRDefault="00485086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E338F6" w:rsidRDefault="00485086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E338F6" w:rsidRDefault="00485086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E338F6" w:rsidRDefault="00485086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E338F6" w:rsidRDefault="00485086">
      <w:pPr>
        <w:spacing w:after="0" w:line="259" w:lineRule="auto"/>
        <w:ind w:left="-5"/>
      </w:pPr>
      <w:r>
        <w:rPr>
          <w:b/>
          <w:sz w:val="28"/>
          <w:u w:val="single" w:color="2A2A2A"/>
        </w:rPr>
        <w:t>What Change Tracking Achieves:</w:t>
      </w:r>
      <w:r>
        <w:rPr>
          <w:b/>
          <w:sz w:val="28"/>
        </w:rPr>
        <w:t xml:space="preserve">  </w:t>
      </w:r>
    </w:p>
    <w:p w:rsidR="00E338F6" w:rsidRDefault="00485086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77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E338F6">
        <w:trPr>
          <w:trHeight w:val="128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Component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1" w:right="35" w:firstLine="0"/>
            </w:pPr>
            <w:r>
              <w:rPr>
                <w:b/>
                <w:sz w:val="24"/>
              </w:rPr>
              <w:t xml:space="preserve">Default Collection of Change tracking by D365 (Where and How)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Change Tracking Solution (How does it make it simpler)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Approach of Change Tracking solution. </w:t>
            </w:r>
          </w:p>
        </w:tc>
      </w:tr>
      <w:tr w:rsidR="00E338F6">
        <w:trPr>
          <w:trHeight w:val="2057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Entity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No, CRM does not store the information about </w:t>
            </w:r>
            <w:r>
              <w:rPr>
                <w:sz w:val="22"/>
              </w:rPr>
              <w:t xml:space="preserve">this when the </w:t>
            </w:r>
            <w:r>
              <w:rPr>
                <w:sz w:val="22"/>
              </w:rPr>
              <w:t xml:space="preserve">component is modified or by whom it is modified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Change tracking, tracks whenever this component is modified &amp; published and stores this information in a new entity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0" w:right="38" w:firstLine="0"/>
            </w:pPr>
            <w:r>
              <w:rPr>
                <w:sz w:val="22"/>
              </w:rPr>
              <w:t>Using “Publish” message, we extract</w:t>
            </w:r>
            <w:r>
              <w:rPr>
                <w:sz w:val="22"/>
              </w:rPr>
              <w:t xml:space="preserve"> information of the modified user and time when an entity is modified and published. </w:t>
            </w:r>
          </w:p>
        </w:tc>
      </w:tr>
      <w:tr w:rsidR="00E338F6">
        <w:trPr>
          <w:trHeight w:val="293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Web Resources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38" w:lineRule="auto"/>
              <w:ind w:left="1" w:right="37" w:firstLine="0"/>
            </w:pPr>
            <w:r>
              <w:rPr>
                <w:sz w:val="22"/>
              </w:rPr>
              <w:t>CRM stores the information about the web resources in “Web resource”</w:t>
            </w:r>
            <w:r>
              <w:rPr>
                <w:sz w:val="22"/>
              </w:rPr>
              <w:t xml:space="preserve"> table </w:t>
            </w:r>
          </w:p>
          <w:p w:rsidR="00E338F6" w:rsidRDefault="00485086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but this is not visible in the application.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Pr="00485086" w:rsidRDefault="00485086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Change tracking captures the web resource details which includes </w:t>
            </w:r>
            <w:r>
              <w:rPr>
                <w:sz w:val="22"/>
              </w:rPr>
              <w:t>modified user, modified time and resource type.</w:t>
            </w:r>
            <w:r>
              <w:rPr>
                <w:sz w:val="22"/>
              </w:rPr>
              <w:t xml:space="preserve"> whenever a web resource is </w:t>
            </w:r>
            <w:r>
              <w:rPr>
                <w:sz w:val="22"/>
              </w:rPr>
              <w:t>modified &amp; published, Change tracking</w:t>
            </w:r>
            <w:r>
              <w:rPr>
                <w:sz w:val="22"/>
              </w:rPr>
              <w:t xml:space="preserve"> stores this information in an</w:t>
            </w:r>
            <w:r>
              <w:rPr>
                <w:sz w:val="22"/>
              </w:rPr>
              <w:t xml:space="preserve"> en</w:t>
            </w:r>
            <w:r>
              <w:rPr>
                <w:sz w:val="22"/>
              </w:rPr>
              <w:t>tity called “Change Tracking”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0" w:right="38" w:firstLine="0"/>
            </w:pPr>
            <w:r>
              <w:rPr>
                <w:sz w:val="22"/>
              </w:rPr>
              <w:t>Using “Publish” message, we extract</w:t>
            </w:r>
            <w:r>
              <w:rPr>
                <w:sz w:val="22"/>
              </w:rPr>
              <w:t xml:space="preserve"> the information of the modified user and time when a web resource is modified and published. </w:t>
            </w:r>
          </w:p>
        </w:tc>
      </w:tr>
      <w:tr w:rsidR="00E338F6">
        <w:trPr>
          <w:trHeight w:val="2717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lastRenderedPageBreak/>
              <w:t xml:space="preserve">Plugin Assemblies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1" w:right="37" w:firstLine="0"/>
            </w:pPr>
            <w:r>
              <w:rPr>
                <w:sz w:val="22"/>
              </w:rPr>
              <w:t xml:space="preserve">CRM stores the information about the assemblies in “pluginassembly” table but this is not visible in the application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0" w:right="9" w:firstLine="0"/>
            </w:pPr>
            <w:r>
              <w:rPr>
                <w:sz w:val="22"/>
              </w:rPr>
              <w:t>Change tracking uses a batch job which executes in a specified time frame and captures the modified time and user and stores this informat</w:t>
            </w:r>
            <w:r>
              <w:rPr>
                <w:sz w:val="22"/>
              </w:rPr>
              <w:t xml:space="preserve">ion in a new entity.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Using a batch job </w:t>
            </w:r>
            <w:bookmarkStart w:id="1" w:name="_GoBack"/>
            <w:bookmarkEnd w:id="1"/>
            <w:r>
              <w:rPr>
                <w:sz w:val="22"/>
              </w:rPr>
              <w:t xml:space="preserve">which gets the data from “Pluginassembly” entity. </w:t>
            </w:r>
          </w:p>
        </w:tc>
      </w:tr>
      <w:tr w:rsidR="00E338F6">
        <w:trPr>
          <w:trHeight w:val="2645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Workflows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1" w:right="37" w:firstLine="0"/>
            </w:pPr>
            <w:r>
              <w:rPr>
                <w:sz w:val="22"/>
              </w:rPr>
              <w:t xml:space="preserve">CRM stores the information about the workflows in “Workflow” table but this is not visible to the user in the application.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0" w:right="9" w:firstLine="0"/>
            </w:pPr>
            <w:r>
              <w:rPr>
                <w:sz w:val="22"/>
              </w:rPr>
              <w:t xml:space="preserve">Change tracking uses a batch job </w:t>
            </w:r>
            <w:r>
              <w:rPr>
                <w:sz w:val="22"/>
              </w:rPr>
              <w:t xml:space="preserve">which executes in a specified time frame and captures the modified time and user and stores this information in a new entity.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8F6" w:rsidRDefault="0048508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Using a batch which gets the data from “workflow” entity. </w:t>
            </w:r>
          </w:p>
        </w:tc>
      </w:tr>
    </w:tbl>
    <w:p w:rsidR="00E338F6" w:rsidRDefault="00485086">
      <w:pPr>
        <w:pStyle w:val="Heading1"/>
        <w:ind w:left="-5"/>
      </w:pPr>
      <w:bookmarkStart w:id="2" w:name="_Toc4858"/>
      <w:r>
        <w:t xml:space="preserve">Approach </w:t>
      </w:r>
      <w:bookmarkEnd w:id="2"/>
    </w:p>
    <w:p w:rsidR="00E338F6" w:rsidRDefault="00485086">
      <w:pPr>
        <w:spacing w:after="11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338F6" w:rsidRDefault="00485086">
      <w:pPr>
        <w:pStyle w:val="Heading2"/>
        <w:ind w:left="-5"/>
      </w:pPr>
      <w:bookmarkStart w:id="3" w:name="_Toc4859"/>
      <w:r>
        <w:t>Using Plugin</w:t>
      </w:r>
      <w:r>
        <w:rPr>
          <w:u w:val="none" w:color="000000"/>
        </w:rPr>
        <w:t xml:space="preserve"> </w:t>
      </w:r>
      <w:bookmarkEnd w:id="3"/>
    </w:p>
    <w:p w:rsidR="00E338F6" w:rsidRDefault="00485086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E338F6" w:rsidRDefault="00485086">
      <w:pPr>
        <w:spacing w:after="0" w:line="259" w:lineRule="auto"/>
        <w:ind w:left="-5"/>
      </w:pPr>
      <w:r>
        <w:rPr>
          <w:b/>
          <w:sz w:val="24"/>
          <w:u w:val="single" w:color="2A2A2A"/>
        </w:rPr>
        <w:t>For Entities &amp; Web resources</w:t>
      </w:r>
      <w:r>
        <w:rPr>
          <w:b/>
          <w:sz w:val="24"/>
        </w:rPr>
        <w:t xml:space="preserve"> </w:t>
      </w:r>
    </w:p>
    <w:p w:rsidR="00E338F6" w:rsidRDefault="00485086">
      <w:pPr>
        <w:spacing w:after="16" w:line="259" w:lineRule="auto"/>
        <w:ind w:left="0" w:firstLine="0"/>
      </w:pPr>
      <w:r>
        <w:t xml:space="preserve"> </w:t>
      </w:r>
    </w:p>
    <w:p w:rsidR="00E338F6" w:rsidRDefault="00485086">
      <w:pPr>
        <w:numPr>
          <w:ilvl w:val="0"/>
          <w:numId w:val="1"/>
        </w:numPr>
        <w:ind w:hanging="360"/>
      </w:pPr>
      <w:r>
        <w:rPr>
          <w:b/>
        </w:rPr>
        <w:t>“Publish” Message</w:t>
      </w:r>
      <w:r>
        <w:t xml:space="preserve">: A plugin can be registered for this message type which will be executed whenever someone publishes on entity or web resource like JavaScript/HTML/XML etc. This plugin also captures name of the component being published in XML format. </w:t>
      </w:r>
    </w:p>
    <w:p w:rsidR="00E338F6" w:rsidRDefault="00485086">
      <w:pPr>
        <w:ind w:left="730"/>
      </w:pPr>
      <w:r>
        <w:rPr>
          <w:b/>
        </w:rPr>
        <w:t>Li</w:t>
      </w:r>
      <w:r>
        <w:rPr>
          <w:b/>
        </w:rPr>
        <w:t>mitation</w:t>
      </w:r>
      <w:r>
        <w:t xml:space="preserve">: This message type can capture the information of Entities &amp; Web Resources. This message cannot capture the information about the workflows and plugin assemblies (dll files) as the method of updating these are different and are not “published” </w:t>
      </w:r>
    </w:p>
    <w:p w:rsidR="00E338F6" w:rsidRDefault="00485086">
      <w:pPr>
        <w:spacing w:after="19" w:line="259" w:lineRule="auto"/>
        <w:ind w:left="0" w:firstLine="0"/>
      </w:pPr>
      <w:r>
        <w:t xml:space="preserve"> </w:t>
      </w:r>
    </w:p>
    <w:p w:rsidR="00E338F6" w:rsidRDefault="00485086">
      <w:pPr>
        <w:numPr>
          <w:ilvl w:val="0"/>
          <w:numId w:val="1"/>
        </w:numPr>
        <w:ind w:hanging="360"/>
      </w:pPr>
      <w:r>
        <w:rPr>
          <w:b/>
        </w:rPr>
        <w:t>“PublishAll” Message</w:t>
      </w:r>
      <w:r>
        <w:t xml:space="preserve">: A plugin can be registered for this message type which will be executed whenever someone publishes a group of components in a solution using “Publish all customizations” button. </w:t>
      </w:r>
    </w:p>
    <w:p w:rsidR="00E338F6" w:rsidRDefault="00485086">
      <w:pPr>
        <w:spacing w:after="33"/>
        <w:ind w:left="730"/>
      </w:pPr>
      <w:r>
        <w:rPr>
          <w:b/>
        </w:rPr>
        <w:t>Limitation:</w:t>
      </w:r>
      <w:r>
        <w:t xml:space="preserve"> We will not have the information about </w:t>
      </w:r>
      <w:r>
        <w:t xml:space="preserve">the names of the components which are being published like we get in “publish” plugin. This only can capture limited information like which user published and when it was done. </w:t>
      </w:r>
    </w:p>
    <w:p w:rsidR="00E338F6" w:rsidRDefault="00485086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E338F6" w:rsidRDefault="00485086">
      <w:pPr>
        <w:spacing w:after="0" w:line="259" w:lineRule="auto"/>
        <w:ind w:left="-5"/>
      </w:pPr>
      <w:r>
        <w:rPr>
          <w:b/>
          <w:sz w:val="24"/>
          <w:u w:val="single" w:color="2A2A2A"/>
        </w:rPr>
        <w:lastRenderedPageBreak/>
        <w:t>For Plugin Assemblies (dll files) &amp; Workflows:</w:t>
      </w:r>
      <w:r>
        <w:rPr>
          <w:color w:val="1F497D"/>
        </w:rPr>
        <w:t xml:space="preserve">  </w:t>
      </w:r>
    </w:p>
    <w:p w:rsidR="00E338F6" w:rsidRDefault="00485086">
      <w:pPr>
        <w:spacing w:after="0" w:line="259" w:lineRule="auto"/>
        <w:ind w:left="0" w:firstLine="0"/>
      </w:pPr>
      <w:r>
        <w:rPr>
          <w:color w:val="1F497D"/>
        </w:rPr>
        <w:t xml:space="preserve"> </w:t>
      </w:r>
    </w:p>
    <w:p w:rsidR="00E338F6" w:rsidRDefault="00485086">
      <w:pPr>
        <w:ind w:left="-5"/>
      </w:pPr>
      <w:r>
        <w:t>The information about Plu</w:t>
      </w:r>
      <w:r>
        <w:t xml:space="preserve">gin assemblies in stored in “pluginassembly” entity and Workflows in stored in “workflow” entity.  </w:t>
      </w:r>
    </w:p>
    <w:p w:rsidR="00E338F6" w:rsidRDefault="00485086">
      <w:pPr>
        <w:spacing w:after="0" w:line="259" w:lineRule="auto"/>
        <w:ind w:left="0" w:firstLine="0"/>
      </w:pPr>
      <w:r>
        <w:t xml:space="preserve"> </w:t>
      </w:r>
    </w:p>
    <w:p w:rsidR="00E338F6" w:rsidRDefault="00485086">
      <w:pPr>
        <w:ind w:left="-5"/>
      </w:pPr>
      <w:r>
        <w:t>We cannot register any plugin on these entities to track the information about the modifications done as these are not available to developers in plugin r</w:t>
      </w:r>
      <w:r>
        <w:t xml:space="preserve">egistration tool. There is no trigger point for the code to execute when developer updates a dll or workflow. </w:t>
      </w:r>
    </w:p>
    <w:p w:rsidR="00E338F6" w:rsidRDefault="00485086">
      <w:pPr>
        <w:spacing w:after="0" w:line="259" w:lineRule="auto"/>
        <w:ind w:left="0" w:firstLine="0"/>
      </w:pPr>
      <w:r>
        <w:t xml:space="preserve"> </w:t>
      </w:r>
    </w:p>
    <w:p w:rsidR="00E338F6" w:rsidRDefault="00485086">
      <w:pPr>
        <w:ind w:left="-5"/>
      </w:pPr>
      <w:r>
        <w:t>We use a batch job which will run every hour and fetches data like “ModifiedOn”, “ModifiedBy”, “Name of the component” about the Plugin assembl</w:t>
      </w:r>
      <w:r>
        <w:t xml:space="preserve">ies and workflows,  </w:t>
      </w:r>
    </w:p>
    <w:p w:rsidR="00E338F6" w:rsidRDefault="00485086">
      <w:pPr>
        <w:spacing w:after="0" w:line="259" w:lineRule="auto"/>
        <w:ind w:left="0" w:firstLine="0"/>
      </w:pPr>
      <w:r>
        <w:t xml:space="preserve"> </w:t>
      </w:r>
    </w:p>
    <w:p w:rsidR="00E338F6" w:rsidRDefault="00485086">
      <w:pPr>
        <w:spacing w:after="72"/>
        <w:ind w:left="-5"/>
      </w:pPr>
      <w:r>
        <w:rPr>
          <w:b/>
        </w:rPr>
        <w:t>Limitation</w:t>
      </w:r>
      <w:r>
        <w:t xml:space="preserve">: This will only give information about the last modified before this batch job executes.  </w:t>
      </w:r>
    </w:p>
    <w:p w:rsidR="00E338F6" w:rsidRDefault="00485086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E338F6" w:rsidRDefault="00485086">
      <w:pPr>
        <w:spacing w:after="418" w:line="259" w:lineRule="auto"/>
        <w:ind w:left="0" w:firstLine="0"/>
      </w:pPr>
      <w:r>
        <w:rPr>
          <w:b/>
          <w:sz w:val="28"/>
        </w:rPr>
        <w:t xml:space="preserve"> </w:t>
      </w:r>
    </w:p>
    <w:p w:rsidR="00E338F6" w:rsidRDefault="00485086">
      <w:pPr>
        <w:pStyle w:val="Heading1"/>
        <w:ind w:left="-5"/>
      </w:pPr>
      <w:bookmarkStart w:id="4" w:name="_Toc4860"/>
      <w:r>
        <w:t xml:space="preserve">Further Improvements </w:t>
      </w:r>
      <w:bookmarkEnd w:id="4"/>
    </w:p>
    <w:p w:rsidR="00E338F6" w:rsidRDefault="00485086">
      <w:pPr>
        <w:spacing w:after="2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338F6" w:rsidRDefault="00485086">
      <w:pPr>
        <w:numPr>
          <w:ilvl w:val="0"/>
          <w:numId w:val="2"/>
        </w:numPr>
        <w:spacing w:after="46" w:line="240" w:lineRule="auto"/>
        <w:ind w:hanging="360"/>
      </w:pPr>
      <w:r>
        <w:rPr>
          <w:rFonts w:ascii="Calibri" w:eastAsia="Calibri" w:hAnsi="Calibri" w:cs="Calibri"/>
          <w:color w:val="000000"/>
          <w:sz w:val="22"/>
        </w:rPr>
        <w:t>We can develop reports based on the data we capture and get the information about the modified componen</w:t>
      </w:r>
      <w:r>
        <w:rPr>
          <w:rFonts w:ascii="Calibri" w:eastAsia="Calibri" w:hAnsi="Calibri" w:cs="Calibri"/>
          <w:color w:val="000000"/>
          <w:sz w:val="22"/>
        </w:rPr>
        <w:t xml:space="preserve">ts in the application between a given time period </w:t>
      </w:r>
    </w:p>
    <w:p w:rsidR="00E338F6" w:rsidRDefault="00485086">
      <w:pPr>
        <w:numPr>
          <w:ilvl w:val="0"/>
          <w:numId w:val="2"/>
        </w:numPr>
        <w:spacing w:after="0" w:line="259" w:lineRule="auto"/>
        <w:ind w:hanging="360"/>
      </w:pPr>
      <w:r>
        <w:rPr>
          <w:rFonts w:ascii="Calibri" w:eastAsia="Calibri" w:hAnsi="Calibri" w:cs="Calibri"/>
          <w:color w:val="000000"/>
          <w:sz w:val="22"/>
        </w:rPr>
        <w:t xml:space="preserve">We can develop charts and Dash boards using the data according the business requirements. </w:t>
      </w:r>
    </w:p>
    <w:sectPr w:rsidR="00E338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36" w:right="1446" w:bottom="163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086" w:rsidRDefault="00485086" w:rsidP="00485086">
      <w:pPr>
        <w:spacing w:after="0" w:line="240" w:lineRule="auto"/>
      </w:pPr>
      <w:r>
        <w:separator/>
      </w:r>
    </w:p>
  </w:endnote>
  <w:endnote w:type="continuationSeparator" w:id="0">
    <w:p w:rsidR="00485086" w:rsidRDefault="00485086" w:rsidP="0048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086" w:rsidRDefault="004850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086" w:rsidRDefault="004850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086" w:rsidRDefault="0048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086" w:rsidRDefault="00485086" w:rsidP="00485086">
      <w:pPr>
        <w:spacing w:after="0" w:line="240" w:lineRule="auto"/>
      </w:pPr>
      <w:r>
        <w:separator/>
      </w:r>
    </w:p>
  </w:footnote>
  <w:footnote w:type="continuationSeparator" w:id="0">
    <w:p w:rsidR="00485086" w:rsidRDefault="00485086" w:rsidP="00485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086" w:rsidRDefault="004850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086" w:rsidRDefault="004850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086" w:rsidRDefault="004850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6D5"/>
    <w:multiLevelType w:val="hybridMultilevel"/>
    <w:tmpl w:val="7CDC76FC"/>
    <w:lvl w:ilvl="0" w:tplc="FF9ED4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9EFC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A861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7061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C0A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8AFA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0C81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741F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3820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A2A2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F24DD7"/>
    <w:multiLevelType w:val="hybridMultilevel"/>
    <w:tmpl w:val="00A290BC"/>
    <w:lvl w:ilvl="0" w:tplc="050C0F90">
      <w:start w:val="1"/>
      <w:numFmt w:val="bullet"/>
      <w:lvlText w:val="•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808E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94F2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D230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92F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B62B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D056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846A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8E8C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F6"/>
    <w:rsid w:val="00485086"/>
    <w:rsid w:val="00E3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6B7F3"/>
  <w15:docId w15:val="{6F47C21F-F267-41A7-95E5-93BC308A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</w:pPr>
    <w:rPr>
      <w:rFonts w:ascii="Segoe UI" w:eastAsia="Segoe UI" w:hAnsi="Segoe UI" w:cs="Segoe UI"/>
      <w:color w:val="2A2A2A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2A2A2A"/>
      <w:sz w:val="6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Segoe UI" w:eastAsia="Segoe UI" w:hAnsi="Segoe UI" w:cs="Segoe UI"/>
      <w:b/>
      <w:color w:val="2A2A2A"/>
      <w:sz w:val="28"/>
      <w:u w:val="single" w:color="2A2A2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2A2A2A"/>
      <w:sz w:val="66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2A2A2A"/>
      <w:sz w:val="28"/>
      <w:u w:val="single" w:color="2A2A2A"/>
    </w:rPr>
  </w:style>
  <w:style w:type="paragraph" w:styleId="TOC1">
    <w:name w:val="toc 1"/>
    <w:hidden/>
    <w:pPr>
      <w:spacing w:after="78"/>
      <w:ind w:left="231" w:right="15" w:hanging="10"/>
      <w:jc w:val="right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78"/>
      <w:ind w:left="231" w:right="15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5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086"/>
    <w:rPr>
      <w:rFonts w:ascii="Segoe UI" w:eastAsia="Segoe UI" w:hAnsi="Segoe UI" w:cs="Segoe UI"/>
      <w:color w:val="2A2A2A"/>
      <w:sz w:val="20"/>
    </w:rPr>
  </w:style>
  <w:style w:type="paragraph" w:styleId="Footer">
    <w:name w:val="footer"/>
    <w:basedOn w:val="Normal"/>
    <w:link w:val="FooterChar"/>
    <w:uiPriority w:val="99"/>
    <w:unhideWhenUsed/>
    <w:rsid w:val="00485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086"/>
    <w:rPr>
      <w:rFonts w:ascii="Segoe UI" w:eastAsia="Segoe UI" w:hAnsi="Segoe UI" w:cs="Segoe UI"/>
      <w:color w:val="2A2A2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Azharuddin Mohammed</dc:creator>
  <cp:keywords/>
  <cp:lastModifiedBy>Mohammed Azharuddin</cp:lastModifiedBy>
  <cp:revision>2</cp:revision>
  <dcterms:created xsi:type="dcterms:W3CDTF">2017-08-17T17:50:00Z</dcterms:created>
  <dcterms:modified xsi:type="dcterms:W3CDTF">2017-08-17T17:50:00Z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mazhar@microsoft.com</vt:lpwstr>
  </property>
  <property fmtid="{D5CDD505-2E9C-101B-9397-08002B2CF9AE}" pid="6" name="MSIP_Label_f42aa342-8706-4288-bd11-ebb85995028c_SetDate">
    <vt:lpwstr>2017-08-17T10:50:16.2881594-07:00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