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Stormwater Renewal Priority</w:t>
      </w:r>
    </w:p>
    <w:p>
      <w:pPr>
        <w:pBdr>
          <w:bottom w:val="single" w:color="1F4E79" w:sz="12" w:space="8"/>
        </w:pBdr>
        <w:spacing w:after="160"/>
      </w:pPr>
      <w:r>
        <w:rPr>
          <w:color w:val="595959"/>
          <w:sz w:val="28"/>
          <w:szCs w:val="28"/>
        </w:rPr>
        <w:t xml:space="preserve">Condition &amp; Renewal Recommendation</w:t>
      </w:r>
    </w:p>
    <w:p>
      <w:pPr>
        <w:spacing w:after="120"/>
      </w:pPr>
      <w:r>
        <w:rPr>
          <w:b/>
          <w:bCs/>
        </w:rPr>
        <w:t xml:space="preserve">Focus area: </w:t>
      </w:r>
      <w:r>
        <w:t xml:space="preserve">Auckland Local Board 175 (in-service stormwater network)</w:t>
      </w:r>
    </w:p>
    <w:p>
      <w:pPr>
        <w:spacing w:after="120"/>
      </w:pPr>
      <w:r>
        <w:rPr>
          <w:b/>
          <w:bCs/>
        </w:rPr>
        <w:t xml:space="preserve">Prepared using: </w:t>
      </w:r>
      <w:r>
        <w:t xml:space="preserve">Auckland Council open data · PostGIS · Python (GeoPandas)</w:t>
      </w:r>
    </w:p>
    <w:p>
      <w:pPr>
        <w:spacing w:after="120"/>
      </w:pPr>
      <w:r>
        <w:rPr>
          <w:b/>
          <w:bCs/>
        </w:rPr>
        <w:t xml:space="preserve">Analysis date: </w:t>
      </w:r>
      <w:r>
        <w:t xml:space="preserve">July 2026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t xml:space="preserve">An asset-condition assessment of the in-service stormwater pipe network in Local Board 175 identified a small, well-defined set of pipes that should be prioritised for renewal. Of 20,086 in-service pipes assessed, 229 pipes — 1.1% of the network, approximately 5.6 km — score as high-priority for renewal. Targeting this 1.1% first offers a focused, affordable renewal programme rather than indiscriminate replacement.</w:t>
      </w:r>
    </w:p>
    <w:p>
      <w:pPr>
        <w:pStyle w:val="Heading1"/>
        <w:spacing w:after="120" w:before="240"/>
      </w:pPr>
      <w:r>
        <w:t xml:space="preserve">Renewal complexity: road-adjacency</w:t>
      </w:r>
    </w:p>
    <w:p>
      <w:pPr>
        <w:spacing w:after="120"/>
      </w:pPr>
      <w:r>
        <w:t xml:space="preserve">A cross-layer spatial analysis (stormwater versus road centrelines, computed in PostGIS) found that 137 of the 229 high-priority pipes — roughly 60%, about 3 km — run within 10 metres of a road. These renewals carry added excavation, traffic-management and road-reinstatement cost, reinforcing the case for coordinated, early scheduling rather than reactive replacement after failure.</w:t>
      </w:r>
    </w:p>
    <w:p>
      <w:pPr>
        <w:pStyle w:val="Heading1"/>
        <w:spacing w:after="120" w:before="240"/>
      </w:pPr>
      <w:r>
        <w:t xml:space="preserve">Multi-asset spatial findings</w:t>
      </w:r>
    </w:p>
    <w:p>
      <w:pPr>
        <w:spacing w:after="120"/>
      </w:pPr>
      <w:r>
        <w:t xml:space="preserve">Cross-referencing the priority pipes against roads and parks (spatial joins in PostGIS) surfaced two practical, cross-asset insights:</w:t>
      </w:r>
    </w:p>
    <w:p>
      <w:pPr>
        <w:spacing w:after="120"/>
      </w:pPr>
      <w:r>
        <w:rPr>
          <w:b/>
          <w:bCs/>
        </w:rPr>
        <w:t xml:space="preserve">Road renewal coordination. </w:t>
      </w:r>
      <w:r>
        <w:t xml:space="preserve">100 roads in the focus area sit within 10 m of high-priority pipe. The strongest candidates for coordinated road-and-pipe renewal — where digging once avoids repeat disruption — are Snells Beach Rd, Shelly Beach Rd, Baxter St (Warkworth), Creek Lane, and Percy St (Warkworth), each carrying significant lengths of aging pipe beneath or beside them.</w:t>
      </w:r>
    </w:p>
    <w:p>
      <w:pPr>
        <w:spacing w:after="120"/>
      </w:pPr>
      <w:r>
        <w:rPr>
          <w:b/>
          <w:bCs/>
        </w:rPr>
        <w:t xml:space="preserve">Parks with buried priority assets. </w:t>
      </w:r>
      <w:r>
        <w:t xml:space="preserve">19 parks contain high-priority stormwater pipe within their boundaries, meaning renewal there involves park land — access, reinstatement, and possible consent considerations. The most affected is a 12-hectare park holding 7 priority pipes (~394 m). Separately, 72 open-space parcels in the focus area are classed as stormwater-function land, linking green space directly to the drainage network.</w:t>
      </w:r>
    </w:p>
    <w:p>
      <w:pPr>
        <w:pStyle w:val="Heading1"/>
        <w:spacing w:after="120" w:before="240"/>
      </w:pPr>
      <w:r>
        <w:t xml:space="preserve">How priority was determined</w:t>
      </w:r>
    </w:p>
    <w:p>
      <w:pPr>
        <w:spacing w:after="120"/>
      </w:pPr>
      <w:r>
        <w:t xml:space="preserve">Each pipe was scored 1–5 on three factors, then combined into a single weighted priority score (age 40%, material risk 35%, diameter/criticality 25%):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— derived from installation date. Older pipes are closer to end of life.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Material risk — brittle, legacy materials (earthenware, asbestos cement, brick) fail with less warning than modern PVC/PE.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Diameter / criticality — larger-diameter mains carry greater consequence of failure.</w:t>
      </w:r>
    </w:p>
    <w:p>
      <w:pPr>
        <w:spacing w:after="120"/>
      </w:pPr>
      <w:r>
        <w:t xml:space="preserve">Pipes scoring </w:t>
      </w:r>
      <w:r>
        <w:rPr>
          <w:b/>
          <w:bCs/>
        </w:rPr>
        <w:t xml:space="preserve">≥ 3.5</w:t>
      </w:r>
      <w:r>
        <w:t xml:space="preserve"> were classed as high-priority.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high-priority group is more than twice the age of the network: 59.4 years average vs 28.6 years across the focus area.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Legacy materials dominate the risk: 64 of the 229 high-priority pipes are asbestos cement (40) or earthenware (24) — the clearest renew-before-failure candidates.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Large, aged concrete trunk mains (1960s, 900–2200 mm) combine advanced age with high criticality.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concrete pipes installed in 1900 remain in service at 126 years — well beyond typical design life.</w:t>
      </w:r>
    </w:p>
    <w:p>
      <w:pPr>
        <w:pStyle w:val="Heading2"/>
        <w:spacing w:after="120" w:before="240"/>
      </w:pPr>
      <w:r>
        <w:t xml:space="preserve">High-priority pipe length by material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400"/>
        <w:gridCol w:w="1700"/>
        <w:gridCol w:w="1700"/>
      </w:tblGrid>
      <w:tr>
        <w:trPr>
          <w:tblHeader/>
        </w:trPr>
        <w:tc>
          <w:tcPr>
            <w:tcW w:type="dxa" w:w="30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Pipes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Length (km)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Avg. priority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Concrete (CONC)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3.97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3.62</w:t>
            </w:r>
          </w:p>
        </w:tc>
      </w:tr>
      <w:tr>
        <w:tc>
          <w:tcPr>
            <w:tcW w:type="dxa" w:w="3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Asbestos cement (ABCM)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1.12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3.77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Earthenware (ERWR)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0.55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3.66</w:t>
            </w:r>
          </w:p>
        </w:tc>
      </w:tr>
      <w:tr>
        <w:tc>
          <w:tcPr>
            <w:tcW w:type="dxa" w:w="3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Concrete-lined (CCLS)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0.01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3.90</w:t>
            </w:r>
          </w:p>
        </w:tc>
      </w:tr>
      <w:tr>
        <w:tc>
          <w:tcPr>
            <w:tcW w:type="dxa" w:w="306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4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229</w:t>
            </w:r>
          </w:p>
        </w:tc>
        <w:tc>
          <w:tcPr>
            <w:tcW w:type="dxa" w:w="17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5.65</w:t>
            </w:r>
          </w:p>
        </w:tc>
        <w:tc>
          <w:tcPr>
            <w:tcW w:type="dxa" w:w="17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Prioritise the 64 asbestos-cement and earthenware pipes (~1.7 km combined) for near-term inspection and renewal — the highest failure-risk material in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condition inspection of the large-diameter 1960s concrete mains before committing to renewal, given the high consequence of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the 1900-era pipes for immediate assessment as clear outliers beyond design life.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the priority score as a repeatable screening tool, re-runnable across all Auckland local boards as data updates.</w:t>
      </w:r>
    </w:p>
    <w:p>
      <w:pPr>
        <w:pStyle w:val="Heading1"/>
        <w:spacing w:after="120" w:before="240"/>
      </w:pPr>
      <w:r>
        <w:t xml:space="preserve">Data quality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Installation dates frequently record only the year (day/month are placeholders), so ages are reported to year resolution.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number of records carry implausible or missing dates and were treated as medium priority rather than excluded.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Analysis covers in-service pipes only (status = INSR); unverified records were excluded.</w:t>
      </w:r>
    </w:p>
    <w:p>
      <w:pPr>
        <w:pStyle w:val="Heading1"/>
        <w:spacing w:after="120" w:before="240"/>
      </w:pPr>
      <w:r>
        <w:t xml:space="preserve">Method &amp; reproducibility</w:t>
      </w:r>
    </w:p>
    <w:p>
      <w:pPr>
        <w:spacing w:after="120"/>
      </w:pPr>
      <w:r>
        <w:t xml:space="preserve">Data was filtered and cleaned in Python (GeoPandas), reprojected to NZ Transverse Mercator (EPSG:2193) for metric length calculations, scored, and loaded into a PostGIS spatial database. Summary length-by-material figures were computed in the database using spatial SQL (ST_Length). The full pipeline is reproducible from the accompanying notebook.</w:t>
      </w:r>
    </w:p>
    <w:p>
      <w:pPr>
        <w:spacing w:after="120"/>
      </w:pPr>
      <w:r>
        <w:rPr>
          <w:i/>
          <w:iCs/>
          <w:color w:val="595959"/>
        </w:rPr>
        <w:t xml:space="preserve">Built on an open-source stack (PostGIS · GeoPandas · Leaflet). The workflow is directly transferable to an Esri environment (ArcGIS Pro · Experience Builder · Survey123).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2026-07-11T06:07:00.267Z</dcterms:created>
  <dcterms:modified xsi:type="dcterms:W3CDTF">2026-07-11T06:07:00.280Z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