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39F" w:rsidRPr="00841765" w:rsidRDefault="007B339F" w:rsidP="00B37F49">
      <w:pPr>
        <w:spacing w:after="0" w:line="240" w:lineRule="auto"/>
        <w:ind w:left="-274"/>
        <w:jc w:val="center"/>
        <w:rPr>
          <w:rFonts w:cstheme="minorHAnsi"/>
          <w:b/>
          <w:sz w:val="36"/>
          <w:szCs w:val="36"/>
        </w:rPr>
      </w:pPr>
      <w:bookmarkStart w:id="0" w:name="_GoBack"/>
      <w:bookmarkEnd w:id="0"/>
      <w:r w:rsidRPr="00841765">
        <w:rPr>
          <w:rFonts w:cstheme="minorHAnsi"/>
          <w:b/>
          <w:sz w:val="36"/>
          <w:szCs w:val="36"/>
        </w:rPr>
        <w:t>Five-Year Plan Webinar FAQ</w:t>
      </w:r>
    </w:p>
    <w:p w:rsidR="007B339F" w:rsidRPr="00841765" w:rsidRDefault="007B339F" w:rsidP="000305D9">
      <w:pPr>
        <w:spacing w:after="0" w:line="240" w:lineRule="auto"/>
        <w:ind w:left="-270"/>
        <w:rPr>
          <w:rFonts w:cstheme="minorHAnsi"/>
          <w:b/>
        </w:rPr>
      </w:pPr>
    </w:p>
    <w:p w:rsidR="00841765" w:rsidRDefault="00707F5B" w:rsidP="000305D9">
      <w:pPr>
        <w:spacing w:after="0" w:line="240" w:lineRule="auto"/>
        <w:ind w:left="-270"/>
        <w:rPr>
          <w:rFonts w:cstheme="minorHAnsi"/>
          <w:b/>
        </w:rPr>
      </w:pPr>
      <w:r w:rsidRPr="00841765">
        <w:rPr>
          <w:rFonts w:cstheme="minorHAnsi"/>
          <w:b/>
        </w:rPr>
        <w:t xml:space="preserve">Background: </w:t>
      </w:r>
    </w:p>
    <w:p w:rsidR="00B37F49" w:rsidRPr="00841765" w:rsidRDefault="00707F5B" w:rsidP="000305D9">
      <w:pPr>
        <w:spacing w:after="0" w:line="240" w:lineRule="auto"/>
        <w:ind w:left="-270"/>
        <w:rPr>
          <w:rFonts w:cstheme="minorHAnsi"/>
          <w:b/>
        </w:rPr>
      </w:pPr>
      <w:r w:rsidRPr="000305D9">
        <w:rPr>
          <w:rFonts w:cstheme="minorHAnsi"/>
        </w:rPr>
        <w:t>During summer and fall 2011, working groups from across the states identified six focal areas to aid in national and state level reporting: (1) lifelong learning, (2) human services, (3) employment and economic development, (4) civic engagement, (5) digitization, and (6) database services. IMLS recognizes that this work will require adjustments along the way and sees this as the first step in defining and refining focal areas to best fit the range of State Library Administrative Agency (SLAA) activities.   Any proposed changes or alternative configurations will be vetted with the states, through progress reports and discussion.</w:t>
      </w:r>
    </w:p>
    <w:p w:rsidR="00841765" w:rsidRDefault="00841765" w:rsidP="000305D9">
      <w:pPr>
        <w:spacing w:after="0" w:line="240" w:lineRule="auto"/>
        <w:ind w:left="-270"/>
        <w:rPr>
          <w:rFonts w:cstheme="minorHAnsi"/>
          <w:b/>
        </w:rPr>
      </w:pPr>
    </w:p>
    <w:p w:rsidR="00B37F49" w:rsidRDefault="00B37F49" w:rsidP="000305D9">
      <w:pPr>
        <w:spacing w:after="0" w:line="240" w:lineRule="auto"/>
        <w:ind w:left="-274"/>
        <w:rPr>
          <w:rFonts w:cstheme="minorHAnsi"/>
          <w:b/>
        </w:rPr>
      </w:pPr>
    </w:p>
    <w:p w:rsidR="00C72621" w:rsidRPr="00841765" w:rsidRDefault="00C72621" w:rsidP="000305D9">
      <w:pPr>
        <w:spacing w:after="0" w:line="240" w:lineRule="auto"/>
        <w:ind w:left="-274"/>
        <w:rPr>
          <w:rFonts w:cstheme="minorHAnsi"/>
          <w:b/>
        </w:rPr>
      </w:pPr>
      <w:r w:rsidRPr="00841765">
        <w:rPr>
          <w:rFonts w:cstheme="minorHAnsi"/>
          <w:b/>
        </w:rPr>
        <w:t>Question: What is the purpose behind mapping SLAA activities to focal areas?</w:t>
      </w:r>
    </w:p>
    <w:p w:rsidR="007B6324" w:rsidRPr="00841765" w:rsidRDefault="00C72621" w:rsidP="000305D9">
      <w:pPr>
        <w:spacing w:after="0" w:line="240" w:lineRule="auto"/>
        <w:ind w:left="-274"/>
        <w:rPr>
          <w:rFonts w:cstheme="minorHAnsi"/>
          <w:b/>
        </w:rPr>
      </w:pPr>
      <w:r w:rsidRPr="000305D9">
        <w:rPr>
          <w:rFonts w:cstheme="minorHAnsi"/>
        </w:rPr>
        <w:t xml:space="preserve">Answer: The next phase of the Measuring Success effort </w:t>
      </w:r>
      <w:r w:rsidR="00BC25C6" w:rsidRPr="000305D9">
        <w:rPr>
          <w:rFonts w:cstheme="minorHAnsi"/>
        </w:rPr>
        <w:t>includes revising</w:t>
      </w:r>
      <w:r w:rsidRPr="000305D9">
        <w:rPr>
          <w:rFonts w:cstheme="minorHAnsi"/>
        </w:rPr>
        <w:t xml:space="preserve"> the State Program Report so that </w:t>
      </w:r>
      <w:r w:rsidR="003E2AE7" w:rsidRPr="000305D9">
        <w:rPr>
          <w:rFonts w:cstheme="minorHAnsi"/>
        </w:rPr>
        <w:t xml:space="preserve">IMLS can better account for the </w:t>
      </w:r>
      <w:r w:rsidRPr="000305D9">
        <w:rPr>
          <w:rFonts w:cstheme="minorHAnsi"/>
        </w:rPr>
        <w:t xml:space="preserve">wide range of </w:t>
      </w:r>
      <w:r w:rsidR="003E2AE7" w:rsidRPr="000305D9">
        <w:rPr>
          <w:rFonts w:cstheme="minorHAnsi"/>
        </w:rPr>
        <w:t xml:space="preserve">activities in which </w:t>
      </w:r>
      <w:r w:rsidR="00BC190B" w:rsidRPr="000305D9">
        <w:rPr>
          <w:rFonts w:cstheme="minorHAnsi"/>
        </w:rPr>
        <w:t>(SLAA</w:t>
      </w:r>
      <w:r w:rsidR="003E2AE7" w:rsidRPr="000305D9">
        <w:rPr>
          <w:rFonts w:cstheme="minorHAnsi"/>
        </w:rPr>
        <w:t>s</w:t>
      </w:r>
      <w:r w:rsidR="00BC190B" w:rsidRPr="000305D9">
        <w:rPr>
          <w:rFonts w:cstheme="minorHAnsi"/>
        </w:rPr>
        <w:t>)</w:t>
      </w:r>
      <w:r w:rsidRPr="000305D9">
        <w:rPr>
          <w:rFonts w:cstheme="minorHAnsi"/>
        </w:rPr>
        <w:t xml:space="preserve"> are engaged</w:t>
      </w:r>
      <w:r w:rsidR="003E2AE7" w:rsidRPr="000305D9">
        <w:rPr>
          <w:rFonts w:cstheme="minorHAnsi"/>
        </w:rPr>
        <w:t xml:space="preserve">. </w:t>
      </w:r>
      <w:r w:rsidR="0064684D" w:rsidRPr="000305D9">
        <w:rPr>
          <w:rFonts w:cstheme="minorHAnsi"/>
        </w:rPr>
        <w:t xml:space="preserve">The data currently provided in the SPR simply does not lend itself to consistent and reliable reporting of program investments and impacts at either the national or state level. </w:t>
      </w:r>
      <w:r w:rsidR="00BC190B" w:rsidRPr="000305D9">
        <w:rPr>
          <w:rFonts w:cstheme="minorHAnsi"/>
        </w:rPr>
        <w:t>Failure to adequately demonstrate how library programs and services funded by LSTA dollars serve the public good places the entire program in jeopardy.</w:t>
      </w:r>
      <w:r w:rsidR="003E2AE7" w:rsidRPr="000305D9">
        <w:rPr>
          <w:rFonts w:cstheme="minorHAnsi"/>
        </w:rPr>
        <w:t xml:space="preserve"> </w:t>
      </w:r>
      <w:r w:rsidR="00DD49C3" w:rsidRPr="000305D9">
        <w:rPr>
          <w:rFonts w:cstheme="minorHAnsi"/>
        </w:rPr>
        <w:t xml:space="preserve">  </w:t>
      </w:r>
    </w:p>
    <w:p w:rsidR="00841765" w:rsidRDefault="00841765" w:rsidP="000305D9">
      <w:pPr>
        <w:spacing w:after="0" w:line="240" w:lineRule="auto"/>
        <w:ind w:left="-270"/>
        <w:rPr>
          <w:rFonts w:cstheme="minorHAnsi"/>
          <w:b/>
        </w:rPr>
      </w:pPr>
    </w:p>
    <w:p w:rsidR="00B37F49" w:rsidRDefault="00B37F49" w:rsidP="000305D9">
      <w:pPr>
        <w:spacing w:after="0" w:line="240" w:lineRule="auto"/>
        <w:ind w:left="-270"/>
        <w:rPr>
          <w:rFonts w:cstheme="minorHAnsi"/>
          <w:b/>
        </w:rPr>
      </w:pPr>
    </w:p>
    <w:p w:rsidR="00841765" w:rsidRPr="00841765" w:rsidRDefault="00DB05A5" w:rsidP="000305D9">
      <w:pPr>
        <w:spacing w:after="0" w:line="240" w:lineRule="auto"/>
        <w:ind w:left="-270"/>
        <w:rPr>
          <w:rFonts w:cstheme="minorHAnsi"/>
          <w:b/>
        </w:rPr>
      </w:pPr>
      <w:r w:rsidRPr="00841765">
        <w:rPr>
          <w:rFonts w:cstheme="minorHAnsi"/>
          <w:b/>
        </w:rPr>
        <w:t xml:space="preserve">Question: </w:t>
      </w:r>
      <w:r w:rsidR="00386BC1" w:rsidRPr="00841765">
        <w:rPr>
          <w:rFonts w:cstheme="minorHAnsi"/>
          <w:b/>
        </w:rPr>
        <w:t xml:space="preserve">Can </w:t>
      </w:r>
      <w:r w:rsidR="00EA6C77" w:rsidRPr="00841765">
        <w:rPr>
          <w:rFonts w:cstheme="minorHAnsi"/>
          <w:b/>
        </w:rPr>
        <w:t>you provide a description of the focal areas?</w:t>
      </w:r>
    </w:p>
    <w:p w:rsidR="00681ED5" w:rsidRDefault="00DB05A5" w:rsidP="000305D9">
      <w:pPr>
        <w:spacing w:after="0" w:line="240" w:lineRule="auto"/>
        <w:ind w:left="-270"/>
        <w:rPr>
          <w:rFonts w:cstheme="minorHAnsi"/>
        </w:rPr>
      </w:pPr>
      <w:r w:rsidRPr="000305D9">
        <w:rPr>
          <w:rFonts w:cstheme="minorHAnsi"/>
        </w:rPr>
        <w:t xml:space="preserve">Answer: </w:t>
      </w:r>
      <w:r w:rsidR="0092433F" w:rsidRPr="000305D9">
        <w:rPr>
          <w:rFonts w:cstheme="minorHAnsi"/>
        </w:rPr>
        <w:t>Webinars and subsequent discussions highlighted</w:t>
      </w:r>
      <w:r w:rsidR="00C72621" w:rsidRPr="000305D9">
        <w:rPr>
          <w:rFonts w:cstheme="minorHAnsi"/>
        </w:rPr>
        <w:t xml:space="preserve"> </w:t>
      </w:r>
      <w:r w:rsidR="0092433F" w:rsidRPr="000305D9">
        <w:rPr>
          <w:rFonts w:cstheme="minorHAnsi"/>
        </w:rPr>
        <w:t>the need to adjust the original focal areas</w:t>
      </w:r>
      <w:r w:rsidR="00A65D5A" w:rsidRPr="000305D9">
        <w:rPr>
          <w:rFonts w:cstheme="minorHAnsi"/>
        </w:rPr>
        <w:t xml:space="preserve"> </w:t>
      </w:r>
      <w:r w:rsidR="0092433F" w:rsidRPr="000305D9">
        <w:rPr>
          <w:rFonts w:cstheme="minorHAnsi"/>
        </w:rPr>
        <w:t xml:space="preserve">to better </w:t>
      </w:r>
      <w:r w:rsidR="001B2B23" w:rsidRPr="000305D9">
        <w:rPr>
          <w:rFonts w:cstheme="minorHAnsi"/>
        </w:rPr>
        <w:t xml:space="preserve">reflect </w:t>
      </w:r>
      <w:r w:rsidR="00A65D5A" w:rsidRPr="000305D9">
        <w:rPr>
          <w:rFonts w:cstheme="minorHAnsi"/>
        </w:rPr>
        <w:t xml:space="preserve">the </w:t>
      </w:r>
      <w:r w:rsidR="00FD5CB9" w:rsidRPr="000305D9">
        <w:rPr>
          <w:rFonts w:cstheme="minorHAnsi"/>
        </w:rPr>
        <w:t xml:space="preserve">full </w:t>
      </w:r>
      <w:r w:rsidR="00A65D5A" w:rsidRPr="000305D9">
        <w:rPr>
          <w:rFonts w:cstheme="minorHAnsi"/>
        </w:rPr>
        <w:t xml:space="preserve">range of </w:t>
      </w:r>
      <w:r w:rsidR="00B053C1" w:rsidRPr="000305D9">
        <w:rPr>
          <w:rFonts w:cstheme="minorHAnsi"/>
        </w:rPr>
        <w:t xml:space="preserve">states’ </w:t>
      </w:r>
      <w:r w:rsidR="008756CA" w:rsidRPr="000305D9">
        <w:rPr>
          <w:rFonts w:cstheme="minorHAnsi"/>
        </w:rPr>
        <w:t>activities</w:t>
      </w:r>
      <w:r w:rsidR="00ED5664" w:rsidRPr="000305D9">
        <w:rPr>
          <w:rFonts w:cstheme="minorHAnsi"/>
        </w:rPr>
        <w:t xml:space="preserve">, </w:t>
      </w:r>
      <w:r w:rsidR="001B2B23" w:rsidRPr="000305D9">
        <w:rPr>
          <w:rFonts w:cstheme="minorHAnsi"/>
        </w:rPr>
        <w:t>including</w:t>
      </w:r>
      <w:r w:rsidR="00681ED5" w:rsidRPr="000305D9">
        <w:rPr>
          <w:rFonts w:cstheme="minorHAnsi"/>
        </w:rPr>
        <w:t xml:space="preserve"> </w:t>
      </w:r>
      <w:r w:rsidR="00A65D5A" w:rsidRPr="000305D9">
        <w:rPr>
          <w:rFonts w:cstheme="minorHAnsi"/>
        </w:rPr>
        <w:t>technology</w:t>
      </w:r>
      <w:r w:rsidR="00C72621" w:rsidRPr="000305D9">
        <w:rPr>
          <w:rFonts w:cstheme="minorHAnsi"/>
        </w:rPr>
        <w:t>-</w:t>
      </w:r>
      <w:r w:rsidR="00FD5CB9" w:rsidRPr="000305D9">
        <w:rPr>
          <w:rFonts w:cstheme="minorHAnsi"/>
        </w:rPr>
        <w:t>based</w:t>
      </w:r>
      <w:r w:rsidR="00B053C1" w:rsidRPr="000305D9">
        <w:rPr>
          <w:rFonts w:cstheme="minorHAnsi"/>
        </w:rPr>
        <w:t xml:space="preserve"> efforts</w:t>
      </w:r>
      <w:r w:rsidR="00FD5CB9" w:rsidRPr="000305D9">
        <w:rPr>
          <w:rFonts w:cstheme="minorHAnsi"/>
        </w:rPr>
        <w:t xml:space="preserve"> </w:t>
      </w:r>
      <w:r w:rsidR="00B053C1" w:rsidRPr="000305D9">
        <w:rPr>
          <w:rFonts w:cstheme="minorHAnsi"/>
        </w:rPr>
        <w:t>and</w:t>
      </w:r>
      <w:r w:rsidR="00C34154" w:rsidRPr="000305D9">
        <w:rPr>
          <w:rFonts w:cstheme="minorHAnsi"/>
        </w:rPr>
        <w:t xml:space="preserve"> </w:t>
      </w:r>
      <w:r w:rsidR="00DD49C3" w:rsidRPr="000305D9">
        <w:rPr>
          <w:rFonts w:cstheme="minorHAnsi"/>
        </w:rPr>
        <w:t>“capacity-building” activities</w:t>
      </w:r>
      <w:r w:rsidR="0092433F" w:rsidRPr="000305D9">
        <w:rPr>
          <w:rFonts w:cstheme="minorHAnsi"/>
        </w:rPr>
        <w:t>.</w:t>
      </w:r>
      <w:r w:rsidR="009404E8" w:rsidRPr="000305D9">
        <w:rPr>
          <w:rFonts w:cstheme="minorHAnsi"/>
        </w:rPr>
        <w:t xml:space="preserve"> </w:t>
      </w:r>
      <w:r w:rsidR="0092433F" w:rsidRPr="000305D9">
        <w:rPr>
          <w:rFonts w:cstheme="minorHAnsi"/>
        </w:rPr>
        <w:t xml:space="preserve">In response, </w:t>
      </w:r>
      <w:r w:rsidR="009404E8" w:rsidRPr="000305D9">
        <w:rPr>
          <w:rFonts w:cstheme="minorHAnsi"/>
        </w:rPr>
        <w:t xml:space="preserve">IMLS </w:t>
      </w:r>
      <w:r w:rsidR="00ED5664" w:rsidRPr="000305D9">
        <w:rPr>
          <w:rFonts w:cstheme="minorHAnsi"/>
        </w:rPr>
        <w:t>proposes</w:t>
      </w:r>
      <w:r w:rsidR="009404E8" w:rsidRPr="000305D9">
        <w:rPr>
          <w:rFonts w:cstheme="minorHAnsi"/>
        </w:rPr>
        <w:t xml:space="preserve"> </w:t>
      </w:r>
      <w:r w:rsidR="00ED5664" w:rsidRPr="000305D9">
        <w:rPr>
          <w:rFonts w:cstheme="minorHAnsi"/>
        </w:rPr>
        <w:t>the following</w:t>
      </w:r>
      <w:r w:rsidR="00B053C1" w:rsidRPr="000305D9">
        <w:rPr>
          <w:rFonts w:cstheme="minorHAnsi"/>
        </w:rPr>
        <w:t>:</w:t>
      </w:r>
      <w:r w:rsidR="009404E8" w:rsidRPr="000305D9">
        <w:rPr>
          <w:rFonts w:cstheme="minorHAnsi"/>
        </w:rPr>
        <w:t xml:space="preserve"> </w:t>
      </w:r>
    </w:p>
    <w:p w:rsidR="00B37F49" w:rsidRPr="000305D9" w:rsidRDefault="00B37F49" w:rsidP="000305D9">
      <w:pPr>
        <w:spacing w:after="0" w:line="240" w:lineRule="auto"/>
        <w:ind w:left="-270"/>
        <w:rPr>
          <w:rFonts w:cstheme="minorHAnsi"/>
        </w:rPr>
      </w:pPr>
    </w:p>
    <w:p w:rsidR="00B05C10" w:rsidRDefault="00B8594B" w:rsidP="000305D9">
      <w:pPr>
        <w:spacing w:after="0" w:line="240" w:lineRule="auto"/>
        <w:rPr>
          <w:rFonts w:cstheme="minorHAnsi"/>
          <w:lang w:val="en"/>
        </w:rPr>
      </w:pPr>
      <w:r w:rsidRPr="000305D9">
        <w:rPr>
          <w:rFonts w:cstheme="minorHAnsi"/>
          <w:b/>
          <w:sz w:val="24"/>
          <w:szCs w:val="24"/>
        </w:rPr>
        <w:t>Lifelong L</w:t>
      </w:r>
      <w:r w:rsidR="00AA4F3D" w:rsidRPr="000305D9">
        <w:rPr>
          <w:rFonts w:cstheme="minorHAnsi"/>
          <w:b/>
          <w:sz w:val="24"/>
          <w:szCs w:val="24"/>
        </w:rPr>
        <w:t>earning</w:t>
      </w:r>
      <w:r w:rsidRPr="000305D9">
        <w:rPr>
          <w:rFonts w:cstheme="minorHAnsi"/>
        </w:rPr>
        <w:t xml:space="preserve">.  </w:t>
      </w:r>
      <w:r w:rsidR="009B5D0D" w:rsidRPr="000305D9">
        <w:rPr>
          <w:rFonts w:cstheme="minorHAnsi"/>
        </w:rPr>
        <w:t>These</w:t>
      </w:r>
      <w:r w:rsidRPr="000305D9">
        <w:rPr>
          <w:rFonts w:cstheme="minorHAnsi"/>
        </w:rPr>
        <w:t xml:space="preserve"> </w:t>
      </w:r>
      <w:r w:rsidR="00AA4F3D" w:rsidRPr="000305D9">
        <w:rPr>
          <w:rFonts w:cstheme="minorHAnsi"/>
        </w:rPr>
        <w:t xml:space="preserve">activities </w:t>
      </w:r>
      <w:r w:rsidRPr="000305D9">
        <w:rPr>
          <w:rFonts w:cstheme="minorHAnsi"/>
        </w:rPr>
        <w:t xml:space="preserve">can range from the provision of </w:t>
      </w:r>
      <w:r w:rsidR="009759EB" w:rsidRPr="000305D9">
        <w:rPr>
          <w:rFonts w:cstheme="minorHAnsi"/>
        </w:rPr>
        <w:t xml:space="preserve">instructional </w:t>
      </w:r>
      <w:r w:rsidR="005E5EF4" w:rsidRPr="000305D9">
        <w:rPr>
          <w:rFonts w:cstheme="minorHAnsi"/>
        </w:rPr>
        <w:t xml:space="preserve">information </w:t>
      </w:r>
      <w:r w:rsidRPr="000305D9">
        <w:rPr>
          <w:rFonts w:cstheme="minorHAnsi"/>
        </w:rPr>
        <w:t xml:space="preserve">resources to direct instructional services delivered by libraries or in partnership with local entities with the goal of </w:t>
      </w:r>
      <w:r w:rsidR="00AA4F3D" w:rsidRPr="000305D9">
        <w:rPr>
          <w:rFonts w:cstheme="minorHAnsi"/>
        </w:rPr>
        <w:t xml:space="preserve">transferring </w:t>
      </w:r>
      <w:r w:rsidR="00AA4F3D" w:rsidRPr="000305D9">
        <w:rPr>
          <w:rFonts w:cstheme="minorHAnsi"/>
          <w:lang w:val="en"/>
        </w:rPr>
        <w:t xml:space="preserve">knowledge or skills to advance educational aims.  </w:t>
      </w:r>
    </w:p>
    <w:p w:rsidR="00B37F49" w:rsidRPr="000305D9" w:rsidRDefault="00B37F49" w:rsidP="000305D9">
      <w:pPr>
        <w:spacing w:after="0" w:line="240" w:lineRule="auto"/>
        <w:rPr>
          <w:rFonts w:cstheme="minorHAnsi"/>
          <w:lang w:val="en"/>
        </w:rPr>
      </w:pPr>
    </w:p>
    <w:p w:rsidR="009759EB" w:rsidRDefault="00B8594B" w:rsidP="000305D9">
      <w:pPr>
        <w:spacing w:after="0" w:line="240" w:lineRule="auto"/>
        <w:ind w:left="720"/>
        <w:rPr>
          <w:rFonts w:cstheme="minorHAnsi"/>
          <w:lang w:val="en"/>
        </w:rPr>
      </w:pPr>
      <w:r w:rsidRPr="000305D9">
        <w:rPr>
          <w:rFonts w:cstheme="minorHAnsi"/>
          <w:lang w:val="en"/>
        </w:rPr>
        <w:t xml:space="preserve">Examples of </w:t>
      </w:r>
      <w:r w:rsidR="00351C63" w:rsidRPr="000305D9">
        <w:rPr>
          <w:rFonts w:cstheme="minorHAnsi"/>
          <w:lang w:val="en"/>
        </w:rPr>
        <w:t>lifelong learning</w:t>
      </w:r>
      <w:r w:rsidRPr="000305D9">
        <w:rPr>
          <w:rFonts w:cstheme="minorHAnsi"/>
          <w:lang w:val="en"/>
        </w:rPr>
        <w:t xml:space="preserve"> activit</w:t>
      </w:r>
      <w:r w:rsidR="00351C63" w:rsidRPr="000305D9">
        <w:rPr>
          <w:rFonts w:cstheme="minorHAnsi"/>
          <w:lang w:val="en"/>
        </w:rPr>
        <w:t>i</w:t>
      </w:r>
      <w:r w:rsidRPr="000305D9">
        <w:rPr>
          <w:rFonts w:cstheme="minorHAnsi"/>
          <w:lang w:val="en"/>
        </w:rPr>
        <w:t>es</w:t>
      </w:r>
      <w:r w:rsidR="00351C63" w:rsidRPr="000305D9">
        <w:rPr>
          <w:rFonts w:cstheme="minorHAnsi"/>
          <w:lang w:val="en"/>
        </w:rPr>
        <w:t xml:space="preserve"> include</w:t>
      </w:r>
      <w:r w:rsidR="00EC487F" w:rsidRPr="000305D9">
        <w:rPr>
          <w:rFonts w:cstheme="minorHAnsi"/>
          <w:lang w:val="en"/>
        </w:rPr>
        <w:t xml:space="preserve">: traditional adult and family literacy programs; summer reading, early literacy </w:t>
      </w:r>
      <w:r w:rsidR="00D36056" w:rsidRPr="000305D9">
        <w:rPr>
          <w:rFonts w:cstheme="minorHAnsi"/>
          <w:lang w:val="en"/>
        </w:rPr>
        <w:t>initiatives</w:t>
      </w:r>
      <w:r w:rsidR="009759EB" w:rsidRPr="000305D9">
        <w:rPr>
          <w:rFonts w:cstheme="minorHAnsi"/>
          <w:lang w:val="en"/>
        </w:rPr>
        <w:t>.</w:t>
      </w:r>
      <w:r w:rsidR="007A04F8" w:rsidRPr="000305D9">
        <w:rPr>
          <w:rFonts w:cstheme="minorHAnsi"/>
          <w:lang w:val="en"/>
        </w:rPr>
        <w:t xml:space="preserve">  State development and partnership activity designed to improve instructional capabilities of local libraries can be reported here as well.</w:t>
      </w:r>
    </w:p>
    <w:p w:rsidR="00B37F49" w:rsidRPr="000305D9" w:rsidRDefault="00B37F49" w:rsidP="000305D9">
      <w:pPr>
        <w:spacing w:after="0" w:line="240" w:lineRule="auto"/>
        <w:ind w:left="720"/>
        <w:rPr>
          <w:rFonts w:cstheme="minorHAnsi"/>
          <w:b/>
        </w:rPr>
      </w:pPr>
    </w:p>
    <w:p w:rsidR="00AA4F3D" w:rsidRDefault="00B8594B" w:rsidP="000305D9">
      <w:pPr>
        <w:spacing w:after="0" w:line="240" w:lineRule="auto"/>
        <w:rPr>
          <w:rFonts w:cstheme="minorHAnsi"/>
        </w:rPr>
      </w:pPr>
      <w:r w:rsidRPr="000305D9">
        <w:rPr>
          <w:rFonts w:cstheme="minorHAnsi"/>
          <w:b/>
          <w:sz w:val="24"/>
          <w:szCs w:val="24"/>
        </w:rPr>
        <w:t>Human Services</w:t>
      </w:r>
      <w:r w:rsidRPr="000305D9">
        <w:rPr>
          <w:rFonts w:cstheme="minorHAnsi"/>
        </w:rPr>
        <w:t xml:space="preserve">.  </w:t>
      </w:r>
      <w:r w:rsidR="009B5D0D" w:rsidRPr="000305D9">
        <w:rPr>
          <w:rFonts w:cstheme="minorHAnsi"/>
        </w:rPr>
        <w:t>These</w:t>
      </w:r>
      <w:r w:rsidR="009414C7" w:rsidRPr="000305D9">
        <w:rPr>
          <w:rFonts w:cstheme="minorHAnsi"/>
        </w:rPr>
        <w:t xml:space="preserve"> activities</w:t>
      </w:r>
      <w:r w:rsidR="00AA4F3D" w:rsidRPr="000305D9">
        <w:rPr>
          <w:rFonts w:cstheme="minorHAnsi"/>
        </w:rPr>
        <w:t xml:space="preserve"> </w:t>
      </w:r>
      <w:r w:rsidRPr="000305D9">
        <w:rPr>
          <w:rFonts w:cstheme="minorHAnsi"/>
        </w:rPr>
        <w:t xml:space="preserve">can range from the provision of </w:t>
      </w:r>
      <w:r w:rsidR="005E5EF4" w:rsidRPr="000305D9">
        <w:rPr>
          <w:rFonts w:cstheme="minorHAnsi"/>
        </w:rPr>
        <w:t xml:space="preserve">instructional </w:t>
      </w:r>
      <w:r w:rsidRPr="000305D9">
        <w:rPr>
          <w:rFonts w:cstheme="minorHAnsi"/>
        </w:rPr>
        <w:t xml:space="preserve">information resources to direct services, however these activities are focused on providing </w:t>
      </w:r>
      <w:r w:rsidR="009759EB" w:rsidRPr="000305D9">
        <w:rPr>
          <w:rFonts w:cstheme="minorHAnsi"/>
        </w:rPr>
        <w:t xml:space="preserve">resources </w:t>
      </w:r>
      <w:r w:rsidR="00AA4F3D" w:rsidRPr="000305D9">
        <w:rPr>
          <w:rFonts w:cstheme="minorHAnsi"/>
        </w:rPr>
        <w:t xml:space="preserve">to remediate social problems and improve participants’ quality of life.  </w:t>
      </w:r>
    </w:p>
    <w:p w:rsidR="00B37F49" w:rsidRPr="000305D9" w:rsidRDefault="00B37F49" w:rsidP="000305D9">
      <w:pPr>
        <w:spacing w:after="0" w:line="240" w:lineRule="auto"/>
        <w:rPr>
          <w:rFonts w:cstheme="minorHAnsi"/>
        </w:rPr>
      </w:pPr>
    </w:p>
    <w:p w:rsidR="007A04F8" w:rsidRDefault="00351C63" w:rsidP="000305D9">
      <w:pPr>
        <w:spacing w:after="0" w:line="240" w:lineRule="auto"/>
        <w:ind w:left="720"/>
        <w:rPr>
          <w:rFonts w:cstheme="minorHAnsi"/>
          <w:lang w:val="en"/>
        </w:rPr>
      </w:pPr>
      <w:r w:rsidRPr="000305D9">
        <w:rPr>
          <w:rFonts w:cstheme="minorHAnsi"/>
          <w:lang w:val="en"/>
        </w:rPr>
        <w:t xml:space="preserve">Examples of human service related activities include: </w:t>
      </w:r>
      <w:r w:rsidR="007A04F8" w:rsidRPr="000305D9">
        <w:rPr>
          <w:rFonts w:cstheme="minorHAnsi"/>
          <w:lang w:val="en"/>
        </w:rPr>
        <w:t xml:space="preserve">parenting classes; certification programming for child development, health information services, </w:t>
      </w:r>
      <w:r w:rsidR="009414C7" w:rsidRPr="000305D9">
        <w:rPr>
          <w:rFonts w:cstheme="minorHAnsi"/>
          <w:lang w:val="en"/>
        </w:rPr>
        <w:t xml:space="preserve">50+ </w:t>
      </w:r>
      <w:r w:rsidR="007A04F8" w:rsidRPr="000305D9">
        <w:rPr>
          <w:rFonts w:cstheme="minorHAnsi"/>
          <w:lang w:val="en"/>
        </w:rPr>
        <w:t>programming, etc.  State development and partnership activity designed to improve human services capabilities of local libraries can be reported here as well.</w:t>
      </w:r>
    </w:p>
    <w:p w:rsidR="00B37F49" w:rsidRPr="000305D9" w:rsidRDefault="00B37F49" w:rsidP="000305D9">
      <w:pPr>
        <w:spacing w:after="0" w:line="240" w:lineRule="auto"/>
        <w:ind w:left="720"/>
        <w:rPr>
          <w:rFonts w:cstheme="minorHAnsi"/>
          <w:lang w:val="en"/>
        </w:rPr>
      </w:pPr>
    </w:p>
    <w:p w:rsidR="00B37F49" w:rsidRDefault="00B8594B" w:rsidP="000305D9">
      <w:pPr>
        <w:spacing w:after="0" w:line="240" w:lineRule="auto"/>
        <w:rPr>
          <w:rFonts w:cstheme="minorHAnsi"/>
        </w:rPr>
      </w:pPr>
      <w:r w:rsidRPr="000305D9">
        <w:rPr>
          <w:rFonts w:cstheme="minorHAnsi"/>
          <w:b/>
          <w:sz w:val="24"/>
          <w:szCs w:val="24"/>
        </w:rPr>
        <w:t>Employment and Economic Development</w:t>
      </w:r>
      <w:r w:rsidRPr="000305D9">
        <w:rPr>
          <w:rFonts w:cstheme="minorHAnsi"/>
        </w:rPr>
        <w:t xml:space="preserve">.  </w:t>
      </w:r>
      <w:r w:rsidR="009759EB" w:rsidRPr="000305D9">
        <w:rPr>
          <w:rFonts w:cstheme="minorHAnsi"/>
        </w:rPr>
        <w:t xml:space="preserve">These </w:t>
      </w:r>
      <w:r w:rsidR="00AA4F3D" w:rsidRPr="000305D9">
        <w:rPr>
          <w:rFonts w:cstheme="minorHAnsi"/>
        </w:rPr>
        <w:t xml:space="preserve">activities address economic needs of individuals and communities. </w:t>
      </w:r>
    </w:p>
    <w:p w:rsidR="00AA4F3D" w:rsidRPr="000305D9" w:rsidRDefault="00AA4F3D" w:rsidP="000305D9">
      <w:pPr>
        <w:spacing w:after="0" w:line="240" w:lineRule="auto"/>
        <w:rPr>
          <w:rFonts w:cstheme="minorHAnsi"/>
        </w:rPr>
      </w:pPr>
      <w:r w:rsidRPr="000305D9">
        <w:rPr>
          <w:rFonts w:cstheme="minorHAnsi"/>
        </w:rPr>
        <w:t xml:space="preserve"> </w:t>
      </w:r>
    </w:p>
    <w:p w:rsidR="009759EB" w:rsidRDefault="009759EB" w:rsidP="000305D9">
      <w:pPr>
        <w:spacing w:after="0" w:line="240" w:lineRule="auto"/>
        <w:ind w:left="720"/>
        <w:rPr>
          <w:rFonts w:cstheme="minorHAnsi"/>
          <w:lang w:val="en"/>
        </w:rPr>
      </w:pPr>
      <w:r w:rsidRPr="000305D9">
        <w:rPr>
          <w:rFonts w:cstheme="minorHAnsi"/>
          <w:lang w:val="en"/>
        </w:rPr>
        <w:t xml:space="preserve">Examples of employment and economic development service include: financial literacy resources and programming; employment training/resume building; business </w:t>
      </w:r>
      <w:r w:rsidRPr="000305D9">
        <w:rPr>
          <w:rFonts w:cstheme="minorHAnsi"/>
          <w:lang w:val="en"/>
        </w:rPr>
        <w:lastRenderedPageBreak/>
        <w:t>development/information centers</w:t>
      </w:r>
      <w:r w:rsidR="00B05C10" w:rsidRPr="000305D9">
        <w:rPr>
          <w:rFonts w:cstheme="minorHAnsi"/>
          <w:lang w:val="en"/>
        </w:rPr>
        <w:t>.</w:t>
      </w:r>
      <w:r w:rsidR="007A04F8" w:rsidRPr="000305D9">
        <w:rPr>
          <w:rFonts w:cstheme="minorHAnsi"/>
          <w:lang w:val="en"/>
        </w:rPr>
        <w:t xml:space="preserve">  State development and partnership activity designed to improve </w:t>
      </w:r>
      <w:proofErr w:type="spellStart"/>
      <w:r w:rsidR="007A04F8" w:rsidRPr="000305D9">
        <w:rPr>
          <w:rFonts w:cstheme="minorHAnsi"/>
          <w:lang w:val="en"/>
        </w:rPr>
        <w:t>improve</w:t>
      </w:r>
      <w:proofErr w:type="spellEnd"/>
      <w:r w:rsidR="007A04F8" w:rsidRPr="000305D9">
        <w:rPr>
          <w:rFonts w:cstheme="minorHAnsi"/>
          <w:lang w:val="en"/>
        </w:rPr>
        <w:t xml:space="preserve"> instructional capabilities of local libraries should be reported here as well</w:t>
      </w:r>
      <w:r w:rsidR="009B5D0D" w:rsidRPr="000305D9">
        <w:rPr>
          <w:rFonts w:cstheme="minorHAnsi"/>
          <w:lang w:val="en"/>
        </w:rPr>
        <w:t xml:space="preserve">. </w:t>
      </w:r>
    </w:p>
    <w:p w:rsidR="00B37F49" w:rsidRPr="000305D9" w:rsidRDefault="00B37F49" w:rsidP="000305D9">
      <w:pPr>
        <w:spacing w:after="0" w:line="240" w:lineRule="auto"/>
        <w:ind w:left="720"/>
        <w:rPr>
          <w:rFonts w:cstheme="minorHAnsi"/>
        </w:rPr>
      </w:pPr>
    </w:p>
    <w:p w:rsidR="00AF5686" w:rsidRDefault="005667C0" w:rsidP="000305D9">
      <w:pPr>
        <w:spacing w:after="0" w:line="240" w:lineRule="auto"/>
        <w:rPr>
          <w:rFonts w:cstheme="minorHAnsi"/>
        </w:rPr>
      </w:pPr>
      <w:r w:rsidRPr="000305D9">
        <w:rPr>
          <w:rFonts w:cstheme="minorHAnsi"/>
          <w:b/>
          <w:sz w:val="24"/>
          <w:szCs w:val="24"/>
        </w:rPr>
        <w:t>Information Access</w:t>
      </w:r>
      <w:r w:rsidR="0092433F" w:rsidRPr="000305D9">
        <w:rPr>
          <w:rFonts w:cstheme="minorHAnsi"/>
          <w:b/>
        </w:rPr>
        <w:t xml:space="preserve"> </w:t>
      </w:r>
      <w:r w:rsidR="0092433F" w:rsidRPr="000305D9">
        <w:rPr>
          <w:rFonts w:cstheme="minorHAnsi"/>
        </w:rPr>
        <w:t>(</w:t>
      </w:r>
      <w:r w:rsidR="005E5EF4" w:rsidRPr="000305D9">
        <w:rPr>
          <w:rFonts w:cstheme="minorHAnsi"/>
        </w:rPr>
        <w:t>This focal area encompasses two former focal areas</w:t>
      </w:r>
      <w:r w:rsidR="009414C7" w:rsidRPr="000305D9">
        <w:rPr>
          <w:rFonts w:cstheme="minorHAnsi"/>
        </w:rPr>
        <w:t xml:space="preserve">: </w:t>
      </w:r>
      <w:r w:rsidR="005E5EF4" w:rsidRPr="000305D9">
        <w:rPr>
          <w:rFonts w:cstheme="minorHAnsi"/>
        </w:rPr>
        <w:t>digitization</w:t>
      </w:r>
      <w:r w:rsidR="009414C7" w:rsidRPr="000305D9">
        <w:rPr>
          <w:rFonts w:cstheme="minorHAnsi"/>
        </w:rPr>
        <w:t xml:space="preserve"> </w:t>
      </w:r>
      <w:r w:rsidR="005E5EF4" w:rsidRPr="000305D9">
        <w:rPr>
          <w:rFonts w:cstheme="minorHAnsi"/>
        </w:rPr>
        <w:t>and database services</w:t>
      </w:r>
      <w:r w:rsidR="00C64380" w:rsidRPr="000305D9">
        <w:rPr>
          <w:rFonts w:cstheme="minorHAnsi"/>
        </w:rPr>
        <w:t>.</w:t>
      </w:r>
      <w:r w:rsidR="0092433F" w:rsidRPr="000305D9">
        <w:rPr>
          <w:rFonts w:cstheme="minorHAnsi"/>
        </w:rPr>
        <w:t>)</w:t>
      </w:r>
      <w:r w:rsidR="005E5EF4" w:rsidRPr="000305D9">
        <w:rPr>
          <w:rFonts w:cstheme="minorHAnsi"/>
          <w:b/>
        </w:rPr>
        <w:t xml:space="preserve">  </w:t>
      </w:r>
      <w:r w:rsidR="00BC190B" w:rsidRPr="000305D9">
        <w:rPr>
          <w:rFonts w:cstheme="minorHAnsi"/>
        </w:rPr>
        <w:t>These a</w:t>
      </w:r>
      <w:r w:rsidR="009414C7" w:rsidRPr="000305D9">
        <w:rPr>
          <w:rFonts w:cstheme="minorHAnsi"/>
        </w:rPr>
        <w:t xml:space="preserve">ctivities </w:t>
      </w:r>
      <w:r w:rsidR="00AF5686" w:rsidRPr="000305D9">
        <w:rPr>
          <w:rFonts w:cstheme="minorHAnsi"/>
        </w:rPr>
        <w:t>broaden</w:t>
      </w:r>
      <w:r w:rsidR="009414C7" w:rsidRPr="000305D9">
        <w:rPr>
          <w:rFonts w:cstheme="minorHAnsi"/>
        </w:rPr>
        <w:t xml:space="preserve"> </w:t>
      </w:r>
      <w:r w:rsidR="005E5EF4" w:rsidRPr="000305D9">
        <w:rPr>
          <w:rFonts w:cstheme="minorHAnsi"/>
        </w:rPr>
        <w:t>public</w:t>
      </w:r>
      <w:r w:rsidR="00AF5686" w:rsidRPr="000305D9">
        <w:rPr>
          <w:rFonts w:cstheme="minorHAnsi"/>
        </w:rPr>
        <w:t xml:space="preserve"> access to content through the purchase </w:t>
      </w:r>
      <w:r w:rsidR="009759EB" w:rsidRPr="000305D9">
        <w:rPr>
          <w:rFonts w:cstheme="minorHAnsi"/>
        </w:rPr>
        <w:t>or original development of information resources (e.g. databases, computer technology)</w:t>
      </w:r>
      <w:r w:rsidR="00AF5686" w:rsidRPr="000305D9">
        <w:rPr>
          <w:rFonts w:cstheme="minorHAnsi"/>
        </w:rPr>
        <w:t xml:space="preserve">.  </w:t>
      </w:r>
      <w:r w:rsidR="005E5EF4" w:rsidRPr="000305D9">
        <w:rPr>
          <w:rFonts w:cstheme="minorHAnsi"/>
        </w:rPr>
        <w:t xml:space="preserve"> </w:t>
      </w:r>
    </w:p>
    <w:p w:rsidR="00B37F49" w:rsidRPr="000305D9" w:rsidRDefault="00B37F49" w:rsidP="000305D9">
      <w:pPr>
        <w:spacing w:after="0" w:line="240" w:lineRule="auto"/>
        <w:rPr>
          <w:rFonts w:cstheme="minorHAnsi"/>
        </w:rPr>
      </w:pPr>
    </w:p>
    <w:p w:rsidR="00FD5CB9" w:rsidRDefault="009759EB" w:rsidP="000305D9">
      <w:pPr>
        <w:spacing w:after="0" w:line="240" w:lineRule="auto"/>
        <w:ind w:left="720"/>
        <w:rPr>
          <w:rFonts w:cstheme="minorHAnsi"/>
          <w:lang w:val="en"/>
        </w:rPr>
      </w:pPr>
      <w:r w:rsidRPr="000305D9">
        <w:rPr>
          <w:rFonts w:cstheme="minorHAnsi"/>
          <w:lang w:val="en"/>
        </w:rPr>
        <w:t xml:space="preserve">Examples of information access services include: </w:t>
      </w:r>
      <w:r w:rsidR="00D36056" w:rsidRPr="000305D9">
        <w:rPr>
          <w:rFonts w:cstheme="minorHAnsi"/>
          <w:b/>
        </w:rPr>
        <w:t xml:space="preserve"> </w:t>
      </w:r>
      <w:r w:rsidR="00AA4F3D" w:rsidRPr="000305D9">
        <w:rPr>
          <w:rFonts w:cstheme="minorHAnsi"/>
        </w:rPr>
        <w:t>Digitization activities</w:t>
      </w:r>
      <w:r w:rsidR="00681ED5" w:rsidRPr="000305D9">
        <w:rPr>
          <w:rFonts w:cstheme="minorHAnsi"/>
        </w:rPr>
        <w:t xml:space="preserve">; </w:t>
      </w:r>
      <w:r w:rsidR="009B5D0D" w:rsidRPr="000305D9">
        <w:rPr>
          <w:rFonts w:cstheme="minorHAnsi"/>
        </w:rPr>
        <w:t>d</w:t>
      </w:r>
      <w:r w:rsidR="00AA4F3D" w:rsidRPr="000305D9">
        <w:rPr>
          <w:rFonts w:cstheme="minorHAnsi"/>
        </w:rPr>
        <w:t>atabase activities</w:t>
      </w:r>
      <w:r w:rsidR="00681ED5" w:rsidRPr="000305D9">
        <w:rPr>
          <w:rFonts w:cstheme="minorHAnsi"/>
        </w:rPr>
        <w:t xml:space="preserve">; </w:t>
      </w:r>
      <w:r w:rsidR="00AF5686" w:rsidRPr="000305D9">
        <w:rPr>
          <w:rFonts w:cstheme="minorHAnsi"/>
        </w:rPr>
        <w:t>electronic reference</w:t>
      </w:r>
      <w:r w:rsidR="009B5D0D" w:rsidRPr="000305D9">
        <w:rPr>
          <w:rFonts w:cstheme="minorHAnsi"/>
        </w:rPr>
        <w:t>;</w:t>
      </w:r>
      <w:r w:rsidR="00AF5686" w:rsidRPr="000305D9">
        <w:rPr>
          <w:rFonts w:cstheme="minorHAnsi"/>
        </w:rPr>
        <w:t xml:space="preserve"> commercial reference services</w:t>
      </w:r>
      <w:r w:rsidR="009B5D0D" w:rsidRPr="000305D9">
        <w:rPr>
          <w:rFonts w:cstheme="minorHAnsi"/>
        </w:rPr>
        <w:t>;</w:t>
      </w:r>
      <w:r w:rsidR="00AF5686" w:rsidRPr="000305D9">
        <w:rPr>
          <w:rFonts w:cstheme="minorHAnsi"/>
        </w:rPr>
        <w:t xml:space="preserve"> eBooks/</w:t>
      </w:r>
      <w:proofErr w:type="spellStart"/>
      <w:r w:rsidR="00AF5686" w:rsidRPr="000305D9">
        <w:rPr>
          <w:rFonts w:cstheme="minorHAnsi"/>
        </w:rPr>
        <w:t>eAudio</w:t>
      </w:r>
      <w:proofErr w:type="spellEnd"/>
      <w:r w:rsidR="00AF5686" w:rsidRPr="000305D9">
        <w:rPr>
          <w:rFonts w:cstheme="minorHAnsi"/>
        </w:rPr>
        <w:t>/</w:t>
      </w:r>
      <w:proofErr w:type="spellStart"/>
      <w:r w:rsidR="00AF5686" w:rsidRPr="000305D9">
        <w:rPr>
          <w:rFonts w:cstheme="minorHAnsi"/>
        </w:rPr>
        <w:t>eMusic</w:t>
      </w:r>
      <w:proofErr w:type="spellEnd"/>
      <w:r w:rsidR="00681ED5" w:rsidRPr="000305D9">
        <w:rPr>
          <w:rFonts w:cstheme="minorHAnsi"/>
          <w:lang w:val="en"/>
        </w:rPr>
        <w:t xml:space="preserve">; </w:t>
      </w:r>
      <w:r w:rsidR="009B5D0D" w:rsidRPr="000305D9">
        <w:rPr>
          <w:rFonts w:cstheme="minorHAnsi"/>
        </w:rPr>
        <w:t>cataloging subscription services; interlibrary loan</w:t>
      </w:r>
      <w:r w:rsidR="00B05C10" w:rsidRPr="000305D9">
        <w:rPr>
          <w:rFonts w:cstheme="minorHAnsi"/>
        </w:rPr>
        <w:t>.</w:t>
      </w:r>
      <w:r w:rsidR="007A04F8" w:rsidRPr="000305D9">
        <w:rPr>
          <w:rFonts w:cstheme="minorHAnsi"/>
        </w:rPr>
        <w:t xml:space="preserve"> </w:t>
      </w:r>
      <w:r w:rsidR="007A04F8" w:rsidRPr="000305D9">
        <w:rPr>
          <w:rFonts w:cstheme="minorHAnsi"/>
          <w:lang w:val="en"/>
        </w:rPr>
        <w:t>State development and partnership activity designed to improve information access should be reported here as well.</w:t>
      </w:r>
    </w:p>
    <w:p w:rsidR="00B37F49" w:rsidRPr="000305D9" w:rsidRDefault="00B37F49" w:rsidP="000305D9">
      <w:pPr>
        <w:spacing w:after="0" w:line="240" w:lineRule="auto"/>
        <w:ind w:left="720"/>
        <w:rPr>
          <w:rFonts w:cstheme="minorHAnsi"/>
          <w:lang w:val="en"/>
        </w:rPr>
      </w:pPr>
    </w:p>
    <w:p w:rsidR="00886B77" w:rsidRPr="000305D9" w:rsidRDefault="00886B77" w:rsidP="000305D9">
      <w:pPr>
        <w:spacing w:after="0" w:line="240" w:lineRule="auto"/>
        <w:rPr>
          <w:rFonts w:cstheme="minorHAnsi"/>
          <w:b/>
          <w:sz w:val="24"/>
          <w:szCs w:val="24"/>
          <w:lang w:val="en"/>
        </w:rPr>
      </w:pPr>
      <w:r w:rsidRPr="000305D9">
        <w:rPr>
          <w:rFonts w:cstheme="minorHAnsi"/>
          <w:b/>
          <w:sz w:val="24"/>
          <w:szCs w:val="24"/>
          <w:lang w:val="en"/>
        </w:rPr>
        <w:t>Library Capacity</w:t>
      </w:r>
      <w:r w:rsidR="00B05C10" w:rsidRPr="000305D9">
        <w:rPr>
          <w:rFonts w:cstheme="minorHAnsi"/>
          <w:b/>
          <w:sz w:val="24"/>
          <w:szCs w:val="24"/>
          <w:lang w:val="en"/>
        </w:rPr>
        <w:t xml:space="preserve"> Building</w:t>
      </w:r>
      <w:r w:rsidR="00B05C10" w:rsidRPr="000305D9">
        <w:rPr>
          <w:rFonts w:cstheme="minorHAnsi"/>
          <w:sz w:val="24"/>
          <w:szCs w:val="24"/>
          <w:lang w:val="en"/>
        </w:rPr>
        <w:t xml:space="preserve">: </w:t>
      </w:r>
      <w:r w:rsidR="009B5D0D" w:rsidRPr="000305D9">
        <w:rPr>
          <w:rFonts w:cstheme="minorHAnsi"/>
          <w:lang w:val="en"/>
        </w:rPr>
        <w:t xml:space="preserve">These activities </w:t>
      </w:r>
      <w:r w:rsidR="00B05C10" w:rsidRPr="000305D9">
        <w:rPr>
          <w:rFonts w:cstheme="minorHAnsi"/>
          <w:lang w:val="en"/>
        </w:rPr>
        <w:t>aim</w:t>
      </w:r>
      <w:r w:rsidR="009B5D0D" w:rsidRPr="000305D9">
        <w:rPr>
          <w:rFonts w:cstheme="minorHAnsi"/>
          <w:lang w:val="en"/>
        </w:rPr>
        <w:t xml:space="preserve"> </w:t>
      </w:r>
      <w:r w:rsidR="00B05C10" w:rsidRPr="000305D9">
        <w:rPr>
          <w:rFonts w:cstheme="minorHAnsi"/>
          <w:lang w:val="en"/>
        </w:rPr>
        <w:t>at</w:t>
      </w:r>
      <w:r w:rsidR="00B05C10" w:rsidRPr="000305D9">
        <w:rPr>
          <w:rFonts w:cstheme="minorHAnsi"/>
          <w:b/>
          <w:lang w:val="en"/>
        </w:rPr>
        <w:t xml:space="preserve"> </w:t>
      </w:r>
      <w:r w:rsidR="00B05C10" w:rsidRPr="000305D9">
        <w:rPr>
          <w:lang w:val="en"/>
        </w:rPr>
        <w:t xml:space="preserve">modernizing existing </w:t>
      </w:r>
      <w:r w:rsidR="007A04F8" w:rsidRPr="000305D9">
        <w:rPr>
          <w:lang w:val="en"/>
        </w:rPr>
        <w:t xml:space="preserve">libraries </w:t>
      </w:r>
      <w:r w:rsidR="00B05C10" w:rsidRPr="000305D9">
        <w:rPr>
          <w:lang w:val="en"/>
        </w:rPr>
        <w:t>and</w:t>
      </w:r>
      <w:r w:rsidR="009B5D0D" w:rsidRPr="000305D9">
        <w:rPr>
          <w:lang w:val="en"/>
        </w:rPr>
        <w:t xml:space="preserve">/or </w:t>
      </w:r>
      <w:r w:rsidR="00B05C10" w:rsidRPr="000305D9">
        <w:rPr>
          <w:lang w:val="en"/>
        </w:rPr>
        <w:t xml:space="preserve">supporting </w:t>
      </w:r>
      <w:r w:rsidR="009B5D0D" w:rsidRPr="000305D9">
        <w:rPr>
          <w:lang w:val="en"/>
        </w:rPr>
        <w:t xml:space="preserve">the development of </w:t>
      </w:r>
      <w:r w:rsidR="00B05C10" w:rsidRPr="000305D9">
        <w:rPr>
          <w:lang w:val="en"/>
        </w:rPr>
        <w:t>sound policies, organizational structures, and effective methods of management and revenue development</w:t>
      </w:r>
      <w:r w:rsidR="005E5EF4" w:rsidRPr="000305D9">
        <w:rPr>
          <w:lang w:val="en"/>
        </w:rPr>
        <w:t xml:space="preserve"> in order to improve </w:t>
      </w:r>
      <w:r w:rsidR="009B5D0D" w:rsidRPr="000305D9">
        <w:rPr>
          <w:lang w:val="en"/>
        </w:rPr>
        <w:t xml:space="preserve">the efficiency of library services.  </w:t>
      </w:r>
    </w:p>
    <w:p w:rsidR="00ED5664" w:rsidRPr="00841765" w:rsidRDefault="00B05C10" w:rsidP="000305D9">
      <w:pPr>
        <w:spacing w:after="0" w:line="240" w:lineRule="auto"/>
        <w:ind w:left="720"/>
        <w:rPr>
          <w:rFonts w:cstheme="minorHAnsi"/>
          <w:b/>
        </w:rPr>
      </w:pPr>
      <w:r w:rsidRPr="000305D9">
        <w:rPr>
          <w:rFonts w:cstheme="minorHAnsi"/>
          <w:lang w:val="en"/>
        </w:rPr>
        <w:t xml:space="preserve">Examples of library capacity building include: </w:t>
      </w:r>
      <w:r w:rsidRPr="000305D9">
        <w:rPr>
          <w:rFonts w:cstheme="minorHAnsi"/>
          <w:b/>
        </w:rPr>
        <w:t xml:space="preserve"> </w:t>
      </w:r>
      <w:r w:rsidR="00541F53" w:rsidRPr="000305D9">
        <w:rPr>
          <w:rFonts w:cstheme="minorHAnsi"/>
        </w:rPr>
        <w:t>C</w:t>
      </w:r>
      <w:r w:rsidR="00FD5CB9" w:rsidRPr="000305D9">
        <w:rPr>
          <w:rFonts w:cstheme="minorHAnsi"/>
        </w:rPr>
        <w:t>ertifi</w:t>
      </w:r>
      <w:r w:rsidR="00541F53" w:rsidRPr="000305D9">
        <w:rPr>
          <w:rFonts w:cstheme="minorHAnsi"/>
        </w:rPr>
        <w:t>cation of public libraries</w:t>
      </w:r>
      <w:r w:rsidRPr="000305D9">
        <w:rPr>
          <w:rFonts w:cstheme="minorHAnsi"/>
        </w:rPr>
        <w:t>; f</w:t>
      </w:r>
      <w:r w:rsidR="00FD5CB9" w:rsidRPr="000305D9">
        <w:rPr>
          <w:rFonts w:cstheme="minorHAnsi"/>
        </w:rPr>
        <w:t>acilities/personnel consultation</w:t>
      </w:r>
      <w:r w:rsidR="00C34154" w:rsidRPr="000305D9">
        <w:rPr>
          <w:rFonts w:cstheme="minorHAnsi"/>
        </w:rPr>
        <w:t>;</w:t>
      </w:r>
      <w:r w:rsidRPr="000305D9">
        <w:rPr>
          <w:rFonts w:cstheme="minorHAnsi"/>
        </w:rPr>
        <w:t xml:space="preserve"> </w:t>
      </w:r>
      <w:r w:rsidR="00AA2899" w:rsidRPr="000305D9">
        <w:rPr>
          <w:rFonts w:cstheme="minorHAnsi"/>
        </w:rPr>
        <w:t>CE/Staff Development</w:t>
      </w:r>
      <w:r w:rsidR="00C34154" w:rsidRPr="000305D9">
        <w:rPr>
          <w:rFonts w:cstheme="minorHAnsi"/>
        </w:rPr>
        <w:t xml:space="preserve"> (</w:t>
      </w:r>
      <w:r w:rsidRPr="000305D9">
        <w:rPr>
          <w:rFonts w:cstheme="minorHAnsi"/>
        </w:rPr>
        <w:t xml:space="preserve">where such </w:t>
      </w:r>
      <w:r w:rsidR="00C34154" w:rsidRPr="000305D9">
        <w:rPr>
          <w:rFonts w:cstheme="minorHAnsi"/>
        </w:rPr>
        <w:t xml:space="preserve">training cannot be </w:t>
      </w:r>
      <w:r w:rsidR="00AA2899" w:rsidRPr="000305D9">
        <w:rPr>
          <w:rFonts w:cstheme="minorHAnsi"/>
        </w:rPr>
        <w:t>differentiated</w:t>
      </w:r>
      <w:r w:rsidR="00C34154" w:rsidRPr="000305D9">
        <w:rPr>
          <w:rFonts w:cstheme="minorHAnsi"/>
        </w:rPr>
        <w:t xml:space="preserve"> into </w:t>
      </w:r>
      <w:r w:rsidR="005E5EF4" w:rsidRPr="000305D9">
        <w:rPr>
          <w:rFonts w:cstheme="minorHAnsi"/>
        </w:rPr>
        <w:t xml:space="preserve">other </w:t>
      </w:r>
      <w:r w:rsidR="00C34154" w:rsidRPr="000305D9">
        <w:rPr>
          <w:rFonts w:cstheme="minorHAnsi"/>
        </w:rPr>
        <w:t>targeted focal areas)</w:t>
      </w:r>
      <w:r w:rsidR="005E5EF4" w:rsidRPr="000305D9">
        <w:rPr>
          <w:rFonts w:cstheme="minorHAnsi"/>
        </w:rPr>
        <w:t>; and planning and needs assessments</w:t>
      </w:r>
      <w:r w:rsidRPr="000305D9">
        <w:rPr>
          <w:rFonts w:cstheme="minorHAnsi"/>
        </w:rPr>
        <w:t>.</w:t>
      </w:r>
      <w:r w:rsidR="00FD5CB9" w:rsidRPr="00841765">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E14D49" w:rsidRPr="00841765" w:rsidRDefault="00E14D49" w:rsidP="000305D9">
      <w:pPr>
        <w:spacing w:after="0" w:line="240" w:lineRule="auto"/>
        <w:rPr>
          <w:rFonts w:cstheme="minorHAnsi"/>
          <w:b/>
        </w:rPr>
      </w:pPr>
      <w:r w:rsidRPr="00841765">
        <w:rPr>
          <w:rFonts w:cstheme="minorHAnsi"/>
          <w:b/>
        </w:rPr>
        <w:t>Question:  Should a single project be linked to one focal area?</w:t>
      </w:r>
    </w:p>
    <w:p w:rsidR="00841765" w:rsidRPr="00841765" w:rsidRDefault="00F6337E" w:rsidP="000305D9">
      <w:pPr>
        <w:spacing w:after="0" w:line="240" w:lineRule="auto"/>
        <w:rPr>
          <w:rFonts w:cstheme="minorHAnsi"/>
          <w:b/>
        </w:rPr>
      </w:pPr>
      <w:r w:rsidRPr="000305D9">
        <w:rPr>
          <w:rFonts w:cstheme="minorHAnsi"/>
        </w:rPr>
        <w:t xml:space="preserve">Answer: </w:t>
      </w:r>
      <w:r w:rsidR="00E14D49" w:rsidRPr="000305D9">
        <w:rPr>
          <w:rFonts w:cstheme="minorHAnsi"/>
        </w:rPr>
        <w:t xml:space="preserve">Yes. One of the </w:t>
      </w:r>
      <w:r w:rsidR="00806F83" w:rsidRPr="000305D9">
        <w:rPr>
          <w:rFonts w:cstheme="minorHAnsi"/>
        </w:rPr>
        <w:t xml:space="preserve">major </w:t>
      </w:r>
      <w:r w:rsidR="00E14D49" w:rsidRPr="000305D9">
        <w:rPr>
          <w:rFonts w:cstheme="minorHAnsi"/>
        </w:rPr>
        <w:t xml:space="preserve">problems with </w:t>
      </w:r>
      <w:r w:rsidR="00806F83" w:rsidRPr="000305D9">
        <w:rPr>
          <w:rFonts w:cstheme="minorHAnsi"/>
        </w:rPr>
        <w:t xml:space="preserve">current SPR </w:t>
      </w:r>
      <w:r w:rsidR="00E14D49" w:rsidRPr="000305D9">
        <w:rPr>
          <w:rFonts w:cstheme="minorHAnsi"/>
        </w:rPr>
        <w:t xml:space="preserve">reporting is that activities </w:t>
      </w:r>
      <w:r w:rsidR="007C529F" w:rsidRPr="000305D9">
        <w:rPr>
          <w:rFonts w:cstheme="minorHAnsi"/>
        </w:rPr>
        <w:t xml:space="preserve">are linked to </w:t>
      </w:r>
      <w:r w:rsidR="00E14D49" w:rsidRPr="000305D9">
        <w:rPr>
          <w:rFonts w:cstheme="minorHAnsi"/>
        </w:rPr>
        <w:t>multiple prioritie</w:t>
      </w:r>
      <w:r w:rsidR="007C529F" w:rsidRPr="000305D9">
        <w:rPr>
          <w:rFonts w:cstheme="minorHAnsi"/>
        </w:rPr>
        <w:t xml:space="preserve">s </w:t>
      </w:r>
      <w:r w:rsidR="0092433F" w:rsidRPr="000305D9">
        <w:rPr>
          <w:rFonts w:cstheme="minorHAnsi"/>
        </w:rPr>
        <w:t>making</w:t>
      </w:r>
      <w:r w:rsidR="009B5D0D" w:rsidRPr="000305D9">
        <w:rPr>
          <w:rFonts w:cstheme="minorHAnsi"/>
        </w:rPr>
        <w:t xml:space="preserve"> it difficult to</w:t>
      </w:r>
      <w:r w:rsidR="00806F83" w:rsidRPr="000305D9">
        <w:rPr>
          <w:rFonts w:cstheme="minorHAnsi"/>
        </w:rPr>
        <w:t xml:space="preserve"> </w:t>
      </w:r>
      <w:r w:rsidR="00E14D49" w:rsidRPr="000305D9">
        <w:rPr>
          <w:rFonts w:cstheme="minorHAnsi"/>
        </w:rPr>
        <w:t>summarize</w:t>
      </w:r>
      <w:r w:rsidR="009B5D0D" w:rsidRPr="000305D9">
        <w:rPr>
          <w:rFonts w:cstheme="minorHAnsi"/>
        </w:rPr>
        <w:t xml:space="preserve"> and consistently compare/contrast library services and programs across the states.</w:t>
      </w:r>
      <w:r w:rsidR="00E14D49" w:rsidRPr="000305D9">
        <w:rPr>
          <w:rFonts w:cstheme="minorHAnsi"/>
        </w:rPr>
        <w:t xml:space="preserve"> </w:t>
      </w:r>
      <w:r w:rsidR="0092433F" w:rsidRPr="000305D9">
        <w:rPr>
          <w:rFonts w:cstheme="minorHAnsi"/>
        </w:rPr>
        <w:t>L</w:t>
      </w:r>
      <w:r w:rsidR="00806F83" w:rsidRPr="000305D9">
        <w:rPr>
          <w:rFonts w:cstheme="minorHAnsi"/>
        </w:rPr>
        <w:t>ink</w:t>
      </w:r>
      <w:r w:rsidR="0092433F" w:rsidRPr="000305D9">
        <w:rPr>
          <w:rFonts w:cstheme="minorHAnsi"/>
        </w:rPr>
        <w:t>ing</w:t>
      </w:r>
      <w:r w:rsidR="00806F83" w:rsidRPr="000305D9">
        <w:rPr>
          <w:rFonts w:cstheme="minorHAnsi"/>
        </w:rPr>
        <w:t xml:space="preserve"> </w:t>
      </w:r>
      <w:r w:rsidR="0092433F" w:rsidRPr="000305D9">
        <w:rPr>
          <w:rFonts w:cstheme="minorHAnsi"/>
        </w:rPr>
        <w:t xml:space="preserve">each </w:t>
      </w:r>
      <w:r w:rsidR="00E14D49" w:rsidRPr="000305D9">
        <w:rPr>
          <w:rFonts w:cstheme="minorHAnsi"/>
        </w:rPr>
        <w:t xml:space="preserve">SLAA </w:t>
      </w:r>
      <w:r w:rsidR="0092433F" w:rsidRPr="000305D9">
        <w:rPr>
          <w:rFonts w:cstheme="minorHAnsi"/>
        </w:rPr>
        <w:t xml:space="preserve">activity </w:t>
      </w:r>
      <w:r w:rsidR="00E14D49" w:rsidRPr="000305D9">
        <w:rPr>
          <w:rFonts w:cstheme="minorHAnsi"/>
        </w:rPr>
        <w:t xml:space="preserve">to one discrete focal area will allow us to </w:t>
      </w:r>
      <w:r w:rsidR="000004A3" w:rsidRPr="000305D9">
        <w:rPr>
          <w:rFonts w:cstheme="minorHAnsi"/>
        </w:rPr>
        <w:t xml:space="preserve">focus </w:t>
      </w:r>
      <w:r w:rsidR="00B05C10" w:rsidRPr="000305D9">
        <w:rPr>
          <w:rFonts w:cstheme="minorHAnsi"/>
        </w:rPr>
        <w:t xml:space="preserve">future </w:t>
      </w:r>
      <w:r w:rsidR="00E14D49" w:rsidRPr="000305D9">
        <w:rPr>
          <w:rFonts w:cstheme="minorHAnsi"/>
        </w:rPr>
        <w:t xml:space="preserve">reporting </w:t>
      </w:r>
      <w:r w:rsidR="000004A3" w:rsidRPr="000305D9">
        <w:rPr>
          <w:rFonts w:cstheme="minorHAnsi"/>
        </w:rPr>
        <w:t xml:space="preserve">using a </w:t>
      </w:r>
      <w:r w:rsidR="005E5EF4" w:rsidRPr="000305D9">
        <w:rPr>
          <w:rFonts w:cstheme="minorHAnsi"/>
        </w:rPr>
        <w:t xml:space="preserve">suite of </w:t>
      </w:r>
      <w:r w:rsidR="00E14D49" w:rsidRPr="000305D9">
        <w:rPr>
          <w:rFonts w:cstheme="minorHAnsi"/>
        </w:rPr>
        <w:t xml:space="preserve">administrative inputs, target beneficiaries, and project outputs and outcomes.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1B3286" w:rsidRPr="00841765" w:rsidRDefault="00681ED5" w:rsidP="000305D9">
      <w:pPr>
        <w:spacing w:after="0" w:line="240" w:lineRule="auto"/>
        <w:rPr>
          <w:rFonts w:cstheme="minorHAnsi"/>
          <w:b/>
        </w:rPr>
      </w:pPr>
      <w:r w:rsidRPr="00841765">
        <w:rPr>
          <w:rFonts w:cstheme="minorHAnsi"/>
          <w:b/>
        </w:rPr>
        <w:t xml:space="preserve">Question: </w:t>
      </w:r>
      <w:r w:rsidR="0006521C" w:rsidRPr="00841765">
        <w:rPr>
          <w:rFonts w:cstheme="minorHAnsi"/>
          <w:b/>
        </w:rPr>
        <w:t>W</w:t>
      </w:r>
      <w:r w:rsidR="001B3286" w:rsidRPr="00841765">
        <w:rPr>
          <w:rFonts w:cstheme="minorHAnsi"/>
          <w:b/>
        </w:rPr>
        <w:t>here does staff professional development fit?</w:t>
      </w:r>
    </w:p>
    <w:p w:rsidR="007A04F8" w:rsidRPr="00841765" w:rsidRDefault="00681ED5" w:rsidP="000305D9">
      <w:pPr>
        <w:spacing w:after="0" w:line="240" w:lineRule="auto"/>
        <w:rPr>
          <w:rFonts w:cstheme="minorHAnsi"/>
        </w:rPr>
      </w:pPr>
      <w:r w:rsidRPr="000305D9">
        <w:rPr>
          <w:rFonts w:cstheme="minorHAnsi"/>
        </w:rPr>
        <w:t xml:space="preserve">Answer: </w:t>
      </w:r>
      <w:r w:rsidR="00ED5664" w:rsidRPr="000305D9">
        <w:rPr>
          <w:rFonts w:cstheme="minorHAnsi"/>
        </w:rPr>
        <w:t xml:space="preserve">The </w:t>
      </w:r>
      <w:r w:rsidR="0092433F" w:rsidRPr="000305D9">
        <w:rPr>
          <w:rFonts w:cstheme="minorHAnsi"/>
        </w:rPr>
        <w:t>revised</w:t>
      </w:r>
      <w:r w:rsidR="00ED5664" w:rsidRPr="000305D9">
        <w:rPr>
          <w:rFonts w:cstheme="minorHAnsi"/>
        </w:rPr>
        <w:t xml:space="preserve"> focal area</w:t>
      </w:r>
      <w:r w:rsidR="0092433F" w:rsidRPr="000305D9">
        <w:rPr>
          <w:rFonts w:cstheme="minorHAnsi"/>
        </w:rPr>
        <w:t>s</w:t>
      </w:r>
      <w:r w:rsidR="00ED5664" w:rsidRPr="000305D9">
        <w:rPr>
          <w:rFonts w:cstheme="minorHAnsi"/>
        </w:rPr>
        <w:t xml:space="preserve"> </w:t>
      </w:r>
      <w:r w:rsidR="0092433F" w:rsidRPr="000305D9">
        <w:rPr>
          <w:rFonts w:cstheme="minorHAnsi"/>
        </w:rPr>
        <w:t>allow</w:t>
      </w:r>
      <w:r w:rsidR="00ED5664" w:rsidRPr="000305D9">
        <w:rPr>
          <w:rFonts w:cstheme="minorHAnsi"/>
        </w:rPr>
        <w:t xml:space="preserve"> </w:t>
      </w:r>
      <w:r w:rsidR="007E4F6B" w:rsidRPr="000305D9">
        <w:rPr>
          <w:rFonts w:cstheme="minorHAnsi"/>
        </w:rPr>
        <w:t>SLAAs to report</w:t>
      </w:r>
      <w:r w:rsidR="00ED5664" w:rsidRPr="000305D9">
        <w:rPr>
          <w:rFonts w:cstheme="minorHAnsi"/>
        </w:rPr>
        <w:t xml:space="preserve"> CE activity either </w:t>
      </w:r>
      <w:r w:rsidR="007E4F6B" w:rsidRPr="000305D9">
        <w:rPr>
          <w:rFonts w:cstheme="minorHAnsi"/>
        </w:rPr>
        <w:t xml:space="preserve">as part of a state’s effort to improve conditions within a given focal area or </w:t>
      </w:r>
      <w:r w:rsidR="00ED5664" w:rsidRPr="000305D9">
        <w:rPr>
          <w:rFonts w:cstheme="minorHAnsi"/>
        </w:rPr>
        <w:t xml:space="preserve">as part of </w:t>
      </w:r>
      <w:r w:rsidR="007E4F6B" w:rsidRPr="000305D9">
        <w:rPr>
          <w:rFonts w:cstheme="minorHAnsi"/>
        </w:rPr>
        <w:t>their</w:t>
      </w:r>
      <w:r w:rsidR="00ED5664" w:rsidRPr="000305D9">
        <w:rPr>
          <w:rFonts w:cstheme="minorHAnsi"/>
        </w:rPr>
        <w:t xml:space="preserve"> general library capacity building work</w:t>
      </w:r>
      <w:r w:rsidR="007E4F6B" w:rsidRPr="000305D9">
        <w:rPr>
          <w:rFonts w:cstheme="minorHAnsi"/>
        </w:rPr>
        <w:t>.</w:t>
      </w:r>
      <w:r w:rsidR="0006521C" w:rsidRPr="000305D9">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E14D49" w:rsidRPr="00841765" w:rsidRDefault="00E14D49" w:rsidP="000305D9">
      <w:pPr>
        <w:spacing w:after="0" w:line="240" w:lineRule="auto"/>
        <w:rPr>
          <w:rFonts w:cstheme="minorHAnsi"/>
          <w:b/>
        </w:rPr>
      </w:pPr>
      <w:r w:rsidRPr="00841765">
        <w:rPr>
          <w:rFonts w:cstheme="minorHAnsi"/>
          <w:b/>
        </w:rPr>
        <w:t>Question: How is IMLS expecting us to report on the 6 focal areas?  Are they going to be in the annual report, which adds yet another area for reporting and increases workload at a time we're struggling to keep or replace staff?</w:t>
      </w:r>
    </w:p>
    <w:p w:rsidR="00674EA3" w:rsidRPr="00841765" w:rsidRDefault="00E14D49" w:rsidP="000305D9">
      <w:pPr>
        <w:spacing w:after="0" w:line="240" w:lineRule="auto"/>
        <w:rPr>
          <w:rFonts w:cstheme="minorHAnsi"/>
          <w:b/>
        </w:rPr>
      </w:pPr>
      <w:r w:rsidRPr="000305D9">
        <w:rPr>
          <w:rFonts w:cstheme="minorHAnsi"/>
        </w:rPr>
        <w:t xml:space="preserve">Answer: </w:t>
      </w:r>
      <w:r w:rsidR="001B2B23" w:rsidRPr="000305D9">
        <w:rPr>
          <w:rFonts w:cstheme="minorHAnsi"/>
        </w:rPr>
        <w:t>IMLS is committed to reducing the reporting burden by the states.</w:t>
      </w:r>
      <w:r w:rsidRPr="000305D9">
        <w:rPr>
          <w:rFonts w:cstheme="minorHAnsi"/>
        </w:rPr>
        <w:t xml:space="preserve">  </w:t>
      </w:r>
      <w:r w:rsidR="001B2B23" w:rsidRPr="000305D9">
        <w:rPr>
          <w:rFonts w:cstheme="minorHAnsi"/>
        </w:rPr>
        <w:t xml:space="preserve">The work we are doing now will provide the foundation for a new reporting framework that will be developed with input from the SLAAs. </w:t>
      </w:r>
      <w:r w:rsidRPr="000305D9">
        <w:rPr>
          <w:rFonts w:cstheme="minorHAnsi"/>
        </w:rPr>
        <w:t xml:space="preserve">Our initial proposal is to have states identify </w:t>
      </w:r>
      <w:r w:rsidR="007C529F" w:rsidRPr="000305D9">
        <w:rPr>
          <w:rFonts w:cstheme="minorHAnsi"/>
        </w:rPr>
        <w:t>activities for each of</w:t>
      </w:r>
      <w:r w:rsidR="005E5EF4" w:rsidRPr="000305D9">
        <w:rPr>
          <w:rFonts w:cstheme="minorHAnsi"/>
        </w:rPr>
        <w:t xml:space="preserve"> the </w:t>
      </w:r>
      <w:r w:rsidRPr="000305D9">
        <w:rPr>
          <w:rFonts w:cstheme="minorHAnsi"/>
        </w:rPr>
        <w:t>focal area</w:t>
      </w:r>
      <w:r w:rsidR="007C529F" w:rsidRPr="000305D9">
        <w:rPr>
          <w:rFonts w:cstheme="minorHAnsi"/>
        </w:rPr>
        <w:t>s</w:t>
      </w:r>
      <w:r w:rsidRPr="000305D9">
        <w:rPr>
          <w:rFonts w:cstheme="minorHAnsi"/>
        </w:rPr>
        <w:t xml:space="preserve"> </w:t>
      </w:r>
      <w:r w:rsidR="007C529F" w:rsidRPr="000305D9">
        <w:rPr>
          <w:rFonts w:cstheme="minorHAnsi"/>
        </w:rPr>
        <w:t xml:space="preserve">and </w:t>
      </w:r>
      <w:r w:rsidRPr="000305D9">
        <w:rPr>
          <w:rFonts w:cstheme="minorHAnsi"/>
        </w:rPr>
        <w:t>then report the resources (human and financial), target beneficiaries, and corresponding outputs and outcomes</w:t>
      </w:r>
      <w:r w:rsidR="007C529F" w:rsidRPr="000305D9">
        <w:rPr>
          <w:rFonts w:cstheme="minorHAnsi"/>
        </w:rPr>
        <w:t xml:space="preserve">.  </w:t>
      </w:r>
      <w:r w:rsidR="001B2B23" w:rsidRPr="000305D9">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E14D49" w:rsidRPr="00841765" w:rsidRDefault="00E14D49" w:rsidP="000305D9">
      <w:pPr>
        <w:spacing w:after="0" w:line="240" w:lineRule="auto"/>
        <w:rPr>
          <w:rFonts w:cstheme="minorHAnsi"/>
          <w:b/>
        </w:rPr>
      </w:pPr>
      <w:r w:rsidRPr="00841765">
        <w:rPr>
          <w:rFonts w:cstheme="minorHAnsi"/>
          <w:b/>
        </w:rPr>
        <w:t>Question: How should outcomes be incorporated into our new LSTA Five-Year Plans or is inclusion of outcomes premature given the work IMLS is doing?</w:t>
      </w:r>
    </w:p>
    <w:p w:rsidR="00E14D49" w:rsidRPr="00841765" w:rsidRDefault="00E14D49" w:rsidP="000305D9">
      <w:pPr>
        <w:spacing w:after="0" w:line="240" w:lineRule="auto"/>
        <w:rPr>
          <w:rFonts w:cstheme="minorHAnsi"/>
          <w:b/>
        </w:rPr>
      </w:pPr>
      <w:r w:rsidRPr="000305D9">
        <w:rPr>
          <w:rFonts w:cstheme="minorHAnsi"/>
        </w:rPr>
        <w:t xml:space="preserve">Answer:  </w:t>
      </w:r>
      <w:r w:rsidR="00555729" w:rsidRPr="000305D9">
        <w:rPr>
          <w:rFonts w:cstheme="minorHAnsi"/>
        </w:rPr>
        <w:t>I</w:t>
      </w:r>
      <w:r w:rsidRPr="000305D9">
        <w:rPr>
          <w:rFonts w:cstheme="minorHAnsi"/>
        </w:rPr>
        <w:t>t is too early in the planning process</w:t>
      </w:r>
      <w:r w:rsidR="007C529F" w:rsidRPr="000305D9">
        <w:rPr>
          <w:rFonts w:cstheme="minorHAnsi"/>
        </w:rPr>
        <w:t xml:space="preserve"> </w:t>
      </w:r>
      <w:r w:rsidR="005E5EF4" w:rsidRPr="000305D9">
        <w:rPr>
          <w:rFonts w:cstheme="minorHAnsi"/>
        </w:rPr>
        <w:t xml:space="preserve">to specify what this might entail, especially given the diversity of </w:t>
      </w:r>
      <w:r w:rsidR="007E4F6B" w:rsidRPr="000305D9">
        <w:rPr>
          <w:rFonts w:cstheme="minorHAnsi"/>
        </w:rPr>
        <w:t>activities</w:t>
      </w:r>
      <w:r w:rsidR="005E5EF4" w:rsidRPr="000305D9">
        <w:rPr>
          <w:rFonts w:cstheme="minorHAnsi"/>
        </w:rPr>
        <w:t xml:space="preserve"> across the states</w:t>
      </w:r>
      <w:r w:rsidRPr="000305D9">
        <w:rPr>
          <w:rFonts w:cstheme="minorHAnsi"/>
        </w:rPr>
        <w:t xml:space="preserve">.  </w:t>
      </w:r>
      <w:r w:rsidR="00555729" w:rsidRPr="000305D9">
        <w:rPr>
          <w:rFonts w:cstheme="minorHAnsi"/>
        </w:rPr>
        <w:t>W</w:t>
      </w:r>
      <w:r w:rsidR="009C220C" w:rsidRPr="000305D9">
        <w:rPr>
          <w:rFonts w:cstheme="minorHAnsi"/>
        </w:rPr>
        <w:t>e will</w:t>
      </w:r>
      <w:r w:rsidR="005E5EF4" w:rsidRPr="000305D9">
        <w:rPr>
          <w:rFonts w:cstheme="minorHAnsi"/>
        </w:rPr>
        <w:t xml:space="preserve"> focus on </w:t>
      </w:r>
      <w:r w:rsidRPr="000305D9">
        <w:rPr>
          <w:rFonts w:cstheme="minorHAnsi"/>
        </w:rPr>
        <w:t>develop</w:t>
      </w:r>
      <w:r w:rsidR="005E5EF4" w:rsidRPr="000305D9">
        <w:rPr>
          <w:rFonts w:cstheme="minorHAnsi"/>
        </w:rPr>
        <w:t>ing</w:t>
      </w:r>
      <w:r w:rsidRPr="000305D9">
        <w:rPr>
          <w:rFonts w:cstheme="minorHAnsi"/>
        </w:rPr>
        <w:t xml:space="preserve"> </w:t>
      </w:r>
      <w:r w:rsidR="00674EA3" w:rsidRPr="000305D9">
        <w:rPr>
          <w:rFonts w:cstheme="minorHAnsi"/>
        </w:rPr>
        <w:t xml:space="preserve">a set of </w:t>
      </w:r>
      <w:r w:rsidRPr="000305D9">
        <w:rPr>
          <w:rFonts w:cstheme="minorHAnsi"/>
        </w:rPr>
        <w:t xml:space="preserve">agreed upon metrics </w:t>
      </w:r>
      <w:r w:rsidR="005E5EF4" w:rsidRPr="000305D9">
        <w:rPr>
          <w:rFonts w:cstheme="minorHAnsi"/>
        </w:rPr>
        <w:t xml:space="preserve">around common outcomes </w:t>
      </w:r>
      <w:r w:rsidR="00555729" w:rsidRPr="000305D9">
        <w:rPr>
          <w:rFonts w:cstheme="minorHAnsi"/>
        </w:rPr>
        <w:t>after reviewing the states’ five-year plans</w:t>
      </w:r>
      <w:r w:rsidRPr="000305D9">
        <w:rPr>
          <w:rFonts w:cstheme="minorHAnsi"/>
        </w:rPr>
        <w:t xml:space="preserve">. </w:t>
      </w:r>
    </w:p>
    <w:p w:rsidR="00841765" w:rsidRDefault="00841765" w:rsidP="000305D9">
      <w:pPr>
        <w:spacing w:after="0" w:line="240" w:lineRule="auto"/>
        <w:rPr>
          <w:rFonts w:cstheme="minorHAnsi"/>
          <w:b/>
        </w:rPr>
      </w:pPr>
    </w:p>
    <w:p w:rsidR="00E14D49" w:rsidRPr="00841765" w:rsidRDefault="00E14D49" w:rsidP="000305D9">
      <w:pPr>
        <w:spacing w:after="0" w:line="240" w:lineRule="auto"/>
        <w:rPr>
          <w:rFonts w:cstheme="minorHAnsi"/>
          <w:b/>
        </w:rPr>
      </w:pPr>
      <w:r w:rsidRPr="00841765">
        <w:rPr>
          <w:rFonts w:cstheme="minorHAnsi"/>
          <w:b/>
        </w:rPr>
        <w:lastRenderedPageBreak/>
        <w:t xml:space="preserve">Questions: Do we need to develop separate </w:t>
      </w:r>
      <w:proofErr w:type="spellStart"/>
      <w:r w:rsidRPr="00841765">
        <w:rPr>
          <w:rFonts w:cstheme="minorHAnsi"/>
          <w:b/>
        </w:rPr>
        <w:t>evaluatory</w:t>
      </w:r>
      <w:proofErr w:type="spellEnd"/>
      <w:r w:rsidRPr="00841765">
        <w:rPr>
          <w:rFonts w:cstheme="minorHAnsi"/>
          <w:b/>
        </w:rPr>
        <w:t xml:space="preserve"> mechanisms for each focal area?  Are the evaluation tools for the focal areas known at this time? Should we be thinking about tools for the final evaluation?</w:t>
      </w:r>
    </w:p>
    <w:p w:rsidR="00554D2D" w:rsidRPr="00841765" w:rsidRDefault="00E14D49" w:rsidP="000305D9">
      <w:pPr>
        <w:spacing w:after="0" w:line="240" w:lineRule="auto"/>
        <w:rPr>
          <w:rFonts w:cstheme="minorHAnsi"/>
          <w:b/>
        </w:rPr>
      </w:pPr>
      <w:r w:rsidRPr="000305D9">
        <w:rPr>
          <w:rFonts w:cstheme="minorHAnsi"/>
        </w:rPr>
        <w:t xml:space="preserve">Answer: </w:t>
      </w:r>
      <w:r w:rsidR="00555729" w:rsidRPr="000305D9">
        <w:rPr>
          <w:rFonts w:cstheme="minorHAnsi"/>
        </w:rPr>
        <w:t>T</w:t>
      </w:r>
      <w:r w:rsidR="005E5EF4" w:rsidRPr="000305D9">
        <w:rPr>
          <w:rFonts w:cstheme="minorHAnsi"/>
        </w:rPr>
        <w:t>he process has not yet reached the point where we know what these tools specifically entail</w:t>
      </w:r>
      <w:r w:rsidRPr="000305D9">
        <w:rPr>
          <w:rFonts w:cstheme="minorHAnsi"/>
        </w:rPr>
        <w:t xml:space="preserve">.  Once we have developed a basic reporting framework for </w:t>
      </w:r>
      <w:r w:rsidR="00BB46F4" w:rsidRPr="000305D9">
        <w:rPr>
          <w:rFonts w:cstheme="minorHAnsi"/>
        </w:rPr>
        <w:t xml:space="preserve">LSTA </w:t>
      </w:r>
      <w:r w:rsidRPr="000305D9">
        <w:rPr>
          <w:rFonts w:cstheme="minorHAnsi"/>
        </w:rPr>
        <w:t>activities</w:t>
      </w:r>
      <w:r w:rsidR="005E5EF4" w:rsidRPr="000305D9">
        <w:rPr>
          <w:rFonts w:cstheme="minorHAnsi"/>
        </w:rPr>
        <w:t>,</w:t>
      </w:r>
      <w:r w:rsidRPr="000305D9">
        <w:rPr>
          <w:rFonts w:cstheme="minorHAnsi"/>
        </w:rPr>
        <w:t xml:space="preserve"> we will move forward </w:t>
      </w:r>
      <w:r w:rsidR="00554D2D" w:rsidRPr="000305D9">
        <w:rPr>
          <w:rFonts w:cstheme="minorHAnsi"/>
        </w:rPr>
        <w:t xml:space="preserve">with the states </w:t>
      </w:r>
      <w:r w:rsidRPr="000305D9">
        <w:rPr>
          <w:rFonts w:cstheme="minorHAnsi"/>
        </w:rPr>
        <w:t xml:space="preserve">to identify common </w:t>
      </w:r>
      <w:r w:rsidR="00554D2D" w:rsidRPr="000305D9">
        <w:rPr>
          <w:rFonts w:cstheme="minorHAnsi"/>
        </w:rPr>
        <w:t xml:space="preserve">reporting </w:t>
      </w:r>
      <w:r w:rsidRPr="000305D9">
        <w:rPr>
          <w:rFonts w:cstheme="minorHAnsi"/>
        </w:rPr>
        <w:t xml:space="preserve">metrics.  </w:t>
      </w:r>
      <w:r w:rsidR="00554D2D" w:rsidRPr="000305D9">
        <w:rPr>
          <w:rFonts w:cstheme="minorHAnsi"/>
        </w:rPr>
        <w:t>In many cases these metric</w:t>
      </w:r>
      <w:r w:rsidR="006E1499" w:rsidRPr="000305D9">
        <w:rPr>
          <w:rFonts w:cstheme="minorHAnsi"/>
        </w:rPr>
        <w:t xml:space="preserve">s will </w:t>
      </w:r>
      <w:r w:rsidR="005E5EF4" w:rsidRPr="000305D9">
        <w:rPr>
          <w:rFonts w:cstheme="minorHAnsi"/>
        </w:rPr>
        <w:t>simplify</w:t>
      </w:r>
      <w:r w:rsidR="00554D2D" w:rsidRPr="000305D9">
        <w:rPr>
          <w:rFonts w:cstheme="minorHAnsi"/>
        </w:rPr>
        <w:t xml:space="preserve"> the reporting requirements found in the current SPR</w:t>
      </w:r>
      <w:r w:rsidR="006E1499" w:rsidRPr="000305D9">
        <w:rPr>
          <w:rFonts w:cstheme="minorHAnsi"/>
        </w:rPr>
        <w:t xml:space="preserve"> by changing</w:t>
      </w:r>
      <w:r w:rsidR="00554D2D" w:rsidRPr="000305D9">
        <w:rPr>
          <w:rFonts w:cstheme="minorHAnsi"/>
        </w:rPr>
        <w:t xml:space="preserve"> free text fields to close-ended response</w:t>
      </w:r>
      <w:r w:rsidR="006E1499" w:rsidRPr="000305D9">
        <w:rPr>
          <w:rFonts w:cstheme="minorHAnsi"/>
        </w:rPr>
        <w:t xml:space="preserve"> options</w:t>
      </w:r>
      <w:r w:rsidR="00554D2D" w:rsidRPr="000305D9">
        <w:rPr>
          <w:rFonts w:cstheme="minorHAnsi"/>
        </w:rPr>
        <w:t xml:space="preserve">.  </w:t>
      </w:r>
      <w:r w:rsidR="00BB46F4" w:rsidRPr="000305D9">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BB46F4" w:rsidRPr="00841765" w:rsidRDefault="00BB46F4" w:rsidP="000305D9">
      <w:pPr>
        <w:spacing w:after="0" w:line="240" w:lineRule="auto"/>
        <w:rPr>
          <w:rFonts w:cstheme="minorHAnsi"/>
          <w:b/>
        </w:rPr>
      </w:pPr>
      <w:r w:rsidRPr="00841765">
        <w:rPr>
          <w:rFonts w:cstheme="minorHAnsi"/>
          <w:b/>
        </w:rPr>
        <w:t xml:space="preserve">Statement: Remember, IMLS annual report requirements have a direct impact on how states manage their paperwork, especially for competitive grants or </w:t>
      </w:r>
      <w:proofErr w:type="spellStart"/>
      <w:r w:rsidRPr="00841765">
        <w:rPr>
          <w:rFonts w:cstheme="minorHAnsi"/>
          <w:b/>
        </w:rPr>
        <w:t>subgrants</w:t>
      </w:r>
      <w:proofErr w:type="spellEnd"/>
      <w:r w:rsidRPr="00841765">
        <w:rPr>
          <w:rFonts w:cstheme="minorHAnsi"/>
          <w:b/>
        </w:rPr>
        <w:t>.</w:t>
      </w:r>
    </w:p>
    <w:p w:rsidR="00BB46F4" w:rsidRPr="00841765" w:rsidRDefault="00555729" w:rsidP="000305D9">
      <w:pPr>
        <w:spacing w:after="0" w:line="240" w:lineRule="auto"/>
        <w:rPr>
          <w:rFonts w:cstheme="minorHAnsi"/>
        </w:rPr>
      </w:pPr>
      <w:r w:rsidRPr="000305D9">
        <w:rPr>
          <w:rFonts w:cstheme="minorHAnsi"/>
        </w:rPr>
        <w:t>Response</w:t>
      </w:r>
      <w:r w:rsidR="00BB46F4" w:rsidRPr="000305D9">
        <w:rPr>
          <w:rFonts w:cstheme="minorHAnsi"/>
        </w:rPr>
        <w:t xml:space="preserve">: We recognize that IMLS reporting requirements impact how </w:t>
      </w:r>
      <w:r w:rsidR="00BC190B" w:rsidRPr="000305D9">
        <w:rPr>
          <w:rFonts w:cstheme="minorHAnsi"/>
        </w:rPr>
        <w:t xml:space="preserve">SLAAs </w:t>
      </w:r>
      <w:r w:rsidR="00BB46F4" w:rsidRPr="000305D9">
        <w:rPr>
          <w:rFonts w:cstheme="minorHAnsi"/>
        </w:rPr>
        <w:t>manage their paperwork</w:t>
      </w:r>
      <w:r w:rsidRPr="000305D9">
        <w:rPr>
          <w:rFonts w:cstheme="minorHAnsi"/>
        </w:rPr>
        <w:t xml:space="preserve"> and </w:t>
      </w:r>
      <w:r w:rsidR="00BB46F4" w:rsidRPr="000305D9">
        <w:rPr>
          <w:rFonts w:cstheme="minorHAnsi"/>
        </w:rPr>
        <w:t xml:space="preserve">we are working closely with </w:t>
      </w:r>
      <w:r w:rsidR="005E5EF4" w:rsidRPr="000305D9">
        <w:rPr>
          <w:rFonts w:cstheme="minorHAnsi"/>
        </w:rPr>
        <w:t xml:space="preserve">our state partners </w:t>
      </w:r>
      <w:r w:rsidR="00BB46F4" w:rsidRPr="000305D9">
        <w:rPr>
          <w:rFonts w:cstheme="minorHAnsi"/>
        </w:rPr>
        <w:t xml:space="preserve">to improve LSTA reporting protocols.  </w:t>
      </w:r>
      <w:r w:rsidR="006E1499" w:rsidRPr="000305D9">
        <w:rPr>
          <w:rFonts w:cstheme="minorHAnsi"/>
        </w:rPr>
        <w:t xml:space="preserve"> </w:t>
      </w:r>
      <w:r w:rsidR="00BB46F4" w:rsidRPr="000305D9">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185B53" w:rsidRPr="00841765" w:rsidRDefault="00185B53" w:rsidP="000305D9">
      <w:pPr>
        <w:spacing w:after="0" w:line="240" w:lineRule="auto"/>
        <w:rPr>
          <w:rFonts w:cstheme="minorHAnsi"/>
          <w:b/>
        </w:rPr>
      </w:pPr>
      <w:r w:rsidRPr="00841765">
        <w:rPr>
          <w:rFonts w:cstheme="minorHAnsi"/>
          <w:b/>
        </w:rPr>
        <w:t xml:space="preserve">Statement: Each IMLS change makes for changes on our end and vetting/approval by our legal and other state agencies that guide/control how funds are distributed and made accountable for within federal guidelines.  Thanks! </w:t>
      </w:r>
    </w:p>
    <w:p w:rsidR="00185B53" w:rsidRPr="00841765" w:rsidRDefault="00185B53" w:rsidP="000305D9">
      <w:pPr>
        <w:spacing w:after="0" w:line="240" w:lineRule="auto"/>
        <w:rPr>
          <w:rFonts w:cstheme="minorHAnsi"/>
          <w:b/>
        </w:rPr>
      </w:pPr>
      <w:r w:rsidRPr="000305D9">
        <w:rPr>
          <w:rFonts w:cstheme="minorHAnsi"/>
        </w:rPr>
        <w:t xml:space="preserve">Response:  Again, we recognize that changes in the reporting process for the LSTA program can have an impact on the states.  </w:t>
      </w:r>
      <w:r w:rsidR="005E5EF4" w:rsidRPr="000305D9">
        <w:rPr>
          <w:rFonts w:cstheme="minorHAnsi"/>
        </w:rPr>
        <w:t>The changes in reporting</w:t>
      </w:r>
      <w:r w:rsidR="00531D68" w:rsidRPr="000305D9">
        <w:rPr>
          <w:rFonts w:cstheme="minorHAnsi"/>
        </w:rPr>
        <w:t xml:space="preserve"> </w:t>
      </w:r>
      <w:r w:rsidR="00013E7B" w:rsidRPr="000305D9">
        <w:rPr>
          <w:rFonts w:cstheme="minorHAnsi"/>
        </w:rPr>
        <w:t xml:space="preserve">resulting </w:t>
      </w:r>
      <w:r w:rsidR="00531D68" w:rsidRPr="000305D9">
        <w:rPr>
          <w:rFonts w:cstheme="minorHAnsi"/>
        </w:rPr>
        <w:t xml:space="preserve">from </w:t>
      </w:r>
      <w:r w:rsidRPr="000305D9">
        <w:rPr>
          <w:rFonts w:cstheme="minorHAnsi"/>
        </w:rPr>
        <w:t xml:space="preserve">this process should not have an impact on how programs are planned or delivered </w:t>
      </w:r>
      <w:r w:rsidR="005E5EF4" w:rsidRPr="000305D9">
        <w:rPr>
          <w:rFonts w:cstheme="minorHAnsi"/>
        </w:rPr>
        <w:t xml:space="preserve">within each </w:t>
      </w:r>
      <w:r w:rsidRPr="000305D9">
        <w:rPr>
          <w:rFonts w:cstheme="minorHAnsi"/>
        </w:rPr>
        <w:t xml:space="preserve"> state.  </w:t>
      </w:r>
      <w:r w:rsidR="005E5EF4" w:rsidRPr="000305D9">
        <w:rPr>
          <w:rFonts w:cstheme="minorHAnsi"/>
        </w:rPr>
        <w:t>Rather, t</w:t>
      </w:r>
      <w:r w:rsidRPr="000305D9">
        <w:rPr>
          <w:rFonts w:cstheme="minorHAnsi"/>
        </w:rPr>
        <w:t xml:space="preserve">he changes will affect how activities </w:t>
      </w:r>
      <w:r w:rsidR="00531D68" w:rsidRPr="000305D9">
        <w:rPr>
          <w:rFonts w:cstheme="minorHAnsi"/>
        </w:rPr>
        <w:t xml:space="preserve">are </w:t>
      </w:r>
      <w:r w:rsidRPr="000305D9">
        <w:rPr>
          <w:rFonts w:cstheme="minorHAnsi"/>
        </w:rPr>
        <w:t>reported</w:t>
      </w:r>
      <w:r w:rsidR="005E5EF4" w:rsidRPr="000305D9">
        <w:rPr>
          <w:rFonts w:cstheme="minorHAnsi"/>
        </w:rPr>
        <w:t xml:space="preserve"> in better demonstrating the value of library services for the American public</w:t>
      </w:r>
      <w:r w:rsidRPr="000305D9">
        <w:rPr>
          <w:rFonts w:cstheme="minorHAnsi"/>
        </w:rPr>
        <w:t>.</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BB46F4" w:rsidRPr="00841765" w:rsidRDefault="00B37F49" w:rsidP="000305D9">
      <w:pPr>
        <w:spacing w:after="0" w:line="240" w:lineRule="auto"/>
        <w:rPr>
          <w:rFonts w:cstheme="minorHAnsi"/>
          <w:b/>
        </w:rPr>
      </w:pPr>
      <w:r>
        <w:rPr>
          <w:rFonts w:cstheme="minorHAnsi"/>
          <w:b/>
        </w:rPr>
        <w:t xml:space="preserve">Question: </w:t>
      </w:r>
      <w:r w:rsidR="00185B53" w:rsidRPr="00841765">
        <w:rPr>
          <w:rFonts w:cstheme="minorHAnsi"/>
          <w:b/>
        </w:rPr>
        <w:t>Wh</w:t>
      </w:r>
      <w:r w:rsidR="00BB46F4" w:rsidRPr="00841765">
        <w:rPr>
          <w:rFonts w:cstheme="minorHAnsi"/>
          <w:b/>
        </w:rPr>
        <w:t xml:space="preserve">ere can I find the paper that </w:t>
      </w:r>
      <w:r w:rsidR="00555729" w:rsidRPr="00841765">
        <w:rPr>
          <w:rFonts w:cstheme="minorHAnsi"/>
          <w:b/>
        </w:rPr>
        <w:t xml:space="preserve">was </w:t>
      </w:r>
      <w:r w:rsidR="00BB46F4" w:rsidRPr="00841765">
        <w:rPr>
          <w:rFonts w:cstheme="minorHAnsi"/>
          <w:b/>
        </w:rPr>
        <w:t xml:space="preserve">distributed to COSLA in October and April?  </w:t>
      </w:r>
    </w:p>
    <w:p w:rsidR="00BB46F4" w:rsidRPr="00841765" w:rsidRDefault="00BB46F4" w:rsidP="000305D9">
      <w:pPr>
        <w:spacing w:after="0" w:line="240" w:lineRule="auto"/>
        <w:rPr>
          <w:rFonts w:cstheme="minorHAnsi"/>
        </w:rPr>
      </w:pPr>
      <w:r w:rsidRPr="000305D9">
        <w:rPr>
          <w:rFonts w:cstheme="minorHAnsi"/>
        </w:rPr>
        <w:t xml:space="preserve">Answer: The </w:t>
      </w:r>
      <w:r w:rsidR="00555729" w:rsidRPr="000305D9">
        <w:rPr>
          <w:rFonts w:cstheme="minorHAnsi"/>
        </w:rPr>
        <w:t>“Measuring Success Update” is</w:t>
      </w:r>
      <w:r w:rsidRPr="000305D9">
        <w:rPr>
          <w:rFonts w:cstheme="minorHAnsi"/>
        </w:rPr>
        <w:t xml:space="preserve"> </w:t>
      </w:r>
      <w:r w:rsidR="0003111F" w:rsidRPr="000305D9">
        <w:rPr>
          <w:rFonts w:cstheme="minorHAnsi"/>
        </w:rPr>
        <w:t xml:space="preserve">available </w:t>
      </w:r>
      <w:r w:rsidRPr="000305D9">
        <w:rPr>
          <w:rFonts w:cstheme="minorHAnsi"/>
        </w:rPr>
        <w:t xml:space="preserve">on the LSTA </w:t>
      </w:r>
      <w:r w:rsidR="0003111F" w:rsidRPr="000305D9">
        <w:rPr>
          <w:rFonts w:cstheme="minorHAnsi"/>
        </w:rPr>
        <w:t xml:space="preserve">extranet </w:t>
      </w:r>
      <w:r w:rsidRPr="000305D9">
        <w:rPr>
          <w:rFonts w:cstheme="minorHAnsi"/>
        </w:rPr>
        <w:t>at:</w:t>
      </w:r>
    </w:p>
    <w:p w:rsidR="00BB46F4" w:rsidRPr="00841765" w:rsidRDefault="006E1499" w:rsidP="000305D9">
      <w:pPr>
        <w:spacing w:after="0" w:line="240" w:lineRule="auto"/>
        <w:rPr>
          <w:rFonts w:cstheme="minorHAnsi"/>
          <w:b/>
        </w:rPr>
      </w:pPr>
      <w:hyperlink r:id="rId9" w:history="1">
        <w:r w:rsidRPr="00841765">
          <w:rPr>
            <w:rStyle w:val="Hyperlink"/>
            <w:rFonts w:cstheme="minorHAnsi"/>
            <w:b/>
          </w:rPr>
          <w:t>http://stateprograms.imls.gov/manual/COSLA%20Measuring%20Success%20Update_April%202012.pdf</w:t>
        </w:r>
      </w:hyperlink>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BB46F4" w:rsidRPr="00841765" w:rsidRDefault="00BB46F4" w:rsidP="000305D9">
      <w:pPr>
        <w:spacing w:after="0" w:line="240" w:lineRule="auto"/>
        <w:rPr>
          <w:rFonts w:cstheme="minorHAnsi"/>
          <w:b/>
        </w:rPr>
      </w:pPr>
      <w:r w:rsidRPr="00841765">
        <w:rPr>
          <w:rFonts w:cstheme="minorHAnsi"/>
          <w:b/>
        </w:rPr>
        <w:t>Question: Do you have a matrix form we should follow in our plans?</w:t>
      </w:r>
    </w:p>
    <w:p w:rsidR="00BB46F4" w:rsidRPr="00841765" w:rsidRDefault="00BB46F4" w:rsidP="000305D9">
      <w:pPr>
        <w:spacing w:after="0" w:line="240" w:lineRule="auto"/>
        <w:rPr>
          <w:rFonts w:cstheme="minorHAnsi"/>
          <w:b/>
        </w:rPr>
      </w:pPr>
      <w:r w:rsidRPr="000305D9">
        <w:rPr>
          <w:rFonts w:cstheme="minorHAnsi"/>
        </w:rPr>
        <w:t>Answer: Yes, IMLS has developed a</w:t>
      </w:r>
      <w:r w:rsidR="004E716A" w:rsidRPr="000305D9">
        <w:rPr>
          <w:rFonts w:cstheme="minorHAnsi"/>
        </w:rPr>
        <w:t xml:space="preserve">n example of a cross-walk </w:t>
      </w:r>
      <w:r w:rsidRPr="000305D9">
        <w:rPr>
          <w:rFonts w:cstheme="minorHAnsi"/>
        </w:rPr>
        <w:t xml:space="preserve">to assist in </w:t>
      </w:r>
      <w:r w:rsidR="001B2B23" w:rsidRPr="000305D9">
        <w:rPr>
          <w:rFonts w:cstheme="minorHAnsi"/>
        </w:rPr>
        <w:t>mapping</w:t>
      </w:r>
      <w:r w:rsidRPr="000305D9">
        <w:rPr>
          <w:rFonts w:cstheme="minorHAnsi"/>
        </w:rPr>
        <w:t xml:space="preserve"> activities to the focal areas.  The cross</w:t>
      </w:r>
      <w:r w:rsidR="004E716A" w:rsidRPr="000305D9">
        <w:rPr>
          <w:rFonts w:cstheme="minorHAnsi"/>
        </w:rPr>
        <w:t>-</w:t>
      </w:r>
      <w:r w:rsidRPr="000305D9">
        <w:rPr>
          <w:rFonts w:cstheme="minorHAnsi"/>
        </w:rPr>
        <w:t xml:space="preserve">walk is meant to serve as a guide.  We encourage you to </w:t>
      </w:r>
      <w:r w:rsidR="006E1499" w:rsidRPr="000305D9">
        <w:rPr>
          <w:rFonts w:cstheme="minorHAnsi"/>
        </w:rPr>
        <w:t xml:space="preserve">contact </w:t>
      </w:r>
      <w:r w:rsidRPr="000305D9">
        <w:rPr>
          <w:rFonts w:cstheme="minorHAnsi"/>
        </w:rPr>
        <w:t xml:space="preserve">your program officer </w:t>
      </w:r>
      <w:r w:rsidR="006E1499" w:rsidRPr="000305D9">
        <w:rPr>
          <w:rFonts w:cstheme="minorHAnsi"/>
        </w:rPr>
        <w:t xml:space="preserve">or </w:t>
      </w:r>
      <w:r w:rsidRPr="000305D9">
        <w:rPr>
          <w:rFonts w:cstheme="minorHAnsi"/>
        </w:rPr>
        <w:t xml:space="preserve">Matt Birnbaum </w:t>
      </w:r>
      <w:r w:rsidR="006E1499" w:rsidRPr="000305D9">
        <w:rPr>
          <w:rFonts w:cstheme="minorHAnsi"/>
        </w:rPr>
        <w:t xml:space="preserve">at </w:t>
      </w:r>
      <w:r w:rsidRPr="000305D9">
        <w:rPr>
          <w:rFonts w:cstheme="minorHAnsi"/>
        </w:rPr>
        <w:t>(202) 653-</w:t>
      </w:r>
      <w:r w:rsidR="006E1499" w:rsidRPr="000305D9">
        <w:rPr>
          <w:rFonts w:cstheme="minorHAnsi"/>
        </w:rPr>
        <w:t>4760</w:t>
      </w:r>
      <w:r w:rsidRPr="000305D9">
        <w:rPr>
          <w:rFonts w:cstheme="minorHAnsi"/>
        </w:rPr>
        <w:t xml:space="preserve"> </w:t>
      </w:r>
      <w:r w:rsidR="006E1499" w:rsidRPr="000305D9">
        <w:rPr>
          <w:rFonts w:cstheme="minorHAnsi"/>
        </w:rPr>
        <w:t xml:space="preserve">or </w:t>
      </w:r>
      <w:hyperlink r:id="rId10" w:history="1">
        <w:r w:rsidRPr="000305D9">
          <w:rPr>
            <w:rStyle w:val="Hyperlink"/>
            <w:rFonts w:cstheme="minorHAnsi"/>
          </w:rPr>
          <w:t>mbirnbaum@imls.gov</w:t>
        </w:r>
      </w:hyperlink>
      <w:r w:rsidRPr="000305D9">
        <w:rPr>
          <w:rFonts w:cstheme="minorHAnsi"/>
        </w:rPr>
        <w:t xml:space="preserve"> to discuss this process if you have any questions.</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7C3849" w:rsidRPr="00841765" w:rsidRDefault="00351C63" w:rsidP="000305D9">
      <w:pPr>
        <w:spacing w:after="0" w:line="240" w:lineRule="auto"/>
        <w:rPr>
          <w:rFonts w:cstheme="minorHAnsi"/>
          <w:b/>
        </w:rPr>
      </w:pPr>
      <w:r w:rsidRPr="00841765">
        <w:rPr>
          <w:rFonts w:cstheme="minorHAnsi"/>
          <w:b/>
        </w:rPr>
        <w:t xml:space="preserve">Question: </w:t>
      </w:r>
      <w:r w:rsidR="007C3849" w:rsidRPr="00841765">
        <w:rPr>
          <w:rFonts w:cstheme="minorHAnsi"/>
          <w:b/>
        </w:rPr>
        <w:t>I understo</w:t>
      </w:r>
      <w:r w:rsidRPr="00841765">
        <w:rPr>
          <w:rFonts w:cstheme="minorHAnsi"/>
          <w:b/>
        </w:rPr>
        <w:t xml:space="preserve">od from the </w:t>
      </w:r>
      <w:proofErr w:type="spellStart"/>
      <w:r w:rsidRPr="00841765">
        <w:rPr>
          <w:rFonts w:cstheme="minorHAnsi"/>
          <w:b/>
        </w:rPr>
        <w:t>I</w:t>
      </w:r>
      <w:r w:rsidR="007C3849" w:rsidRPr="00841765">
        <w:rPr>
          <w:rFonts w:cstheme="minorHAnsi"/>
          <w:b/>
        </w:rPr>
        <w:t>deafest</w:t>
      </w:r>
      <w:proofErr w:type="spellEnd"/>
      <w:r w:rsidR="007C3849" w:rsidRPr="00841765">
        <w:rPr>
          <w:rFonts w:cstheme="minorHAnsi"/>
          <w:b/>
        </w:rPr>
        <w:t xml:space="preserve"> two weeks ago that states could further narrow down the focal areas into possibly as few as two. Has that changed?</w:t>
      </w:r>
    </w:p>
    <w:p w:rsidR="00554D2D" w:rsidRPr="00841765" w:rsidRDefault="00B03C7B" w:rsidP="000305D9">
      <w:pPr>
        <w:spacing w:after="0" w:line="240" w:lineRule="auto"/>
        <w:rPr>
          <w:rFonts w:cstheme="minorHAnsi"/>
        </w:rPr>
      </w:pPr>
      <w:r w:rsidRPr="000305D9">
        <w:rPr>
          <w:rFonts w:cstheme="minorHAnsi"/>
        </w:rPr>
        <w:t xml:space="preserve">Answer: </w:t>
      </w:r>
      <w:r w:rsidR="00351C63" w:rsidRPr="000305D9">
        <w:rPr>
          <w:rFonts w:cstheme="minorHAnsi"/>
        </w:rPr>
        <w:t xml:space="preserve">Please note that the </w:t>
      </w:r>
      <w:proofErr w:type="spellStart"/>
      <w:r w:rsidR="00351C63" w:rsidRPr="000305D9">
        <w:rPr>
          <w:rFonts w:cstheme="minorHAnsi"/>
        </w:rPr>
        <w:t>Ideafest</w:t>
      </w:r>
      <w:proofErr w:type="spellEnd"/>
      <w:r w:rsidR="00351C63" w:rsidRPr="000305D9">
        <w:rPr>
          <w:rFonts w:cstheme="minorHAnsi"/>
        </w:rPr>
        <w:t xml:space="preserve"> activity is unrelated to IMLS’ work with the states to develop a consistent measurement framework for LSTA.  IMLS </w:t>
      </w:r>
      <w:r w:rsidR="008F68D6" w:rsidRPr="000305D9">
        <w:rPr>
          <w:rFonts w:cstheme="minorHAnsi"/>
        </w:rPr>
        <w:t>was not</w:t>
      </w:r>
      <w:r w:rsidR="00351C63" w:rsidRPr="000305D9">
        <w:rPr>
          <w:rFonts w:cstheme="minorHAnsi"/>
        </w:rPr>
        <w:t xml:space="preserve"> involved in the planning or implementation of </w:t>
      </w:r>
      <w:proofErr w:type="spellStart"/>
      <w:r w:rsidR="00351C63" w:rsidRPr="000305D9">
        <w:rPr>
          <w:rFonts w:cstheme="minorHAnsi"/>
        </w:rPr>
        <w:t>Ideafest</w:t>
      </w:r>
      <w:proofErr w:type="spellEnd"/>
      <w:r w:rsidR="00351C63" w:rsidRPr="000305D9">
        <w:rPr>
          <w:rFonts w:cstheme="minorHAnsi"/>
        </w:rPr>
        <w:t>.</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7C3849" w:rsidRPr="00841765" w:rsidRDefault="00531D68" w:rsidP="000305D9">
      <w:pPr>
        <w:spacing w:after="0" w:line="240" w:lineRule="auto"/>
        <w:rPr>
          <w:rFonts w:cstheme="minorHAnsi"/>
          <w:b/>
        </w:rPr>
      </w:pPr>
      <w:r w:rsidRPr="00841765">
        <w:rPr>
          <w:rFonts w:cstheme="minorHAnsi"/>
          <w:b/>
        </w:rPr>
        <w:t xml:space="preserve">Question: </w:t>
      </w:r>
      <w:r w:rsidR="007C3849" w:rsidRPr="00841765">
        <w:rPr>
          <w:rFonts w:cstheme="minorHAnsi"/>
          <w:b/>
        </w:rPr>
        <w:t>Will you provide written guidance about everything that was requested in this call/webinar?  Many of us work with outside groups who will want to know why we are adding something to a process that w</w:t>
      </w:r>
      <w:r w:rsidRPr="00841765">
        <w:rPr>
          <w:rFonts w:cstheme="minorHAnsi"/>
          <w:b/>
        </w:rPr>
        <w:t>e’ve been working on for months?</w:t>
      </w:r>
    </w:p>
    <w:p w:rsidR="00531D68" w:rsidRPr="00841765" w:rsidRDefault="00531D68" w:rsidP="000305D9">
      <w:pPr>
        <w:spacing w:after="0" w:line="240" w:lineRule="auto"/>
        <w:rPr>
          <w:rFonts w:cstheme="minorHAnsi"/>
        </w:rPr>
      </w:pPr>
      <w:r w:rsidRPr="000305D9">
        <w:rPr>
          <w:rFonts w:cstheme="minorHAnsi"/>
        </w:rPr>
        <w:t xml:space="preserve">Answer: </w:t>
      </w:r>
      <w:r w:rsidR="007B6324" w:rsidRPr="000305D9">
        <w:rPr>
          <w:rFonts w:cstheme="minorHAnsi"/>
        </w:rPr>
        <w:t>This FAQ responds to requests from the webinar. There is no</w:t>
      </w:r>
      <w:r w:rsidR="008F68D6" w:rsidRPr="000305D9">
        <w:rPr>
          <w:rFonts w:cstheme="minorHAnsi"/>
        </w:rPr>
        <w:t xml:space="preserve"> formal requirement </w:t>
      </w:r>
      <w:r w:rsidR="007B6324" w:rsidRPr="000305D9">
        <w:rPr>
          <w:rFonts w:cstheme="minorHAnsi"/>
        </w:rPr>
        <w:t>to include the mapping in the five-year plan</w:t>
      </w:r>
      <w:r w:rsidR="006E1FE6" w:rsidRPr="000305D9">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1874CE" w:rsidRPr="00841765" w:rsidRDefault="001874CE" w:rsidP="000305D9">
      <w:pPr>
        <w:spacing w:after="0" w:line="240" w:lineRule="auto"/>
        <w:rPr>
          <w:rFonts w:cstheme="minorHAnsi"/>
          <w:b/>
        </w:rPr>
      </w:pPr>
      <w:r w:rsidRPr="00841765">
        <w:rPr>
          <w:rFonts w:cstheme="minorHAnsi"/>
          <w:b/>
        </w:rPr>
        <w:t>Question: What exactly are states supposed to do in mapping activities to focal areas?</w:t>
      </w:r>
    </w:p>
    <w:p w:rsidR="001874CE" w:rsidRPr="00841765" w:rsidRDefault="001874CE" w:rsidP="000305D9">
      <w:pPr>
        <w:spacing w:after="0" w:line="240" w:lineRule="auto"/>
        <w:rPr>
          <w:rFonts w:cstheme="minorHAnsi"/>
        </w:rPr>
      </w:pPr>
      <w:r w:rsidRPr="000305D9">
        <w:rPr>
          <w:rFonts w:cstheme="minorHAnsi"/>
        </w:rPr>
        <w:t xml:space="preserve">Answer: SLAAs </w:t>
      </w:r>
      <w:r w:rsidR="008F68D6" w:rsidRPr="000305D9">
        <w:rPr>
          <w:rFonts w:cstheme="minorHAnsi"/>
        </w:rPr>
        <w:t xml:space="preserve">that choose to participate should </w:t>
      </w:r>
      <w:r w:rsidRPr="000305D9">
        <w:rPr>
          <w:rFonts w:cstheme="minorHAnsi"/>
        </w:rPr>
        <w:t xml:space="preserve">identify </w:t>
      </w:r>
      <w:r w:rsidR="008F68D6" w:rsidRPr="000305D9">
        <w:rPr>
          <w:rFonts w:cstheme="minorHAnsi"/>
        </w:rPr>
        <w:t>a</w:t>
      </w:r>
      <w:r w:rsidRPr="000305D9">
        <w:rPr>
          <w:rFonts w:cstheme="minorHAnsi"/>
        </w:rPr>
        <w:t xml:space="preserve"> focal area </w:t>
      </w:r>
      <w:r w:rsidR="008F68D6" w:rsidRPr="000305D9">
        <w:rPr>
          <w:rFonts w:cstheme="minorHAnsi"/>
        </w:rPr>
        <w:t>for</w:t>
      </w:r>
      <w:r w:rsidRPr="000305D9">
        <w:rPr>
          <w:rFonts w:cstheme="minorHAnsi"/>
        </w:rPr>
        <w:t xml:space="preserve"> </w:t>
      </w:r>
      <w:r w:rsidR="008F68D6" w:rsidRPr="000305D9">
        <w:rPr>
          <w:rFonts w:cstheme="minorHAnsi"/>
        </w:rPr>
        <w:t>each</w:t>
      </w:r>
      <w:r w:rsidRPr="000305D9">
        <w:rPr>
          <w:rFonts w:cstheme="minorHAnsi"/>
        </w:rPr>
        <w:t xml:space="preserve"> activity in the</w:t>
      </w:r>
      <w:r w:rsidR="008F68D6" w:rsidRPr="000305D9">
        <w:rPr>
          <w:rFonts w:cstheme="minorHAnsi"/>
        </w:rPr>
        <w:t>ir</w:t>
      </w:r>
      <w:r w:rsidRPr="000305D9">
        <w:rPr>
          <w:rFonts w:cstheme="minorHAnsi"/>
        </w:rPr>
        <w:t xml:space="preserve"> plan.  </w:t>
      </w:r>
      <w:r w:rsidR="00BC190B" w:rsidRPr="000305D9">
        <w:rPr>
          <w:rFonts w:cstheme="minorHAnsi"/>
        </w:rPr>
        <w:t xml:space="preserve">If a state submits their plan without mapping activities to focal areas, IMLS will undertake the process after the </w:t>
      </w:r>
      <w:r w:rsidR="007B6324" w:rsidRPr="000305D9">
        <w:rPr>
          <w:rFonts w:cstheme="minorHAnsi"/>
        </w:rPr>
        <w:t xml:space="preserve">plan is submitted (deadline for submitting plans remains </w:t>
      </w:r>
      <w:r w:rsidR="00BC190B" w:rsidRPr="000305D9">
        <w:rPr>
          <w:rFonts w:cstheme="minorHAnsi"/>
        </w:rPr>
        <w:t>June 30</w:t>
      </w:r>
      <w:r w:rsidR="00BC190B" w:rsidRPr="000305D9">
        <w:rPr>
          <w:rFonts w:cstheme="minorHAnsi"/>
          <w:vertAlign w:val="superscript"/>
        </w:rPr>
        <w:t>th</w:t>
      </w:r>
      <w:r w:rsidR="007B6324" w:rsidRPr="000305D9">
        <w:rPr>
          <w:rFonts w:cstheme="minorHAnsi"/>
        </w:rPr>
        <w:t>)</w:t>
      </w:r>
      <w:r w:rsidR="00BC190B" w:rsidRPr="000305D9">
        <w:rPr>
          <w:rFonts w:cstheme="minorHAnsi"/>
        </w:rPr>
        <w:t>.</w:t>
      </w:r>
      <w:r w:rsidRPr="000305D9">
        <w:rPr>
          <w:rFonts w:cstheme="minorHAnsi"/>
        </w:rPr>
        <w:t xml:space="preserve">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1874CE" w:rsidRPr="00841765" w:rsidRDefault="001874CE" w:rsidP="000305D9">
      <w:pPr>
        <w:spacing w:after="0" w:line="240" w:lineRule="auto"/>
        <w:rPr>
          <w:rFonts w:cstheme="minorHAnsi"/>
          <w:b/>
        </w:rPr>
      </w:pPr>
      <w:r w:rsidRPr="00841765">
        <w:rPr>
          <w:rFonts w:cstheme="minorHAnsi"/>
          <w:b/>
        </w:rPr>
        <w:t>Question: Are states supposed to create new results chains for each activity listed in their plan?</w:t>
      </w:r>
    </w:p>
    <w:p w:rsidR="001874CE" w:rsidRPr="00841765" w:rsidRDefault="001874CE" w:rsidP="000305D9">
      <w:pPr>
        <w:spacing w:after="0" w:line="240" w:lineRule="auto"/>
        <w:rPr>
          <w:rFonts w:cstheme="minorHAnsi"/>
        </w:rPr>
      </w:pPr>
      <w:r w:rsidRPr="000305D9">
        <w:rPr>
          <w:rFonts w:cstheme="minorHAnsi"/>
        </w:rPr>
        <w:t xml:space="preserve">Answer: No. The only results chains needed were those created </w:t>
      </w:r>
      <w:r w:rsidR="007B6324" w:rsidRPr="000305D9">
        <w:rPr>
          <w:rFonts w:cstheme="minorHAnsi"/>
        </w:rPr>
        <w:t>earlier</w:t>
      </w:r>
      <w:r w:rsidRPr="000305D9">
        <w:rPr>
          <w:rFonts w:cstheme="minorHAnsi"/>
        </w:rPr>
        <w:t xml:space="preserve"> in the Measuring Success initiative </w:t>
      </w:r>
      <w:r w:rsidR="007B6324" w:rsidRPr="000305D9">
        <w:rPr>
          <w:rFonts w:cstheme="minorHAnsi"/>
        </w:rPr>
        <w:t>to establish</w:t>
      </w:r>
      <w:r w:rsidRPr="000305D9">
        <w:rPr>
          <w:rFonts w:cstheme="minorHAnsi"/>
        </w:rPr>
        <w:t xml:space="preserve"> the focal areas.  States need only identify which focal area is associated with each </w:t>
      </w:r>
      <w:r w:rsidR="00013E7B" w:rsidRPr="000305D9">
        <w:rPr>
          <w:rFonts w:cstheme="minorHAnsi"/>
        </w:rPr>
        <w:t>activity</w:t>
      </w:r>
      <w:r w:rsidRPr="000305D9">
        <w:rPr>
          <w:rFonts w:cstheme="minorHAnsi"/>
        </w:rPr>
        <w:t xml:space="preserve"> outlined in their five year plan.  </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1874CE" w:rsidRPr="00841765" w:rsidRDefault="001874CE" w:rsidP="000305D9">
      <w:pPr>
        <w:spacing w:after="0" w:line="240" w:lineRule="auto"/>
        <w:rPr>
          <w:rFonts w:cstheme="minorHAnsi"/>
          <w:b/>
        </w:rPr>
      </w:pPr>
      <w:r w:rsidRPr="00841765">
        <w:rPr>
          <w:rFonts w:cstheme="minorHAnsi"/>
          <w:b/>
        </w:rPr>
        <w:t xml:space="preserve">Question: Should the information that links an activity to a focal </w:t>
      </w:r>
      <w:r w:rsidR="00013E7B" w:rsidRPr="00841765">
        <w:rPr>
          <w:rFonts w:cstheme="minorHAnsi"/>
          <w:b/>
        </w:rPr>
        <w:t>area be</w:t>
      </w:r>
      <w:r w:rsidRPr="00841765">
        <w:rPr>
          <w:rFonts w:cstheme="minorHAnsi"/>
          <w:b/>
        </w:rPr>
        <w:t xml:space="preserve"> included in the state’s formal plan or as an addendum to the plan?</w:t>
      </w:r>
    </w:p>
    <w:p w:rsidR="001874CE" w:rsidRPr="00841765" w:rsidRDefault="001874CE" w:rsidP="000305D9">
      <w:pPr>
        <w:spacing w:after="0" w:line="240" w:lineRule="auto"/>
        <w:rPr>
          <w:rFonts w:cstheme="minorHAnsi"/>
          <w:b/>
        </w:rPr>
      </w:pPr>
      <w:r w:rsidRPr="000305D9">
        <w:rPr>
          <w:rFonts w:cstheme="minorHAnsi"/>
        </w:rPr>
        <w:t>Answer: T</w:t>
      </w:r>
      <w:r w:rsidR="005F06C2" w:rsidRPr="000305D9">
        <w:rPr>
          <w:rFonts w:cstheme="minorHAnsi"/>
        </w:rPr>
        <w:t>he</w:t>
      </w:r>
      <w:r w:rsidRPr="000305D9">
        <w:rPr>
          <w:rFonts w:cstheme="minorHAnsi"/>
        </w:rPr>
        <w:t xml:space="preserve"> </w:t>
      </w:r>
      <w:r w:rsidR="00C64380" w:rsidRPr="000305D9">
        <w:rPr>
          <w:rFonts w:cstheme="minorHAnsi"/>
        </w:rPr>
        <w:t>SLAA</w:t>
      </w:r>
      <w:r w:rsidR="00BC190B" w:rsidRPr="000305D9">
        <w:rPr>
          <w:rFonts w:cstheme="minorHAnsi"/>
        </w:rPr>
        <w:t xml:space="preserve"> may choose </w:t>
      </w:r>
      <w:r w:rsidR="007B6324" w:rsidRPr="000305D9">
        <w:rPr>
          <w:rFonts w:cstheme="minorHAnsi"/>
        </w:rPr>
        <w:t>where</w:t>
      </w:r>
      <w:r w:rsidR="00BC190B" w:rsidRPr="000305D9">
        <w:rPr>
          <w:rFonts w:cstheme="minorHAnsi"/>
        </w:rPr>
        <w:t xml:space="preserve"> to include this information</w:t>
      </w:r>
      <w:r w:rsidRPr="000305D9">
        <w:rPr>
          <w:rFonts w:cstheme="minorHAnsi"/>
        </w:rPr>
        <w:t>.</w:t>
      </w:r>
    </w:p>
    <w:p w:rsidR="00841765" w:rsidRDefault="00841765" w:rsidP="000305D9">
      <w:pPr>
        <w:spacing w:after="0" w:line="240" w:lineRule="auto"/>
        <w:rPr>
          <w:rFonts w:cstheme="minorHAnsi"/>
          <w:b/>
        </w:rPr>
      </w:pPr>
    </w:p>
    <w:p w:rsidR="00B37F49" w:rsidRDefault="00B37F49" w:rsidP="000305D9">
      <w:pPr>
        <w:spacing w:after="0" w:line="240" w:lineRule="auto"/>
        <w:rPr>
          <w:rFonts w:cstheme="minorHAnsi"/>
          <w:b/>
        </w:rPr>
      </w:pPr>
    </w:p>
    <w:p w:rsidR="001874CE" w:rsidRPr="00841765" w:rsidRDefault="00B37F49" w:rsidP="000305D9">
      <w:pPr>
        <w:spacing w:after="0" w:line="240" w:lineRule="auto"/>
        <w:rPr>
          <w:rFonts w:cstheme="minorHAnsi"/>
          <w:b/>
        </w:rPr>
      </w:pPr>
      <w:r>
        <w:rPr>
          <w:rFonts w:cstheme="minorHAnsi"/>
          <w:b/>
        </w:rPr>
        <w:t xml:space="preserve">Question: </w:t>
      </w:r>
      <w:r w:rsidR="001874CE" w:rsidRPr="00841765">
        <w:rPr>
          <w:rFonts w:cstheme="minorHAnsi"/>
          <w:b/>
        </w:rPr>
        <w:t>If a State recommends that an activity be listed with a specific focal area, but this subsequently gets changed as the Measuring Success initiative progresses, does this mean that the State will have to submit an amendment to its plan?</w:t>
      </w:r>
    </w:p>
    <w:p w:rsidR="00C05CF3" w:rsidRPr="00DB05A5" w:rsidRDefault="00F6337E" w:rsidP="000305D9">
      <w:pPr>
        <w:spacing w:after="0" w:line="240" w:lineRule="auto"/>
        <w:rPr>
          <w:rFonts w:cstheme="minorHAnsi"/>
        </w:rPr>
      </w:pPr>
      <w:r w:rsidRPr="000305D9">
        <w:rPr>
          <w:rFonts w:cstheme="minorHAnsi"/>
        </w:rPr>
        <w:t xml:space="preserve">Answer: </w:t>
      </w:r>
      <w:r w:rsidR="001874CE" w:rsidRPr="000305D9">
        <w:rPr>
          <w:rFonts w:cstheme="minorHAnsi"/>
        </w:rPr>
        <w:t xml:space="preserve">No.  </w:t>
      </w:r>
      <w:r w:rsidRPr="000305D9">
        <w:rPr>
          <w:rFonts w:cstheme="minorHAnsi"/>
        </w:rPr>
        <w:t xml:space="preserve">Only if a state changes a goal must </w:t>
      </w:r>
      <w:r w:rsidR="001874CE" w:rsidRPr="000305D9">
        <w:rPr>
          <w:rFonts w:cstheme="minorHAnsi"/>
        </w:rPr>
        <w:t xml:space="preserve">an amendment </w:t>
      </w:r>
      <w:r w:rsidRPr="000305D9">
        <w:rPr>
          <w:rFonts w:cstheme="minorHAnsi"/>
        </w:rPr>
        <w:t>be submitted</w:t>
      </w:r>
      <w:r w:rsidR="001874CE" w:rsidRPr="000305D9">
        <w:rPr>
          <w:rFonts w:cstheme="minorHAnsi"/>
        </w:rPr>
        <w:t>.</w:t>
      </w:r>
    </w:p>
    <w:sectPr w:rsidR="00C05CF3" w:rsidRPr="00DB05A5" w:rsidSect="00C05CF3">
      <w:headerReference w:type="default" r:id="rId11"/>
      <w:footerReference w:type="default" r:id="rId12"/>
      <w:pgSz w:w="12240" w:h="15840"/>
      <w:pgMar w:top="1440" w:right="1440" w:bottom="1440" w:left="1440" w:header="720" w:footer="3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0B" w:rsidRDefault="00BC190B" w:rsidP="00C05CF3">
      <w:pPr>
        <w:spacing w:after="0" w:line="240" w:lineRule="auto"/>
      </w:pPr>
      <w:r>
        <w:separator/>
      </w:r>
    </w:p>
  </w:endnote>
  <w:endnote w:type="continuationSeparator" w:id="0">
    <w:p w:rsidR="00BC190B" w:rsidRDefault="00BC190B" w:rsidP="00C0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90B" w:rsidRDefault="005F550B" w:rsidP="00C05CF3">
    <w:pPr>
      <w:pStyle w:val="Footer"/>
      <w:jc w:val="right"/>
    </w:pPr>
    <w:r>
      <w:t>Five-Year</w:t>
    </w:r>
    <w:r w:rsidR="00BC190B">
      <w:t xml:space="preserve"> Plan Webinar</w:t>
    </w:r>
    <w:r w:rsidR="007B6324">
      <w:t xml:space="preserve"> </w:t>
    </w:r>
    <w:r>
      <w:t>–</w:t>
    </w:r>
    <w:r w:rsidR="007B6324">
      <w:t xml:space="preserve"> FAQ</w:t>
    </w:r>
    <w:r>
      <w:t xml:space="preserve"> – 16 May 2012</w:t>
    </w:r>
  </w:p>
  <w:p w:rsidR="00BC190B" w:rsidRDefault="00BC19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0B" w:rsidRDefault="00BC190B" w:rsidP="00C05CF3">
      <w:pPr>
        <w:spacing w:after="0" w:line="240" w:lineRule="auto"/>
      </w:pPr>
      <w:r>
        <w:separator/>
      </w:r>
    </w:p>
  </w:footnote>
  <w:footnote w:type="continuationSeparator" w:id="0">
    <w:p w:rsidR="00BC190B" w:rsidRDefault="00BC190B" w:rsidP="00C05C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857017"/>
      <w:docPartObj>
        <w:docPartGallery w:val="Page Numbers (Top of Page)"/>
        <w:docPartUnique/>
      </w:docPartObj>
    </w:sdtPr>
    <w:sdtEndPr>
      <w:rPr>
        <w:noProof/>
      </w:rPr>
    </w:sdtEndPr>
    <w:sdtContent>
      <w:p w:rsidR="00002822" w:rsidRDefault="00002822">
        <w:pPr>
          <w:pStyle w:val="Header"/>
          <w:jc w:val="right"/>
        </w:pPr>
        <w:r>
          <w:fldChar w:fldCharType="begin"/>
        </w:r>
        <w:r>
          <w:instrText xml:space="preserve"> PAGE   \* MERGEFORMAT </w:instrText>
        </w:r>
        <w:r>
          <w:fldChar w:fldCharType="separate"/>
        </w:r>
        <w:r w:rsidR="000305D9">
          <w:rPr>
            <w:noProof/>
          </w:rPr>
          <w:t>1</w:t>
        </w:r>
        <w:r>
          <w:rPr>
            <w:noProof/>
          </w:rPr>
          <w:fldChar w:fldCharType="end"/>
        </w:r>
      </w:p>
    </w:sdtContent>
  </w:sdt>
  <w:p w:rsidR="00002822" w:rsidRDefault="00002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21585"/>
    <w:multiLevelType w:val="hybridMultilevel"/>
    <w:tmpl w:val="F47A7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A7E78"/>
    <w:multiLevelType w:val="hybridMultilevel"/>
    <w:tmpl w:val="836662FA"/>
    <w:lvl w:ilvl="0" w:tplc="854C597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trackRevision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49"/>
    <w:rsid w:val="000004A3"/>
    <w:rsid w:val="00002822"/>
    <w:rsid w:val="000075A5"/>
    <w:rsid w:val="00013E7B"/>
    <w:rsid w:val="000305D9"/>
    <w:rsid w:val="0003111F"/>
    <w:rsid w:val="0006521C"/>
    <w:rsid w:val="000A6614"/>
    <w:rsid w:val="001754C6"/>
    <w:rsid w:val="00185B53"/>
    <w:rsid w:val="001874CE"/>
    <w:rsid w:val="001B2969"/>
    <w:rsid w:val="001B2B23"/>
    <w:rsid w:val="001B3286"/>
    <w:rsid w:val="00261C48"/>
    <w:rsid w:val="00276EF1"/>
    <w:rsid w:val="00351C63"/>
    <w:rsid w:val="00386BC1"/>
    <w:rsid w:val="003D147D"/>
    <w:rsid w:val="003D393D"/>
    <w:rsid w:val="003E2AE7"/>
    <w:rsid w:val="004018BA"/>
    <w:rsid w:val="00414E53"/>
    <w:rsid w:val="004E716A"/>
    <w:rsid w:val="00531D68"/>
    <w:rsid w:val="00541F53"/>
    <w:rsid w:val="00554D2D"/>
    <w:rsid w:val="00555729"/>
    <w:rsid w:val="005667C0"/>
    <w:rsid w:val="005E3F8C"/>
    <w:rsid w:val="005E5EF4"/>
    <w:rsid w:val="005F06C2"/>
    <w:rsid w:val="005F550B"/>
    <w:rsid w:val="0064684D"/>
    <w:rsid w:val="00674EA3"/>
    <w:rsid w:val="00681ED5"/>
    <w:rsid w:val="006E1499"/>
    <w:rsid w:val="006E1FE6"/>
    <w:rsid w:val="00707F5B"/>
    <w:rsid w:val="00737F4B"/>
    <w:rsid w:val="007659DA"/>
    <w:rsid w:val="007A04F8"/>
    <w:rsid w:val="007B32E6"/>
    <w:rsid w:val="007B339F"/>
    <w:rsid w:val="007B6324"/>
    <w:rsid w:val="007C3849"/>
    <w:rsid w:val="007C529F"/>
    <w:rsid w:val="007E4F6B"/>
    <w:rsid w:val="007F1AE9"/>
    <w:rsid w:val="00806F83"/>
    <w:rsid w:val="00810829"/>
    <w:rsid w:val="00841765"/>
    <w:rsid w:val="008756CA"/>
    <w:rsid w:val="00886B77"/>
    <w:rsid w:val="008F68D6"/>
    <w:rsid w:val="0092433F"/>
    <w:rsid w:val="009404E8"/>
    <w:rsid w:val="009414C7"/>
    <w:rsid w:val="009759EB"/>
    <w:rsid w:val="009B5D0D"/>
    <w:rsid w:val="009C220C"/>
    <w:rsid w:val="00A17F21"/>
    <w:rsid w:val="00A52420"/>
    <w:rsid w:val="00A65D5A"/>
    <w:rsid w:val="00A75274"/>
    <w:rsid w:val="00AA2899"/>
    <w:rsid w:val="00AA4F3D"/>
    <w:rsid w:val="00AF5686"/>
    <w:rsid w:val="00B03C7B"/>
    <w:rsid w:val="00B053C1"/>
    <w:rsid w:val="00B05C10"/>
    <w:rsid w:val="00B37F49"/>
    <w:rsid w:val="00B82342"/>
    <w:rsid w:val="00B8594B"/>
    <w:rsid w:val="00BB46F4"/>
    <w:rsid w:val="00BC190B"/>
    <w:rsid w:val="00BC25C6"/>
    <w:rsid w:val="00BD1CD6"/>
    <w:rsid w:val="00C05CF3"/>
    <w:rsid w:val="00C34154"/>
    <w:rsid w:val="00C64380"/>
    <w:rsid w:val="00C72621"/>
    <w:rsid w:val="00D36056"/>
    <w:rsid w:val="00D96DAC"/>
    <w:rsid w:val="00DB05A5"/>
    <w:rsid w:val="00DC2B28"/>
    <w:rsid w:val="00DD49C3"/>
    <w:rsid w:val="00DD7ECB"/>
    <w:rsid w:val="00E00AFE"/>
    <w:rsid w:val="00E14D49"/>
    <w:rsid w:val="00E269EA"/>
    <w:rsid w:val="00EA6C77"/>
    <w:rsid w:val="00EC487F"/>
    <w:rsid w:val="00ED5664"/>
    <w:rsid w:val="00F6337E"/>
    <w:rsid w:val="00FD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49"/>
    <w:rPr>
      <w:rFonts w:ascii="Tahoma" w:hAnsi="Tahoma" w:cs="Tahoma"/>
      <w:sz w:val="16"/>
      <w:szCs w:val="16"/>
    </w:rPr>
  </w:style>
  <w:style w:type="paragraph" w:styleId="Header">
    <w:name w:val="header"/>
    <w:basedOn w:val="Normal"/>
    <w:link w:val="HeaderChar"/>
    <w:uiPriority w:val="99"/>
    <w:unhideWhenUsed/>
    <w:rsid w:val="00C0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CF3"/>
  </w:style>
  <w:style w:type="paragraph" w:styleId="Footer">
    <w:name w:val="footer"/>
    <w:basedOn w:val="Normal"/>
    <w:link w:val="FooterChar"/>
    <w:uiPriority w:val="99"/>
    <w:unhideWhenUsed/>
    <w:rsid w:val="00C0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CF3"/>
  </w:style>
  <w:style w:type="paragraph" w:styleId="ListParagraph">
    <w:name w:val="List Paragraph"/>
    <w:basedOn w:val="Normal"/>
    <w:uiPriority w:val="34"/>
    <w:qFormat/>
    <w:rsid w:val="00AA4F3D"/>
    <w:pPr>
      <w:ind w:left="720"/>
      <w:contextualSpacing/>
    </w:pPr>
  </w:style>
  <w:style w:type="character" w:styleId="Hyperlink">
    <w:name w:val="Hyperlink"/>
    <w:basedOn w:val="DefaultParagraphFont"/>
    <w:uiPriority w:val="99"/>
    <w:unhideWhenUsed/>
    <w:rsid w:val="00FD5C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49"/>
    <w:rPr>
      <w:rFonts w:ascii="Tahoma" w:hAnsi="Tahoma" w:cs="Tahoma"/>
      <w:sz w:val="16"/>
      <w:szCs w:val="16"/>
    </w:rPr>
  </w:style>
  <w:style w:type="paragraph" w:styleId="Header">
    <w:name w:val="header"/>
    <w:basedOn w:val="Normal"/>
    <w:link w:val="HeaderChar"/>
    <w:uiPriority w:val="99"/>
    <w:unhideWhenUsed/>
    <w:rsid w:val="00C0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CF3"/>
  </w:style>
  <w:style w:type="paragraph" w:styleId="Footer">
    <w:name w:val="footer"/>
    <w:basedOn w:val="Normal"/>
    <w:link w:val="FooterChar"/>
    <w:uiPriority w:val="99"/>
    <w:unhideWhenUsed/>
    <w:rsid w:val="00C0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CF3"/>
  </w:style>
  <w:style w:type="paragraph" w:styleId="ListParagraph">
    <w:name w:val="List Paragraph"/>
    <w:basedOn w:val="Normal"/>
    <w:uiPriority w:val="34"/>
    <w:qFormat/>
    <w:rsid w:val="00AA4F3D"/>
    <w:pPr>
      <w:ind w:left="720"/>
      <w:contextualSpacing/>
    </w:pPr>
  </w:style>
  <w:style w:type="character" w:styleId="Hyperlink">
    <w:name w:val="Hyperlink"/>
    <w:basedOn w:val="DefaultParagraphFont"/>
    <w:uiPriority w:val="99"/>
    <w:unhideWhenUsed/>
    <w:rsid w:val="00FD5C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3707">
      <w:bodyDiv w:val="1"/>
      <w:marLeft w:val="0"/>
      <w:marRight w:val="0"/>
      <w:marTop w:val="0"/>
      <w:marBottom w:val="0"/>
      <w:divBdr>
        <w:top w:val="none" w:sz="0" w:space="0" w:color="auto"/>
        <w:left w:val="none" w:sz="0" w:space="0" w:color="auto"/>
        <w:bottom w:val="none" w:sz="0" w:space="0" w:color="auto"/>
        <w:right w:val="none" w:sz="0" w:space="0" w:color="auto"/>
      </w:divBdr>
    </w:div>
    <w:div w:id="527639586">
      <w:bodyDiv w:val="1"/>
      <w:marLeft w:val="0"/>
      <w:marRight w:val="0"/>
      <w:marTop w:val="0"/>
      <w:marBottom w:val="0"/>
      <w:divBdr>
        <w:top w:val="none" w:sz="0" w:space="0" w:color="auto"/>
        <w:left w:val="none" w:sz="0" w:space="0" w:color="auto"/>
        <w:bottom w:val="none" w:sz="0" w:space="0" w:color="auto"/>
        <w:right w:val="none" w:sz="0" w:space="0" w:color="auto"/>
      </w:divBdr>
    </w:div>
    <w:div w:id="20218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birnbaum@imls.gov" TargetMode="External"/><Relationship Id="rId4" Type="http://schemas.microsoft.com/office/2007/relationships/stylesWithEffects" Target="stylesWithEffects.xml"/><Relationship Id="rId9" Type="http://schemas.openxmlformats.org/officeDocument/2006/relationships/hyperlink" Target="http://stateprograms.imls.gov/manual/COSLA%20Measuring%20Success%20Update_April%20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9B85B-6680-4590-B3EB-01A7A764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Owens</dc:creator>
  <cp:lastModifiedBy>Matthew Birnbaum</cp:lastModifiedBy>
  <cp:revision>2</cp:revision>
  <cp:lastPrinted>2012-05-16T18:34:00Z</cp:lastPrinted>
  <dcterms:created xsi:type="dcterms:W3CDTF">2012-10-12T02:30:00Z</dcterms:created>
  <dcterms:modified xsi:type="dcterms:W3CDTF">2012-10-12T02:30:00Z</dcterms:modified>
</cp:coreProperties>
</file>