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  <w:jc w:val="center"/>
      </w:pPr>
      <w:r>
        <w:t xml:space="preserve">MD. MAZHARUL ANWAR</w:t>
      </w:r>
    </w:p>
    <w:p>
      <w:pPr>
        <w:pStyle w:val="ContactInfo"/>
        <w:jc w:val="center"/>
      </w:pPr>
      <w:r>
        <w:t xml:space="preserve">Sydney, Australia | (+61) 490 183 756 | me@mazharulanwar.com | </w:t>
      </w:r>
      <w:hyperlink w:history="1" r:id="rId8qyakznoqjiapaskezyvp">
        <w:r>
          <w:rPr>
            <w:color w:val="0563C1"/>
            <w:u w:val="single"/>
          </w:rPr>
          <w:t xml:space="preserve">LinkedIn</w:t>
        </w:r>
      </w:hyperlink>
    </w:p>
    <w:p>
      <w:pPr>
        <w:pStyle w:val="SectionHeader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Engineering leader who builds leverage, not heroics. </w:t>
      </w:r>
      <w:r>
        <w:rPr>
          <w:rFonts w:ascii="Arial" w:cs="Arial" w:eastAsia="Arial" w:hAnsi="Arial"/>
          <w:sz w:val="22"/>
          <w:szCs w:val="22"/>
        </w:rPr>
        <w:t xml:space="preserve">15+ years leading engineering teams through scale, transformation, and technical complexity. Deep expertise in platform engineering, but equally comfortable owning product delivery, architecture governance, and organisational growth.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scope: Head of Engineering managing 50+ permanent engineers across Sydney and Malaysia, plus offshore contractors. Full accountability for technical strategy, architecture decisions, security posture, delivery, and cloud spend optimisation.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Track record: Scaled engineering org 5x while cutting cloud costs 50% year one, 30% more year two. Built self-service platform capabilities that eliminated ops dependencies and improved incident detection 10x. Led digital transformation of 60-year-old auction house from brick-and-mortar to fully digital operations. Architecture governance and risk ownership across regulated and high-growth environments.</w:t>
      </w:r>
    </w:p>
    <w:p>
      <w:pPr>
        <w:pStyle w:val="SectionHeader"/>
      </w:pPr>
      <w:r>
        <w:t xml:space="preserve">Professional Experience</w:t>
      </w:r>
    </w:p>
    <w:p>
      <w:pPr>
        <w:pStyle w:val="CompanyHeader"/>
      </w:pPr>
      <w:r>
        <w:t xml:space="preserve">PICKLES AUCTIONS</w:t>
      </w:r>
      <w:r>
        <w:rPr>
          <w:b w:val="false"/>
          <w:bCs w:val="false"/>
        </w:rPr>
        <w:t xml:space="preserve"> | Sydney, Australia</w:t>
      </w:r>
    </w:p>
    <w:p>
      <w:pPr>
        <w:pStyle w:val="RoleTitle"/>
      </w:pPr>
      <w:r>
        <w:t xml:space="preserve">Head of Engineering - Digital</w:t>
      </w:r>
      <w:r>
        <w:rPr>
          <w:i w:val="false"/>
          <w:iCs w:val="false"/>
        </w:rPr>
        <w:t xml:space="preserve"> (Jul 2022 - Present)</w:t>
      </w:r>
    </w:p>
    <w:p>
      <w:pPr>
        <w:pStyle w:val="RoleTitle"/>
      </w:pPr>
      <w:r>
        <w:t xml:space="preserve">Group Technology Manager</w:t>
      </w:r>
      <w:r>
        <w:rPr>
          <w:i w:val="false"/>
          <w:iCs w:val="false"/>
        </w:rPr>
        <w:t xml:space="preserve"> (Mar 2021 - Jun 2022)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Accountable for Malaysia Engineering Centre of Excellence; manage 50+ permanent engineers across Sydney and Malaysia plus 10-20 offshore contractors. Grew MY CoE 5x over 3 years. Reduced organisation-wide cloud costs by 50% in year one, additional 30% in year two.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Owned platform engineering transformation: Eliminated reliance on specialised application ops through self-service tooling, IaC, SRE practices, and observability platforms. Result: 10x faster incident detection, 50% reduction in technical debt.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Architecture governance and risk ownership: Final decision-maker for technology choices, security trade-offs, and compliance readiness across all digital products. Regular reporting to executive steering committee on technical risk posture.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Venture CTO accountability: Full technical ownership of Pickles Malaysia digital products and Carzapp mobile ecosystem - architecture, delivery, reliability, and cost.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Led digital transformation of 60-year-old brick-and-mortar auction house: centralised operations, digitised end-to-end auction workflows, and enabled data-driven decision making across the organisation. D365 integration was one component of broader transformation.</w:t>
      </w:r>
    </w:p>
    <w:p>
      <w:pPr>
        <w:pStyle w:val="CompanyHeader"/>
      </w:pPr>
      <w:r>
        <w:t xml:space="preserve">PETRONAS</w:t>
      </w:r>
      <w:r>
        <w:rPr>
          <w:b w:val="false"/>
          <w:bCs w:val="false"/>
        </w:rPr>
        <w:t xml:space="preserve"> | Kuala Lumpur</w:t>
      </w:r>
    </w:p>
    <w:p>
      <w:pPr>
        <w:pStyle w:val="RoleTitle"/>
      </w:pPr>
      <w:r>
        <w:t xml:space="preserve">Head of Solutions Architecture</w:t>
      </w:r>
      <w:r>
        <w:rPr>
          <w:i w:val="false"/>
          <w:iCs w:val="false"/>
        </w:rPr>
        <w:t xml:space="preserve"> (Oct 2018 - Feb 2021)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Built revolutionary mobile petrol station concept from zero to production: RovR brought the petrol station to the customer, delivering fuel on-demand to fleet and retail customers. Owned technical vision, architecture, and delivery for this first-of-kind digital fuel platform.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Directed multiple development teams through full product lifecycle in regulated environment: scope definition, technical standards, compliance requirements, and quality gates.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Executive stakeholder interface: Translated novel product concept into technical strategy for leadership. Built engineering culture around CI/CD automation and sustainable delivery practices.</w:t>
      </w:r>
    </w:p>
    <w:p>
      <w:pPr>
        <w:pStyle w:val="CompanyHeader"/>
      </w:pPr>
      <w:r>
        <w:t xml:space="preserve">MAXIS</w:t>
      </w:r>
      <w:r>
        <w:rPr>
          <w:b w:val="false"/>
          <w:bCs w:val="false"/>
        </w:rPr>
        <w:t xml:space="preserve"> | Kuala Lumpur</w:t>
      </w:r>
    </w:p>
    <w:p>
      <w:pPr>
        <w:pStyle w:val="RoleTitle"/>
      </w:pPr>
      <w:r>
        <w:t xml:space="preserve">Senior Specialist, Digital Platform</w:t>
      </w:r>
      <w:r>
        <w:rPr>
          <w:i w:val="false"/>
          <w:iCs w:val="false"/>
        </w:rPr>
        <w:t xml:space="preserve"> (May 2018 - Sep 2018)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Technical leadership for Ookyo digital product: cross-functional team coordination, system design, and roadmap-to-delivery translation.</w:t>
      </w:r>
    </w:p>
    <w:p>
      <w:pPr>
        <w:pStyle w:val="CompanyHeader"/>
      </w:pPr>
      <w:r>
        <w:t xml:space="preserve">SEEK (JobStreet)</w:t>
      </w:r>
      <w:r>
        <w:rPr>
          <w:b w:val="false"/>
          <w:bCs w:val="false"/>
        </w:rPr>
        <w:t xml:space="preserve"> | Kuala Lumpur</w:t>
      </w:r>
    </w:p>
    <w:p>
      <w:pPr>
        <w:pStyle w:val="RoleTitle"/>
      </w:pPr>
      <w:r>
        <w:t xml:space="preserve">Technical Lead</w:t>
      </w:r>
      <w:r>
        <w:rPr>
          <w:i w:val="false"/>
          <w:iCs w:val="false"/>
        </w:rPr>
        <w:t xml:space="preserve"> (Jun 2016 - Apr 2018)</w:t>
      </w:r>
    </w:p>
    <w:p>
      <w:pPr>
        <w:pStyle w:val="RoleTitle"/>
      </w:pPr>
      <w:r>
        <w:t xml:space="preserve">Specialist, Software Engineer</w:t>
      </w:r>
      <w:r>
        <w:rPr>
          <w:i w:val="false"/>
          <w:iCs w:val="false"/>
        </w:rPr>
        <w:t xml:space="preserve"> (Mar 2015 - Jun 2016)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Built monitoring and alerting infrastructure using ELK stack. Designed high-availability systems across multiple datacentres for JobStreet Business Operating Systems (Southeast Asia).</w:t>
      </w:r>
    </w:p>
    <w:p>
      <w:pPr>
        <w:pStyle w:val="BulletText"/>
      </w:pPr>
      <w:r>
        <w:rPr>
          <w:rFonts w:ascii="Arial" w:cs="Arial" w:eastAsia="Arial" w:hAnsi="Arial"/>
          <w:sz w:val="22"/>
          <w:szCs w:val="22"/>
        </w:rPr>
        <w:t xml:space="preserve">• Microservices platform ownership: containerisation, API governance, and coding standards for SeekAsia services.</w:t>
      </w:r>
    </w:p>
    <w:p>
      <w:pPr>
        <w:pStyle w:val="CompanyHeader"/>
      </w:pPr>
      <w:r>
        <w:t xml:space="preserve">Earlier Experience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Lead Application Developer at Integricity Technology (2014). Senior Developer roles at VLT Kuala Lumpur and Integricity Technology (2009-2013).</w:t>
      </w:r>
    </w:p>
    <w:p>
      <w:pPr>
        <w:pStyle w:val="SectionHeader"/>
      </w:pPr>
      <w: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Bachelor of Science (Hons), Information Technology - Universiti Utara Malaysia, 2013</w:t>
      </w:r>
    </w:p>
    <w:p>
      <w:pPr>
        <w:pStyle w:val="SectionHeader"/>
      </w:pPr>
      <w:r>
        <w:t xml:space="preserve">Technical Expertise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&amp; Infrastructure: </w:t>
      </w:r>
      <w:r>
        <w:rPr>
          <w:rFonts w:ascii="Arial" w:cs="Arial" w:eastAsia="Arial" w:hAnsi="Arial"/>
          <w:sz w:val="22"/>
          <w:szCs w:val="22"/>
        </w:rPr>
        <w:t xml:space="preserve">Kubernetes, Terraform, CI/CD (Azure DevOps, GitHub Actions), Observability (Dynatrace, Datadog, ELK, Prometheus), SRE practices, Service Mesh, Infrastructure as Code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Cloud: </w:t>
      </w:r>
      <w:r>
        <w:rPr>
          <w:rFonts w:ascii="Arial" w:cs="Arial" w:eastAsia="Arial" w:hAnsi="Arial"/>
          <w:sz w:val="22"/>
          <w:szCs w:val="22"/>
        </w:rPr>
        <w:t xml:space="preserve">Azure (App Services, AKS, Functions, Cosmos DB, Service Bus, DevOps), AWS (Lambda, DynamoDB, SQS/SNS, ECS, S3)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 </w:t>
      </w:r>
      <w:r>
        <w:rPr>
          <w:rFonts w:ascii="Arial" w:cs="Arial" w:eastAsia="Arial" w:hAnsi="Arial"/>
          <w:sz w:val="22"/>
          <w:szCs w:val="22"/>
        </w:rPr>
        <w:t xml:space="preserve">Microservices, Event-Driven Architecture, Domain-Driven Design, Serverless, CQRS, Event Sourcing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 &amp; Frameworks: </w:t>
      </w:r>
      <w:r>
        <w:rPr>
          <w:rFonts w:ascii="Arial" w:cs="Arial" w:eastAsia="Arial" w:hAnsi="Arial"/>
          <w:sz w:val="22"/>
          <w:szCs w:val="22"/>
        </w:rPr>
        <w:t xml:space="preserve">Node.js/TypeScript (advanced), Go, Python, Rust, React, Angular, Flutter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Data &amp; Messaging: </w:t>
      </w:r>
      <w:r>
        <w:rPr>
          <w:rFonts w:ascii="Arial" w:cs="Arial" w:eastAsia="Arial" w:hAnsi="Arial"/>
          <w:sz w:val="22"/>
          <w:szCs w:val="22"/>
        </w:rPr>
        <w:t xml:space="preserve">Kafka, Cosmos DB, MSSQL, PostgreSQL, MySQL, Elasticsearch, Redis, RabbitMQ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Arial" w:cs="Arial" w:eastAsia="Arial" w:hAnsi="Arial"/>
      <w:b/>
      <w:bCs/>
      <w:sz w:val="36"/>
      <w:szCs w:val="36"/>
    </w:rPr>
  </w:style>
  <w:style w:type="paragraph" w:styleId="ContactInfo">
    <w:name w:val="Contact Info"/>
    <w:basedOn w:val="Normal"/>
    <w:pPr>
      <w:spacing w:after="200"/>
    </w:pPr>
    <w:rPr>
      <w:rFonts w:ascii="Arial" w:cs="Arial" w:eastAsia="Arial" w:hAnsi="Arial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sz w:val="24"/>
      <w:szCs w:val="24"/>
    </w:rPr>
  </w:style>
  <w:style w:type="paragraph" w:styleId="CompanyHeader">
    <w:name w:val="Company Header"/>
    <w:basedOn w:val="Normal"/>
    <w:pPr>
      <w:spacing w:before="180" w:after="60"/>
    </w:pPr>
    <w:rPr>
      <w:rFonts w:ascii="Arial" w:cs="Arial" w:eastAsia="Arial" w:hAnsi="Arial"/>
      <w:b/>
      <w:bCs/>
      <w:sz w:val="22"/>
      <w:szCs w:val="22"/>
    </w:rPr>
  </w:style>
  <w:style w:type="paragraph" w:styleId="RoleTitle">
    <w:name w:val="Role Title"/>
    <w:basedOn w:val="Normal"/>
    <w:pPr>
      <w:spacing w:after="60"/>
    </w:pPr>
    <w:rPr>
      <w:rFonts w:ascii="Arial" w:cs="Arial" w:eastAsia="Arial" w:hAnsi="Arial"/>
      <w:i/>
      <w:iCs/>
      <w:sz w:val="22"/>
      <w:szCs w:val="22"/>
    </w:rPr>
  </w:style>
  <w:style w:type="paragraph" w:styleId="BulletText">
    <w:name w:val="Bullet Text"/>
    <w:basedOn w:val="Normal"/>
    <w:pPr>
      <w:spacing w:after="60"/>
      <w:ind w:left="360" w:hanging="360"/>
    </w:pPr>
    <w:rPr>
      <w:rFonts w:ascii="Arial" w:cs="Arial" w:eastAsia="Arial" w:hAnsi="Arial"/>
      <w:sz w:val="22"/>
      <w:szCs w:val="22"/>
    </w:rPr>
  </w:style>
  <w:style w:type="paragraph" w:styleId="SubBullet">
    <w:name w:val="Sub Bullet"/>
    <w:basedOn w:val="Normal"/>
    <w:pPr>
      <w:spacing w:after="60"/>
      <w:ind w:left="720" w:hanging="36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qyakznoqjiapaskezyvp" Type="http://schemas.openxmlformats.org/officeDocument/2006/relationships/hyperlink" Target="https://www.linkedin.com/in/mazharul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2026-01-06T10:05:35.222Z</dcterms:created>
  <dcterms:modified xsi:type="dcterms:W3CDTF">2026-01-06T10:05:35.223Z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