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Oblivious homomorphic aggregation hides the matched record set from every provider.</w:t>
      </w:r>
    </w:p>
    <w:p>
      <w:pPr>
        <w:pStyle w:val="ListBullet"/>
      </w:pPr>
      <w:r>
        <w:t>Search and analytics stay oblivious under t = n-1 collusion, with no server link.</w:t>
      </w:r>
    </w:p>
    <w:p>
      <w:pPr>
        <w:pStyle w:val="ListBullet"/>
      </w:pPr>
      <w:r>
        <w:t>Without server interaction, sharing the data cannot replace the homomorphic layer.</w:t>
      </w:r>
    </w:p>
    <w:p>
      <w:pPr>
        <w:pStyle w:val="ListBullet"/>
      </w:pPr>
      <w:r>
        <w:t>A two-round flexible path serves conjunctions and ad-hoc weights obliviously.</w:t>
      </w:r>
    </w:p>
    <w:p>
      <w:pPr>
        <w:pStyle w:val="ListBullet"/>
      </w:pPr>
      <w:r>
        <w:t>Four aggregates and their MACs return in one 132 kB ciphertext.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