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b/>
          <w:i w:val="0"/>
          <w:sz w:val="28"/>
        </w:rPr>
        <w:t>Submission questionnaire</w:t>
      </w:r>
    </w:p>
    <w:p>
      <w:pPr>
        <w:spacing w:before="0" w:after="40"/>
      </w:pPr>
      <w:r>
        <w:rPr>
          <w:rFonts w:ascii="Times New Roman" w:hAnsi="Times New Roman"/>
          <w:b w:val="0"/>
          <w:i/>
          <w:sz w:val="20"/>
        </w:rPr>
        <w:t>Submitted to Future Generation Computer Systems</w:t>
      </w:r>
    </w:p>
    <w:p>
      <w:pPr>
        <w:spacing w:before="0" w:after="80"/>
      </w:pPr>
      <w:r>
        <w:rPr>
          <w:rFonts w:ascii="Times New Roman" w:hAnsi="Times New Roman"/>
          <w:b w:val="0"/>
          <w:i/>
          <w:sz w:val="20"/>
        </w:rPr>
        <w:t>CR-SHE: Oblivious homomorphic aggregation for collusion-resilient search and analytics over encrypted multi-cloud IoT data</w:t>
      </w:r>
    </w:p>
    <w:p>
      <w:pPr>
        <w:spacing w:before="40" w:after="200"/>
        <w:pBdr>
          <w:bottom w:val="single" w:sz="6" w:space="1" w:color="999999"/>
        </w:pBdr>
      </w:pPr>
    </w:p>
    <w:p>
      <w:pPr>
        <w:spacing w:before="0" w:after="280"/>
      </w:pPr>
      <w:r>
        <w:rPr>
          <w:rFonts w:ascii="Times New Roman" w:hAnsi="Times New Roman"/>
          <w:b w:val="0"/>
          <w:i/>
          <w:sz w:val="20"/>
        </w:rPr>
        <w:t>Paste each answer into the matching box in Editorial Manager. Character counts are given for reference; the limit is 1500 per answer.</w:t>
      </w:r>
    </w:p>
    <w:p>
      <w:pPr>
        <w:spacing w:before="0" w:after="120"/>
      </w:pPr>
      <w:r>
        <w:rPr>
          <w:rFonts w:ascii="Times New Roman" w:hAnsi="Times New Roman"/>
          <w:b/>
          <w:i w:val="0"/>
          <w:sz w:val="23"/>
        </w:rPr>
        <w:t>1. Briefly list the research domain(s) and the contributions of the manuscript</w:t>
      </w:r>
    </w:p>
    <w:p>
      <w:pPr>
        <w:spacing w:before="0" w:after="120"/>
        <w:ind w:left="216"/>
        <w:jc w:val="both"/>
      </w:pPr>
      <w:r>
        <w:rPr>
          <w:rFonts w:ascii="Times New Roman" w:hAnsi="Times New Roman"/>
          <w:b w:val="0"/>
          <w:i w:val="0"/>
          <w:sz w:val="22"/>
        </w:rPr>
        <w:t>Research domains: applied cryptography; privacy-preserving distributed and multi-cloud systems; encrypted search and data management for the Internet of Things.</w:t>
      </w:r>
    </w:p>
    <w:p>
      <w:pPr>
        <w:spacing w:before="0" w:after="120"/>
        <w:ind w:left="216"/>
        <w:jc w:val="both"/>
      </w:pPr>
      <w:r>
        <w:rPr>
          <w:rFonts w:ascii="Times New Roman" w:hAnsi="Times New Roman"/>
          <w:b w:val="0"/>
          <w:i w:val="0"/>
          <w:sz w:val="22"/>
        </w:rPr>
        <w:t>The manuscript addresses oblivious keyword search and analytics over IoT telemetry replicated across several independent cloud providers. Its contributions are:</w:t>
      </w:r>
    </w:p>
    <w:p>
      <w:pPr>
        <w:spacing w:before="0" w:after="120"/>
        <w:ind w:left="216"/>
        <w:jc w:val="both"/>
      </w:pPr>
      <w:r>
        <w:rPr>
          <w:rFonts w:ascii="Times New Roman" w:hAnsi="Times New Roman"/>
          <w:b w:val="0"/>
          <w:i w:val="0"/>
          <w:sz w:val="22"/>
        </w:rPr>
        <w:t>(1) Oblivious homomorphic aggregation. Each provider folds its own distributed point function (DPF) share directly into a homomorphically encrypted record column and returns a single ciphertext, so the matched record set is never assembled at any provider and its cardinality never leaves the client.</w:t>
      </w:r>
    </w:p>
    <w:p>
      <w:pPr>
        <w:spacing w:before="0" w:after="120"/>
        <w:ind w:left="216"/>
        <w:jc w:val="both"/>
      </w:pPr>
      <w:r>
        <w:rPr>
          <w:rFonts w:ascii="Times New Roman" w:hAnsi="Times New Roman"/>
          <w:b w:val="0"/>
          <w:i w:val="0"/>
          <w:sz w:val="22"/>
        </w:rPr>
        <w:t>(2) A precomputed-column fast path that makes single-keyword aggregates over templates registered at setup independent of the record count.</w:t>
      </w:r>
    </w:p>
    <w:p>
      <w:pPr>
        <w:spacing w:before="0" w:after="120"/>
        <w:ind w:left="216"/>
        <w:jc w:val="both"/>
      </w:pPr>
      <w:r>
        <w:rPr>
          <w:rFonts w:ascii="Times New Roman" w:hAnsi="Times New Roman"/>
          <w:b w:val="0"/>
          <w:i w:val="0"/>
          <w:sz w:val="22"/>
        </w:rPr>
        <w:t>(3) A one-time-pad index mask, cancelled inside the ciphertext, that removes posting-list-length leakage from the replicated index at rest.</w:t>
      </w:r>
    </w:p>
    <w:p>
      <w:pPr>
        <w:spacing w:before="0" w:after="120"/>
        <w:ind w:left="216"/>
        <w:jc w:val="both"/>
      </w:pPr>
      <w:r>
        <w:rPr>
          <w:rFonts w:ascii="Times New Roman" w:hAnsi="Times New Roman"/>
          <w:b w:val="0"/>
          <w:i w:val="0"/>
          <w:sz w:val="22"/>
        </w:rPr>
        <w:t>(4) Proofs of correctness and of adaptive leakage security against a coalition of up to t = n-1 colluding providers, with a per-query coalition leakage profile revealing only the requested aggregate class, plus an explicit algebraic compatibility condition for composing DPF shares with the homomorphic plaintext ring.</w:t>
      </w:r>
    </w:p>
    <w:p>
      <w:pPr>
        <w:spacing w:before="0" w:after="120"/>
        <w:ind w:left="216"/>
        <w:jc w:val="both"/>
      </w:pPr>
      <w:r>
        <w:rPr>
          <w:rFonts w:ascii="Times New Roman" w:hAnsi="Times New Roman"/>
          <w:b w:val="0"/>
          <w:i w:val="0"/>
          <w:sz w:val="22"/>
        </w:rPr>
        <w:t>(5) A C++ prototype evaluated on two real IoT corpora against ORAM, single-server searchable encryption, distributed-trust search and a faithful homomorphic equality scan, with an empirical leakage-abuse attack.</w:t>
      </w:r>
    </w:p>
    <w:p>
      <w:pPr>
        <w:spacing w:before="0" w:after="320"/>
        <w:ind w:left="216"/>
      </w:pPr>
      <w:r>
        <w:rPr>
          <w:rFonts w:ascii="Times New Roman" w:hAnsi="Times New Roman"/>
          <w:b w:val="0"/>
          <w:i/>
          <w:sz w:val="18"/>
        </w:rPr>
        <w:t>[1439 of 1500 characters]</w:t>
      </w:r>
    </w:p>
    <w:p>
      <w:pPr>
        <w:spacing w:before="0" w:after="120"/>
      </w:pPr>
      <w:r>
        <w:rPr>
          <w:rFonts w:ascii="Times New Roman" w:hAnsi="Times New Roman"/>
          <w:b/>
          <w:i w:val="0"/>
          <w:sz w:val="23"/>
        </w:rPr>
        <w:t>2. Briefly describe the novel aspects of the manuscript. Authors whose manuscript extends work previously published should identify the parts of their submission that contain novel contributions</w:t>
      </w:r>
    </w:p>
    <w:p>
      <w:pPr>
        <w:spacing w:before="0" w:after="120"/>
        <w:ind w:left="216"/>
        <w:jc w:val="both"/>
      </w:pPr>
      <w:r>
        <w:rPr>
          <w:rFonts w:ascii="Times New Roman" w:hAnsi="Times New Roman"/>
          <w:b w:val="0"/>
          <w:i w:val="0"/>
          <w:sz w:val="22"/>
        </w:rPr>
        <w:t>This manuscript is not an extension of previously published work by the authors. No conference or workshop version exists, and it has not been posted as a preprint.</w:t>
      </w:r>
    </w:p>
    <w:p>
      <w:pPr>
        <w:spacing w:before="0" w:after="120"/>
        <w:ind w:left="216"/>
        <w:jc w:val="both"/>
      </w:pPr>
      <w:r>
        <w:rPr>
          <w:rFonts w:ascii="Times New Roman" w:hAnsi="Times New Roman"/>
          <w:b w:val="0"/>
          <w:i w:val="0"/>
          <w:sz w:val="22"/>
        </w:rPr>
        <w:t>Distributed-trust query systems already hide which records a query selects. The novelty here is the composition step they leave open. Selection and computation are not the same problem: once a scheme aggregates over the matched records, it typically hands the matched set to the providers, and a colluding coalition then recovers exactly the access pattern the selection phase protected.</w:t>
      </w:r>
    </w:p>
    <w:p>
      <w:pPr>
        <w:spacing w:before="0" w:after="120"/>
        <w:ind w:left="216"/>
        <w:jc w:val="both"/>
      </w:pPr>
      <w:r>
        <w:rPr>
          <w:rFonts w:ascii="Times New Roman" w:hAnsi="Times New Roman"/>
          <w:b w:val="0"/>
          <w:i w:val="0"/>
          <w:sz w:val="22"/>
        </w:rPr>
        <w:t>The novel aspects are:</w:t>
      </w:r>
    </w:p>
    <w:p>
      <w:pPr>
        <w:spacing w:before="0" w:after="120"/>
        <w:ind w:left="216"/>
        <w:jc w:val="both"/>
      </w:pPr>
      <w:r>
        <w:rPr>
          <w:rFonts w:ascii="Times New Roman" w:hAnsi="Times New Roman"/>
          <w:b w:val="0"/>
          <w:i w:val="0"/>
          <w:sz w:val="22"/>
        </w:rPr>
        <w:t>(1) Oblivious homomorphic aggregation, in which the analytics phase inherits the access-pattern hiding of the selection phase, over data encrypted at rest under a single owner's key, with no server-to-server channel and a collusion bound of t = n-1. By contrast, Splinter computes over plaintext databases, DORY stops at retrieval, and Waldo assumes an honest majority (t = 1) with secret-shared data and inter-server interaction.</w:t>
      </w:r>
    </w:p>
    <w:p>
      <w:pPr>
        <w:spacing w:before="0" w:after="120"/>
        <w:ind w:left="216"/>
        <w:jc w:val="both"/>
      </w:pPr>
      <w:r>
        <w:rPr>
          <w:rFonts w:ascii="Times New Roman" w:hAnsi="Times New Roman"/>
          <w:b w:val="0"/>
          <w:i w:val="0"/>
          <w:sz w:val="22"/>
        </w:rPr>
        <w:t>(2) An index mask compatible with oblivious aggregation: the mask term is cancelled inside the ciphertext via an encrypted correction column retrieved by the same DPF, so no provider ever sees an unmasked row or a mask value.</w:t>
      </w:r>
    </w:p>
    <w:p>
      <w:pPr>
        <w:spacing w:before="0" w:after="120"/>
        <w:ind w:left="216"/>
        <w:jc w:val="both"/>
      </w:pPr>
      <w:r>
        <w:rPr>
          <w:rFonts w:ascii="Times New Roman" w:hAnsi="Times New Roman"/>
          <w:b w:val="0"/>
          <w:i w:val="0"/>
          <w:sz w:val="22"/>
        </w:rPr>
        <w:t>(3) An algebraic compatibility condition made explicit, whose violation is silent and data-dependent.</w:t>
      </w:r>
    </w:p>
    <w:p>
      <w:pPr>
        <w:spacing w:before="0" w:after="120"/>
        <w:ind w:left="216"/>
        <w:jc w:val="both"/>
      </w:pPr>
      <w:r>
        <w:rPr>
          <w:rFonts w:ascii="Times New Roman" w:hAnsi="Times New Roman"/>
          <w:b w:val="0"/>
          <w:i w:val="0"/>
          <w:sz w:val="22"/>
        </w:rPr>
        <w:t>(4) A leakage-abuse attack measured against our own index rather than an assertion that the residual leakage is benign.</w:t>
      </w:r>
    </w:p>
    <w:p>
      <w:pPr>
        <w:spacing w:before="0" w:after="320"/>
        <w:ind w:left="216"/>
      </w:pPr>
      <w:r>
        <w:rPr>
          <w:rFonts w:ascii="Times New Roman" w:hAnsi="Times New Roman"/>
          <w:b w:val="0"/>
          <w:i/>
          <w:sz w:val="18"/>
        </w:rPr>
        <w:t>[1460 of 1500 characters]</w:t>
      </w:r>
    </w:p>
    <w:p>
      <w:pPr>
        <w:spacing w:before="0" w:after="120"/>
      </w:pPr>
      <w:r>
        <w:rPr>
          <w:rFonts w:ascii="Times New Roman" w:hAnsi="Times New Roman"/>
          <w:b/>
          <w:i w:val="0"/>
          <w:sz w:val="23"/>
        </w:rPr>
        <w:t>3. Briefly explain how the manuscript matches the journal's scope</w:t>
      </w:r>
    </w:p>
    <w:p>
      <w:pPr>
        <w:spacing w:before="0" w:after="120"/>
        <w:ind w:left="216"/>
        <w:jc w:val="both"/>
      </w:pPr>
      <w:r>
        <w:rPr>
          <w:rFonts w:ascii="Times New Roman" w:hAnsi="Times New Roman"/>
          <w:b w:val="0"/>
          <w:i w:val="0"/>
          <w:sz w:val="22"/>
        </w:rPr>
        <w:t>Future Generation Computer Systems covers distributed systems, cloud infrastructures and the Internet of Things, and names security aspects and information management among its methods and tools. This manuscript sits in that intersection.</w:t>
      </w:r>
    </w:p>
    <w:p>
      <w:pPr>
        <w:spacing w:before="0" w:after="120"/>
        <w:ind w:left="216"/>
        <w:jc w:val="both"/>
      </w:pPr>
      <w:r>
        <w:rPr>
          <w:rFonts w:ascii="Times New Roman" w:hAnsi="Times New Roman"/>
          <w:b w:val="0"/>
          <w:i w:val="0"/>
          <w:sz w:val="22"/>
        </w:rPr>
        <w:t>It treats multi-cloud replication, which deployments already adopt for availability and vendor independence, as a systems property to be exploited for privacy rather than merely tolerated, and asks what a coalition of providers can infer when the same encrypted data sits at all of them.</w:t>
      </w:r>
    </w:p>
    <w:p>
      <w:pPr>
        <w:spacing w:before="0" w:after="120"/>
        <w:ind w:left="216"/>
        <w:jc w:val="both"/>
      </w:pPr>
      <w:r>
        <w:rPr>
          <w:rFonts w:ascii="Times New Roman" w:hAnsi="Times New Roman"/>
          <w:b w:val="0"/>
          <w:i w:val="0"/>
          <w:sz w:val="22"/>
        </w:rPr>
        <w:t>The work is systems-oriented rather than purely theoretical. Alongside the security proofs, it reports an end-to-end C++ prototype running n independent provider processes and a client over TCP, measured on two public IoT corpora of 405,184 and 420,370 records. A registered single-keyword aggregate costs 39 ms per provider irrespective of record count, provider compute is flat in n, per-query downlink is fixed at 526 kB independently of the result-set size, and throughput plateaus near 125 queries per second. The paper also identifies where the design becomes bounded by storage rather than time, and states plainly what the evaluation does not establish, including wide-area deployment and gateway-class hardware.</w:t>
      </w:r>
    </w:p>
    <w:p>
      <w:pPr>
        <w:spacing w:before="0" w:after="120"/>
        <w:ind w:left="216"/>
        <w:jc w:val="both"/>
      </w:pPr>
      <w:r>
        <w:rPr>
          <w:rFonts w:ascii="Times New Roman" w:hAnsi="Times New Roman"/>
          <w:b w:val="0"/>
          <w:i w:val="0"/>
          <w:sz w:val="22"/>
        </w:rPr>
        <w:t>The IoT data-management setting, the multi-cloud infrastructure model, the encrypted index and analytics, and the measured performance study all fall within the journal's stated scope.</w:t>
      </w:r>
    </w:p>
    <w:p>
      <w:pPr>
        <w:spacing w:before="0" w:after="320"/>
        <w:ind w:left="216"/>
      </w:pPr>
      <w:r>
        <w:rPr>
          <w:rFonts w:ascii="Times New Roman" w:hAnsi="Times New Roman"/>
          <w:b w:val="0"/>
          <w:i/>
          <w:sz w:val="18"/>
        </w:rPr>
        <w:t>[1435 of 1500 characters]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