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rPr>
        <w:t xml:space="preserve">Md Mazharul Islam</w:t>
      </w:r>
    </w:p>
    <w:p>
      <w:pPr>
        <w:spacing w:after="0"/>
      </w:pPr>
      <w:r>
        <w:t xml:space="preserve">Department of Electrical and Computer Engineering</w:t>
      </w:r>
    </w:p>
    <w:p>
      <w:pPr>
        <w:spacing w:after="0"/>
      </w:pPr>
      <w:r>
        <w:t xml:space="preserve">North South University</w:t>
      </w:r>
    </w:p>
    <w:p>
      <w:pPr>
        <w:spacing w:after="0"/>
      </w:pPr>
      <w:r>
        <w:t xml:space="preserve">Plot 15, Block B, Bashundhara R/A, Dhaka 1229, Bangladesh</w:t>
      </w:r>
    </w:p>
    <w:p>
      <w:pPr>
        <w:spacing w:after="0"/>
      </w:pPr>
      <w:r>
        <w:t xml:space="preserve">mazharul.islam1@northsouth.edu</w:t>
      </w:r>
    </w:p>
    <w:p>
      <w:pPr>
        <w:spacing w:after="60"/>
      </w:pPr>
    </w:p>
    <w:p>
      <w:pPr>
        <w:spacing w:after="0"/>
      </w:pPr>
      <w:r>
        <w:t xml:space="preserve">26 October 2026</w:t>
      </w:r>
    </w:p>
    <w:p>
      <w:pPr>
        <w:spacing w:after="60"/>
      </w:pPr>
    </w:p>
    <w:p>
      <w:pPr>
        <w:spacing w:after="0"/>
      </w:pPr>
      <w:r>
        <w:t xml:space="preserve">The Editor-in-Chief</w:t>
      </w:r>
    </w:p>
    <w:p>
      <w:pPr>
        <w:spacing w:after="0"/>
      </w:pPr>
      <w:r>
        <w:t xml:space="preserve">Journal of Network and Computer Applications</w:t>
      </w:r>
    </w:p>
    <w:p>
      <w:pPr>
        <w:spacing w:after="0"/>
      </w:pPr>
      <w:r>
        <w:t xml:space="preserve">Elsevier</w:t>
      </w:r>
    </w:p>
    <w:p>
      <w:pPr>
        <w:spacing w:after="60"/>
      </w:pPr>
    </w:p>
    <w:p>
      <w:pPr>
        <w:spacing w:after="120"/>
        <w:jc w:val="both"/>
      </w:pPr>
      <w:r>
        <w:rPr>
          <w:b/>
          <w:bCs/>
        </w:rPr>
        <w:t xml:space="preserve">Subject: Submission of an original research article</w:t>
      </w:r>
    </w:p>
    <w:p>
      <w:pPr>
        <w:spacing w:after="120"/>
        <w:jc w:val="left"/>
      </w:pPr>
      <w:r>
        <w:t xml:space="preserve">Dear Editor-in-Chief,</w:t>
      </w:r>
    </w:p>
    <w:p>
      <w:pPr>
        <w:spacing w:after="120"/>
        <w:jc w:val="both"/>
      </w:pPr>
      <w:r>
        <w:t xml:space="preserve">On behalf of my co-authors, I am pleased to submit our manuscript entitled “</w:t>
      </w:r>
      <w:r>
        <w:rPr>
          <w:i/>
          <w:iCs/>
        </w:rPr>
        <w:t xml:space="preserve">Collusion-resilient, tamper-evident range analytics over homomorphically encrypted Internet of Things data in multi-cloud storage</w:t>
      </w:r>
      <w:r>
        <w:t xml:space="preserve">” for consideration as a research article in the </w:t>
      </w:r>
      <w:r>
        <w:rPr>
          <w:i/>
          <w:iCs/>
        </w:rPr>
        <w:t xml:space="preserve">Journal of Network and Computer Applications</w:t>
      </w:r>
      <w:r>
        <w:t xml:space="preserve">.</w:t>
      </w:r>
    </w:p>
    <w:p>
      <w:pPr>
        <w:spacing w:after="120"/>
        <w:jc w:val="both"/>
      </w:pPr>
      <w:r>
        <w:t xml:space="preserve">Internet of Things (IoT) data are increasingly stored encrypted and replicated across several cloud providers, while analysts need aggregates over ranges of time, place and sensor value. Existing privacy-preserving designs either reveal which records an aggregate touches once the clouds compute over them, operate on plaintext data, require an honest majority with server-to-server interaction, or cannot cheaply detect tampered answers when all but one cloud collude. Our manuscript presents CR-SHE (Collusion-Resilient Searchable Homomorphic Encryption), which combines distributed point functions with lattice-based homomorphic encryption so that each cloud contracts its share of a hidden selection against owner-encrypted data and returns a single ciphertext.</w:t>
      </w:r>
    </w:p>
    <w:p>
      <w:pPr>
        <w:spacing w:after="80"/>
        <w:jc w:val="both"/>
      </w:pPr>
      <w:r>
        <w:t xml:space="preserve">The main contributions of the manuscript are:</w:t>
      </w:r>
    </w:p>
    <w:p>
      <w:pPr>
        <w:pStyle w:val="ListParagraph"/>
        <w:numPr>
          <w:ilvl w:val="0"/>
          <w:numId w:val="2"/>
        </w:numPr>
        <w:spacing w:after="40"/>
        <w:jc w:val="both"/>
      </w:pPr>
      <w:r>
        <w:t xml:space="preserve">One-round oblivious range aggregation over encrypted summed-area tables, in which any d-dimensional box becomes 2</w:t>
      </w:r>
      <w:r>
        <w:rPr>
          <w:vertAlign w:val="superscript"/>
        </w:rPr>
        <w:t xml:space="preserve">d</w:t>
      </w:r>
      <w:r>
        <w:t xml:space="preserve"> padded point keys and the cost depends neither on the range nor on the number of records.</w:t>
      </w:r>
    </w:p>
    <w:p>
      <w:pPr>
        <w:pStyle w:val="ListParagraph"/>
        <w:numPr>
          <w:ilvl w:val="0"/>
          <w:numId w:val="2"/>
        </w:numPr>
        <w:spacing w:after="40"/>
        <w:jc w:val="both"/>
      </w:pPr>
      <w:r>
        <w:t xml:space="preserve">Tamper evidence from a secret scalar drawn for each query and carried inside the keys, which bounds the probability of accepting a wrong answer by about 2</w:t>
      </w:r>
      <w:r>
        <w:rPr>
          <w:vertAlign w:val="superscript"/>
        </w:rPr>
        <w:t xml:space="preserve">−36</w:t>
      </w:r>
      <w:r>
        <w:t xml:space="preserve"> without stored keys or extra homomorphic work.</w:t>
      </w:r>
    </w:p>
    <w:p>
      <w:pPr>
        <w:pStyle w:val="ListParagraph"/>
        <w:numPr>
          <w:ilvl w:val="0"/>
          <w:numId w:val="2"/>
        </w:numPr>
        <w:spacing w:after="40"/>
        <w:jc w:val="both"/>
      </w:pPr>
      <w:r>
        <w:t xml:space="preserve">Role-scoped access that confines each user to its own role’s records without any interaction between cloud providers.</w:t>
      </w:r>
    </w:p>
    <w:p>
      <w:pPr>
        <w:pStyle w:val="ListParagraph"/>
        <w:numPr>
          <w:ilvl w:val="0"/>
          <w:numId w:val="2"/>
        </w:numPr>
        <w:spacing w:after="40"/>
        <w:jc w:val="both"/>
      </w:pPr>
      <w:r>
        <w:t xml:space="preserve">Security proofs against n−1 colluding clouds, together with a C++ prototype and an OpenFHE-based implementation evaluated on two real IoT datasets with 825,554 records.</w:t>
      </w:r>
    </w:p>
    <w:p>
      <w:pPr>
        <w:spacing w:after="120"/>
        <w:jc w:val="both"/>
      </w:pPr>
      <w:r>
        <w:t xml:space="preserve">On these datasets a verified range query costs 0.68–1.19 s per cloud and returns one 132 kB ciphertext whatever the length of the range, while uploading about 5.5 kB instead of the 44 MB that a single-server encrypted query would need. No tampered answer was accepted in 4,500 trials, and a frequency attack on the masked index was reduced to random guessing, whereas power-of-two padding still leaked.</w:t>
      </w:r>
    </w:p>
    <w:p>
      <w:pPr>
        <w:spacing w:after="120"/>
        <w:jc w:val="both"/>
      </w:pPr>
      <w:r>
        <w:t xml:space="preserve">We believe the work fits the journal’s scope in cloud computing, the Internet of Things and network security applications, and will interest readers who design privacy-preserving multi-cloud data services.</w:t>
      </w:r>
    </w:p>
    <w:p>
      <w:pPr>
        <w:spacing w:after="120"/>
        <w:jc w:val="both"/>
      </w:pPr>
      <w:r>
        <w:t xml:space="preserve">We confirm that the manuscript is original, has not been published previously and is not under consideration for publication elsewhere, and that all authors have approved its submission. The authors have no competing interests to declare. The use of generative AI tools in preparing the manuscript is disclosed in the declaration placed before the references. Full proofs and additional experiments are provided as Supplementary Material, and both datasets used in the evaluation are publicly available.</w:t>
      </w:r>
    </w:p>
    <w:p>
      <w:pPr>
        <w:spacing w:after="120"/>
        <w:jc w:val="both"/>
      </w:pPr>
      <w:r>
        <w:t xml:space="preserve">Thank you for considering our manuscript. We look forward to hearing from you.</w:t>
      </w:r>
    </w:p>
    <w:p>
      <w:pPr>
        <w:spacing w:after="0"/>
      </w:pPr>
      <w:r>
        <w:t xml:space="preserve">Sincerely,</w:t>
      </w:r>
    </w:p>
    <w:p>
      <w:pPr>
        <w:spacing w:after="60"/>
      </w:pPr>
    </w:p>
    <w:p>
      <w:pPr>
        <w:spacing w:after="0"/>
      </w:pPr>
      <w:r>
        <w:rPr>
          <w:b/>
          <w:bCs/>
        </w:rPr>
        <w:t xml:space="preserve">Md Mazharul Islam</w:t>
      </w:r>
    </w:p>
    <w:p>
      <w:pPr>
        <w:spacing w:after="0"/>
      </w:pPr>
      <w:r>
        <w:t xml:space="preserve">Corresponding author, on behalf of co-authors Mubasshir Ahmed and Md Redowan Zaman Anik</w:t>
      </w:r>
    </w:p>
    <w:sectPr>
      <w:pgSz w:w="11906" w:h="16838" w:orient="portrait"/>
      <w:pgMar w:top="1021" w:right="1304" w:bottom="1021"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2026-10-26T19:29:31.995Z</dcterms:created>
  <dcterms:modified xsi:type="dcterms:W3CDTF">2026-10-26T19:29:31.996Z</dcterms:modified>
</cp:coreProperties>
</file>

<file path=docProps/custom.xml><?xml version="1.0" encoding="utf-8"?>
<Properties xmlns="http://schemas.openxmlformats.org/officeDocument/2006/custom-properties" xmlns:vt="http://schemas.openxmlformats.org/officeDocument/2006/docPropsVTypes"/>
</file>