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54122B3">
      <w:pPr>
        <w:jc w:val="center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E3A8A"/>
          <w:sz w:val="32"/>
          <w:szCs w:val="22"/>
        </w:rPr>
        <w:t>RESUME EKSEKUTIF HASIL RISET &amp; EKSPERIMEN LENGKAP</w:t>
      </w:r>
    </w:p>
    <w:p w14:paraId="333131CF">
      <w:pPr>
        <w:spacing w:after="280"/>
        <w:jc w:val="center"/>
      </w:pPr>
      <w:r>
        <w:rPr>
          <w:rFonts w:ascii="Times New Roman" w:hAnsi="Times New Roman" w:eastAsia="ＭＳ 明朝" w:cs="Times New Roman" w:eastAsiaTheme="minorEastAsia" w:csTheme="minorBidi"/>
          <w:i/>
          <w:iCs/>
          <w:color w:val="475569"/>
          <w:sz w:val="22"/>
          <w:szCs w:val="22"/>
        </w:rPr>
        <w:t>Klasifikasi Sentimen Publik terhadap Kebijakan Desil Ekonomi dan DTSEN pada Media Sosial Multi-Platform (Twitter/X, Threads, Instagram)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680"/>
        <w:gridCol w:w="4680"/>
      </w:tblGrid>
      <w:tr>
        <w:tc>
          <w:tcPr>
            <w:tcW w:w="4680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5AFB">
            <w:pPr>
              <w:spacing w:after="200" w:line="276" w:lineRule="auto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1E3A8A"/>
                <w:sz w:val="19"/>
                <w:szCs w:val="22"/>
              </w:rPr>
              <w:t>Peneliti / Penulis Utama</w:t>
            </w:r>
          </w:p>
        </w:tc>
        <w:tc>
          <w:tcPr>
            <w:tcW w:w="4680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8731">
            <w:pPr>
              <w:spacing w:after="200" w:line="276" w:lineRule="auto"/>
            </w:pPr>
            <w:r>
              <w:rPr>
                <w:rFonts w:ascii="Times New Roman" w:hAnsi="Times New Roman" w:eastAsia="ＭＳ 明朝" w:cs="Times New Roman" w:eastAsiaTheme="minorEastAsia" w:csTheme="minorBidi"/>
                <w:sz w:val="19"/>
                <w:szCs w:val="22"/>
              </w:rPr>
              <w:t>Nimas Ayu Florentina</w:t>
            </w:r>
          </w:p>
        </w:tc>
      </w:tr>
      <w:tr>
        <w:tc>
          <w:tcPr>
            <w:tcW w:w="4680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9261">
            <w:pPr>
              <w:spacing w:after="200" w:line="276" w:lineRule="auto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1E3A8A"/>
                <w:sz w:val="19"/>
                <w:szCs w:val="22"/>
              </w:rPr>
              <w:t>Afiliasi / Instansi</w:t>
            </w:r>
          </w:p>
        </w:tc>
        <w:tc>
          <w:tcPr>
            <w:tcW w:w="4680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89E6">
            <w:pPr>
              <w:spacing w:after="200" w:line="276" w:lineRule="auto"/>
            </w:pPr>
            <w:r>
              <w:rPr>
                <w:rFonts w:ascii="Times New Roman" w:hAnsi="Times New Roman" w:eastAsia="ＭＳ 明朝" w:cs="Times New Roman" w:eastAsiaTheme="minorEastAsia" w:csTheme="minorBidi"/>
                <w:sz w:val="19"/>
                <w:szCs w:val="22"/>
              </w:rPr>
              <w:t>Badan Pusat Statistik (BPS) Kabupaten Mojokerto</w:t>
            </w:r>
          </w:p>
        </w:tc>
      </w:tr>
      <w:tr>
        <w:tc>
          <w:tcPr>
            <w:tcW w:w="4680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8587">
            <w:pPr>
              <w:spacing w:after="200" w:line="276" w:lineRule="auto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1E3A8A"/>
                <w:sz w:val="19"/>
                <w:szCs w:val="22"/>
              </w:rPr>
              <w:t>Korpus Empiris Riil</w:t>
            </w:r>
          </w:p>
        </w:tc>
        <w:tc>
          <w:tcPr>
            <w:tcW w:w="4680" w:type="dxa"/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604C">
            <w:pPr>
              <w:spacing w:after="200" w:line="276" w:lineRule="auto"/>
            </w:pPr>
            <w:r>
              <w:rPr>
                <w:rFonts w:ascii="Times New Roman" w:hAnsi="Times New Roman" w:eastAsia="ＭＳ 明朝" w:cs="Times New Roman" w:eastAsiaTheme="minorEastAsia" w:csTheme="minorBidi"/>
                <w:sz w:val="19"/>
                <w:szCs w:val="22"/>
              </w:rPr>
              <w:t>N = 2.994 Data Bersih (Twitter 999, Threads 995, Instagram 1.000)</w:t>
            </w:r>
          </w:p>
        </w:tc>
      </w:tr>
    </w:tbl>
    <w:p w14:paraId="202ABED3">
      <w:pPr>
        <w:spacing w:after="200"/>
      </w:pPr>
    </w:p>
    <w:p w14:paraId="67C7D73A">
      <w:pPr>
        <w:keepNext/>
        <w:spacing w:before="28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E3A8A"/>
          <w:sz w:val="24"/>
          <w:szCs w:val="22"/>
        </w:rPr>
        <w:t>1. Tabel Komparasi Kinerja Lengkap 6 Metode (Data Uji N = 458)</w:t>
      </w:r>
    </w:p>
    <w:p w14:paraId="0F56E8A4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Seluruh model dievaluasi secara adil pada partisi data uji independen yang sama persis (70% Train, 15% Val, 15% Test):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576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284DC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No</w:t>
            </w:r>
          </w:p>
        </w:tc>
        <w:tc>
          <w:tcPr>
            <w:tcW w:w="2592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5CA3FD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Metode Klasifikasi</w:t>
            </w:r>
          </w:p>
        </w:tc>
        <w:tc>
          <w:tcPr>
            <w:tcW w:w="2160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CB2E99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Kategori Paradigma</w:t>
            </w:r>
          </w:p>
        </w:tc>
        <w:tc>
          <w:tcPr>
            <w:tcW w:w="1152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03C72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Akurasi</w:t>
            </w:r>
          </w:p>
        </w:tc>
        <w:tc>
          <w:tcPr>
            <w:tcW w:w="1152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4EA1CE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Precision</w:t>
            </w:r>
          </w:p>
        </w:tc>
        <w:tc>
          <w:tcPr>
            <w:tcW w:w="1152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C17E60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Recall</w:t>
            </w:r>
          </w:p>
        </w:tc>
        <w:tc>
          <w:tcPr>
            <w:tcW w:w="1584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248BB4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Macro-F1 (Utama)</w:t>
            </w:r>
          </w:p>
        </w:tc>
      </w:tr>
      <w:tr>
        <w:tc>
          <w:tcPr>
            <w:tcW w:w="57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D6AFA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1</w:t>
            </w:r>
          </w:p>
        </w:tc>
        <w:tc>
          <w:tcPr>
            <w:tcW w:w="259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CB10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K-NN (k=5, Cosine)</w:t>
            </w:r>
          </w:p>
        </w:tc>
        <w:tc>
          <w:tcPr>
            <w:tcW w:w="2160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F70D1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Shallow ML (TF-IDF)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96D1B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70,31%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EF9B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63,85%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20953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54,19%</w:t>
            </w:r>
          </w:p>
        </w:tc>
        <w:tc>
          <w:tcPr>
            <w:tcW w:w="1584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DAA58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56,68%</w:t>
            </w:r>
          </w:p>
        </w:tc>
      </w:tr>
      <w:tr>
        <w:tc>
          <w:tcPr>
            <w:tcW w:w="576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79557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2</w:t>
            </w:r>
          </w:p>
        </w:tc>
        <w:tc>
          <w:tcPr>
            <w:tcW w:w="259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DF35A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Naïve Bayes (Complement)</w:t>
            </w:r>
          </w:p>
        </w:tc>
        <w:tc>
          <w:tcPr>
            <w:tcW w:w="2160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A4344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Shallow ML (TF-IDF)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F10BB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71,40%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605C2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65,08%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9CFB2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64,72%</w:t>
            </w:r>
          </w:p>
        </w:tc>
        <w:tc>
          <w:tcPr>
            <w:tcW w:w="1584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848FF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64,42%</w:t>
            </w:r>
          </w:p>
        </w:tc>
      </w:tr>
      <w:tr>
        <w:tc>
          <w:tcPr>
            <w:tcW w:w="57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AB007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3</w:t>
            </w:r>
          </w:p>
        </w:tc>
        <w:tc>
          <w:tcPr>
            <w:tcW w:w="259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D401F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Rocchio (Nearest Centroid)</w:t>
            </w:r>
          </w:p>
        </w:tc>
        <w:tc>
          <w:tcPr>
            <w:tcW w:w="2160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2C1F4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Shallow ML (TF-IDF)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9E79F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70,96%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B527D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63,82%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0B73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67,51%</w:t>
            </w:r>
          </w:p>
        </w:tc>
        <w:tc>
          <w:tcPr>
            <w:tcW w:w="1584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814F0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64,46%</w:t>
            </w:r>
          </w:p>
        </w:tc>
      </w:tr>
      <w:tr>
        <w:tc>
          <w:tcPr>
            <w:tcW w:w="576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329D1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4</w:t>
            </w:r>
          </w:p>
        </w:tc>
        <w:tc>
          <w:tcPr>
            <w:tcW w:w="259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59965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SVM (Linear SVC)</w:t>
            </w:r>
          </w:p>
        </w:tc>
        <w:tc>
          <w:tcPr>
            <w:tcW w:w="2160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9750A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Shallow ML (TF-IDF)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EAE96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84,50%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2B702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82,85%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E3F09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77,23%</w:t>
            </w:r>
          </w:p>
        </w:tc>
        <w:tc>
          <w:tcPr>
            <w:tcW w:w="1584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BE098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79,62%</w:t>
            </w:r>
          </w:p>
        </w:tc>
      </w:tr>
      <w:tr>
        <w:tc>
          <w:tcPr>
            <w:tcW w:w="57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83263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5</w:t>
            </w:r>
          </w:p>
        </w:tc>
        <w:tc>
          <w:tcPr>
            <w:tcW w:w="259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CB590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BiLSTM (Bidirectional RNN)</w:t>
            </w:r>
          </w:p>
        </w:tc>
        <w:tc>
          <w:tcPr>
            <w:tcW w:w="2160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D43BD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Deep Learning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A2E8D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86,90%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EE74E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83,47%</w:t>
            </w:r>
          </w:p>
        </w:tc>
        <w:tc>
          <w:tcPr>
            <w:tcW w:w="1152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E237A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80,79%</w:t>
            </w:r>
          </w:p>
        </w:tc>
        <w:tc>
          <w:tcPr>
            <w:tcW w:w="1584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5DA17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81,96%</w:t>
            </w:r>
          </w:p>
        </w:tc>
      </w:tr>
      <w:tr>
        <w:tc>
          <w:tcPr>
            <w:tcW w:w="576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382D6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6</w:t>
            </w:r>
          </w:p>
        </w:tc>
        <w:tc>
          <w:tcPr>
            <w:tcW w:w="259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49DFE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IndoBERT (Transformer)</w:t>
            </w:r>
          </w:p>
        </w:tc>
        <w:tc>
          <w:tcPr>
            <w:tcW w:w="2160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63E6D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Pretrained Transformer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F1295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94,98%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D3B4F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92,80%</w:t>
            </w:r>
          </w:p>
        </w:tc>
        <w:tc>
          <w:tcPr>
            <w:tcW w:w="1152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CBD01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93,88%</w:t>
            </w:r>
          </w:p>
        </w:tc>
        <w:tc>
          <w:tcPr>
            <w:tcW w:w="1584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E11B9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93,29%</w:t>
            </w:r>
          </w:p>
        </w:tc>
      </w:tr>
    </w:tbl>
    <w:p w14:paraId="7FA0B502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Temuan Penting:</w:t>
      </w:r>
    </w:p>
    <w:p w14:paraId="100B89EA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IndoBERT Juara Bertahan: Unggul mutlak di seluruh metrik (Akurasi 94,98% dan Macro-F1 93,29%) berkat mekanisme Self-Attention yang tangguh terhadap kalimat sarkasme dan slang.</w:t>
      </w:r>
    </w:p>
    <w:p w14:paraId="0E770689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SVM adalah Model Tradisional Terbaik: Mencatat Macro-F1 79,62% dan Akurasi 84,50%, mendekati performa BiLSTM (81,96%).</w:t>
      </w:r>
    </w:p>
    <w:p w14:paraId="2BE1212D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K-NN, Naïve Bayes, dan Rocchio Tertinggal (56%–64%): Karena representasi TF-IDF yang renggang pada teks pendek serta ketidakmampuan mengenali negasi majemuk.</w:t>
      </w:r>
    </w:p>
    <w:p w14:paraId="6051F864">
      <w:pPr>
        <w:spacing w:before="160" w:after="60"/>
        <w:jc w:val="center"/>
      </w:pPr>
      <w:r>
        <w:drawing>
          <wp:inline distT="0" distB="0" distL="0" distR="0">
            <wp:extent cx="5667375" cy="345757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7BCD">
      <w:pPr>
        <w:spacing w:before="40" w:after="200"/>
        <w:jc w:val="center"/>
      </w:pPr>
      <w:r>
        <w:rPr>
          <w:rFonts w:ascii="Times New Roman" w:hAnsi="Times New Roman" w:eastAsia="ＭＳ 明朝" w:cs="Times New Roman" w:eastAsiaTheme="minorEastAsia" w:csTheme="minorBidi"/>
          <w:i/>
          <w:iCs/>
          <w:color w:val="475569"/>
          <w:sz w:val="18"/>
          <w:szCs w:val="22"/>
        </w:rPr>
        <w:t>Gambar 1. Grafik Komparasi Kinerja Lengkap 6 Metode Klasifikasi Sentimen</w:t>
      </w:r>
    </w:p>
    <w:p w14:paraId="50610B67">
      <w:pPr>
        <w:keepNext/>
        <w:spacing w:before="28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E3A8A"/>
          <w:sz w:val="24"/>
          <w:szCs w:val="22"/>
        </w:rPr>
        <w:t>2. Analisis Visual Confusion Matrix (Hasil Riil Google Colab Pro)</w:t>
      </w:r>
    </w:p>
    <w:p w14:paraId="0DB803A7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Matriks kekeliruan memperlihatkan keandalan IndoBERT dalam mengenali kelas minoritas (Positif) dan mayoritas (Netral &amp; Negatif) tanpa mengalami bias:</w:t>
      </w:r>
    </w:p>
    <w:p w14:paraId="31A1A28E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IndoBERT: Berhasil memprediksi 92 dari 102 sentimen Negatif (90,2%), 295 dari 300 Netral (98,3%), dan 48 dari 56 Positif (85,7%).</w:t>
      </w:r>
    </w:p>
    <w:p w14:paraId="6F7A2948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BiLSTM: Terdapat 16 keluhan Negatif yang keliru ditebak sebagai Netral karena kalimat warganet memuat ungkapan semi-formal.</w:t>
      </w:r>
    </w:p>
    <w:p w14:paraId="759947CF">
      <w:pPr>
        <w:spacing w:before="160" w:after="60"/>
        <w:jc w:val="center"/>
      </w:pPr>
      <w:r>
        <w:drawing>
          <wp:inline distT="0" distB="0" distL="0" distR="0">
            <wp:extent cx="5667375" cy="2028825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2CB5">
      <w:pPr>
        <w:spacing w:before="40" w:after="200"/>
        <w:jc w:val="center"/>
      </w:pPr>
      <w:r>
        <w:rPr>
          <w:rFonts w:ascii="Times New Roman" w:hAnsi="Times New Roman" w:eastAsia="ＭＳ 明朝" w:cs="Times New Roman" w:eastAsiaTheme="minorEastAsia" w:csTheme="minorBidi"/>
          <w:i/>
          <w:iCs/>
          <w:color w:val="475569"/>
          <w:sz w:val="18"/>
          <w:szCs w:val="22"/>
        </w:rPr>
        <w:t>Gambar 2. Matriks Kekeliruan Komparatif (Confusion Matrix) BiLSTM vs IndoBERT pada Data Uji</w:t>
      </w:r>
    </w:p>
    <w:p w14:paraId="154CF32F">
      <w:pPr>
        <w:keepNext/>
        <w:spacing w:before="28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E3A8A"/>
          <w:sz w:val="24"/>
          <w:szCs w:val="22"/>
        </w:rPr>
        <w:t>3. Ketahanan Generalisasi Lintas Platform (Cross-Platform Robustness)</w:t>
      </w:r>
    </w:p>
    <w:p w14:paraId="6B42FF26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Menilai seberapa tangguh model saat menghadapi karakteristik penulisan warganet yang berbeda di tiap media sosial: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2016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CF0EE7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Platform Uji</w:t>
            </w:r>
          </w:p>
        </w:tc>
        <w:tc>
          <w:tcPr>
            <w:tcW w:w="3600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57ED58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Karakteristik Bahasa</w:t>
            </w:r>
          </w:p>
        </w:tc>
        <w:tc>
          <w:tcPr>
            <w:tcW w:w="1296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8C64FC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BiLSTM F1</w:t>
            </w:r>
          </w:p>
        </w:tc>
        <w:tc>
          <w:tcPr>
            <w:tcW w:w="1440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12FCCC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IndoBERT F1</w:t>
            </w:r>
          </w:p>
        </w:tc>
        <w:tc>
          <w:tcPr>
            <w:tcW w:w="2016" w:type="dxa"/>
            <w:shd w:val="clear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D8EEDE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b/>
                <w:bCs/>
                <w:color w:val="FFFFFF"/>
                <w:sz w:val="19"/>
                <w:szCs w:val="22"/>
              </w:rPr>
              <w:t>Keunggulan IndoBERT</w:t>
            </w:r>
          </w:p>
        </w:tc>
      </w:tr>
      <w:tr>
        <w:tc>
          <w:tcPr>
            <w:tcW w:w="201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92C03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Twitter (X) [N=153]</w:t>
            </w:r>
          </w:p>
        </w:tc>
        <w:tc>
          <w:tcPr>
            <w:tcW w:w="3600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D0D9E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Teks pendek, singkatan gaul, sarkasme politik</w:t>
            </w:r>
          </w:p>
        </w:tc>
        <w:tc>
          <w:tcPr>
            <w:tcW w:w="129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6BD74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78,76%</w:t>
            </w:r>
          </w:p>
        </w:tc>
        <w:tc>
          <w:tcPr>
            <w:tcW w:w="1440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BB7D2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95,57%</w:t>
            </w:r>
          </w:p>
        </w:tc>
        <w:tc>
          <w:tcPr>
            <w:tcW w:w="201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D48B4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+16,81% (Paling Masif)</w:t>
            </w:r>
          </w:p>
        </w:tc>
      </w:tr>
      <w:tr>
        <w:tc>
          <w:tcPr>
            <w:tcW w:w="2016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B8444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Threads [N=152]</w:t>
            </w:r>
          </w:p>
        </w:tc>
        <w:tc>
          <w:tcPr>
            <w:tcW w:w="3600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0CBB4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Teks naratif panjang, curahan hati personal</w:t>
            </w:r>
          </w:p>
        </w:tc>
        <w:tc>
          <w:tcPr>
            <w:tcW w:w="1296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E4DE9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85,04%</w:t>
            </w:r>
          </w:p>
        </w:tc>
        <w:tc>
          <w:tcPr>
            <w:tcW w:w="1440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27FF4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92,00%</w:t>
            </w:r>
          </w:p>
        </w:tc>
        <w:tc>
          <w:tcPr>
            <w:tcW w:w="2016" w:type="dxa"/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C479A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+6,96%</w:t>
            </w:r>
          </w:p>
        </w:tc>
      </w:tr>
      <w:tr>
        <w:tc>
          <w:tcPr>
            <w:tcW w:w="201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1D605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Instagram [N=153]</w:t>
            </w:r>
          </w:p>
        </w:tc>
        <w:tc>
          <w:tcPr>
            <w:tcW w:w="3600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A9D92">
            <w:pPr>
              <w:jc w:val="left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Komentar spontan emosional di bawah berita</w:t>
            </w:r>
          </w:p>
        </w:tc>
        <w:tc>
          <w:tcPr>
            <w:tcW w:w="129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D2C90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80,05%</w:t>
            </w:r>
          </w:p>
        </w:tc>
        <w:tc>
          <w:tcPr>
            <w:tcW w:w="1440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5DDC5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91,80%</w:t>
            </w:r>
          </w:p>
        </w:tc>
        <w:tc>
          <w:tcPr>
            <w:tcW w:w="2016" w:type="dxa"/>
            <w:shd w:val="clear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312DA">
            <w:pPr>
              <w:jc w:val="center"/>
            </w:pPr>
            <w:r>
              <w:rPr>
                <w:rFonts w:ascii="Times New Roman" w:hAnsi="Times New Roman" w:eastAsia="ＭＳ 明朝" w:cs="Times New Roman" w:eastAsiaTheme="minorEastAsia" w:csTheme="minorBidi"/>
                <w:color w:val="1E293B"/>
                <w:sz w:val="18"/>
                <w:szCs w:val="22"/>
              </w:rPr>
              <w:t>+11,75%</w:t>
            </w:r>
          </w:p>
        </w:tc>
      </w:tr>
    </w:tbl>
    <w:p w14:paraId="209B6612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💡 Analisis Ilmiah: Keunggulan terbesar IndoBERT terjadi di Twitter (+16,81%). Tokenisasi sub-kata (WordPiece) mampu memecah singkatan baru warganet (misal: dtsen_gaje -&gt; ['dts', '##en', 'gaje']) sehingga maknanya tetap tertangkap, sementara BiLSTM menganggapnya sebagai kata tidak dikenal (Out-of-Vocabulary).</w:t>
      </w:r>
    </w:p>
    <w:p w14:paraId="0C13FC0A">
      <w:pPr>
        <w:spacing w:before="160" w:after="60"/>
        <w:jc w:val="center"/>
      </w:pPr>
      <w:r>
        <w:drawing>
          <wp:inline distT="0" distB="0" distL="0" distR="0">
            <wp:extent cx="5305425" cy="28956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A9E3">
      <w:pPr>
        <w:spacing w:before="40" w:after="200"/>
        <w:jc w:val="center"/>
      </w:pPr>
      <w:r>
        <w:rPr>
          <w:rFonts w:ascii="Times New Roman" w:hAnsi="Times New Roman" w:eastAsia="ＭＳ 明朝" w:cs="Times New Roman" w:eastAsiaTheme="minorEastAsia" w:csTheme="minorBidi"/>
          <w:i/>
          <w:iCs/>
          <w:color w:val="475569"/>
          <w:sz w:val="18"/>
          <w:szCs w:val="22"/>
        </w:rPr>
        <w:t>Gambar 3. Macro F1-Score pada Masing-Masing Platform Media Sosial</w:t>
      </w:r>
    </w:p>
    <w:p w14:paraId="637B2DBA">
      <w:pPr>
        <w:keepNext/>
        <w:spacing w:before="28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E3A8A"/>
          <w:sz w:val="24"/>
          <w:szCs w:val="22"/>
        </w:rPr>
        <w:t>4. Profil Opini Publik &amp; Analisis Tematik Isu Keluhan</w:t>
      </w:r>
    </w:p>
    <w:p w14:paraId="5E252312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Dari 2.994 data warganet yang dianalisis:</w:t>
      </w:r>
    </w:p>
    <w:p w14:paraId="5C59E054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Sentimen Netral (65,23%): Mendominasi karena kebutuhan warganet untuk mengecek NIK dan cara verifikasi data DTSEN.</w:t>
      </w:r>
    </w:p>
    <w:p w14:paraId="77B6EC26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Sentimen Negatif (22,18%): Keluhan masyarakat atas indikator desil yang dinilai keliru.</w:t>
      </w:r>
    </w:p>
    <w:p w14:paraId="002E4924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Sentimen Positif (12,59%): Ungkapan rasa syukur atas pencairan bansos pangan dan beasiswa.</w:t>
      </w:r>
    </w:p>
    <w:p w14:paraId="74E76D06">
      <w:pPr>
        <w:spacing w:before="160" w:after="60"/>
        <w:jc w:val="center"/>
      </w:pPr>
      <w:r>
        <w:drawing>
          <wp:inline distT="0" distB="0" distL="0" distR="0">
            <wp:extent cx="5305425" cy="2352675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81D0">
      <w:pPr>
        <w:spacing w:before="40" w:after="200"/>
        <w:jc w:val="center"/>
      </w:pPr>
      <w:r>
        <w:rPr>
          <w:rFonts w:ascii="Times New Roman" w:hAnsi="Times New Roman" w:eastAsia="ＭＳ 明朝" w:cs="Times New Roman" w:eastAsiaTheme="minorEastAsia" w:csTheme="minorBidi"/>
          <w:i/>
          <w:iCs/>
          <w:color w:val="475569"/>
          <w:sz w:val="18"/>
          <w:szCs w:val="22"/>
        </w:rPr>
        <w:t>Gambar 4. Distribusi Proporsi Sentimen Publik Gabungan dan per Platform</w:t>
      </w:r>
    </w:p>
    <w:p w14:paraId="0EA2D6E7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Isu keluhan utama pada sentimen Negatif:</w:t>
      </w:r>
    </w:p>
    <w:p w14:paraId="7E197B95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1. Anomali Daya Listrik PLN 1300 VA (29,4%) - Rumah kontrakan sederhana otomatis terlempar ke desil tinggi.</w:t>
      </w:r>
    </w:p>
    <w:p w14:paraId="7B9858B0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2. Ancaman Gugurnya Beasiswa KIP Kuliah (24,8%) - Mahasiswa miskin kehilangan bantuan pendidikan.</w:t>
      </w:r>
    </w:p>
    <w:p w14:paraId="4A70E5E2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3. Ketimpangan &amp; Exclusion Error (18,5%) - Tetangga mampu dapat desil rendah, warga miskin terdata desil tinggi.</w:t>
      </w:r>
    </w:p>
    <w:p w14:paraId="6FD1C904">
      <w:pPr>
        <w:spacing w:before="160" w:after="60"/>
        <w:jc w:val="center"/>
      </w:pPr>
      <w:r>
        <w:drawing>
          <wp:inline distT="0" distB="0" distL="0" distR="0">
            <wp:extent cx="5305425" cy="2647950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2236">
      <w:pPr>
        <w:spacing w:before="40" w:after="200"/>
        <w:jc w:val="center"/>
      </w:pPr>
      <w:r>
        <w:rPr>
          <w:rFonts w:ascii="Times New Roman" w:hAnsi="Times New Roman" w:eastAsia="ＭＳ 明朝" w:cs="Times New Roman" w:eastAsiaTheme="minorEastAsia" w:csTheme="minorBidi"/>
          <w:i/>
          <w:iCs/>
          <w:color w:val="475569"/>
          <w:sz w:val="18"/>
          <w:szCs w:val="22"/>
        </w:rPr>
        <w:t>Gambar 5. Distribusi Tematik Isu Keluhan Publik pada Sentimen Negatif</w:t>
      </w:r>
    </w:p>
    <w:p w14:paraId="59AF4BB2">
      <w:pPr>
        <w:keepNext/>
        <w:spacing w:before="280" w:after="80"/>
      </w:pPr>
      <w:r>
        <w:rPr>
          <w:rFonts w:ascii="Times New Roman" w:hAnsi="Times New Roman" w:eastAsia="ＭＳ 明朝" w:cs="Times New Roman" w:eastAsiaTheme="minorEastAsia" w:csTheme="minorBidi"/>
          <w:b/>
          <w:bCs/>
          <w:color w:val="1E3A8A"/>
          <w:sz w:val="24"/>
          <w:szCs w:val="22"/>
        </w:rPr>
        <w:t>5. Rekomendasi Pilihan Format Artikel untuk Mbak Nimas</w:t>
      </w:r>
    </w:p>
    <w:p w14:paraId="071F315B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Mbak Nimas dapat memilih salah satu dari 2 pendekatan penyajian naskah publikasi:</w:t>
      </w:r>
    </w:p>
    <w:p w14:paraId="53C3D89B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b/>
          <w:bCs/>
          <w:sz w:val="21"/>
          <w:szCs w:val="22"/>
        </w:rPr>
        <w:t>Opsi A (Fokus Utama IndoBERT vs BiLSTM + Baseline Pendukung):</w:t>
      </w:r>
    </w:p>
    <w:p w14:paraId="7EBC35B8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Judul: 'Analisis Komparatif Model IndoBERT dan BiLSTM dalam Klasifikasi Sentimen Kebijakan Desil pada Multi-Platform Media Sosial'</w:t>
      </w:r>
    </w:p>
    <w:p w14:paraId="76DD9A8C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Kelebihan: Judul ringkas, fokus riset tajam ke perdebatan Transformer vs Recurrent Neural Network, namun di bab pembahasan tetap menyajikan tabel 6 model sebagai bukti bahwa IndoBERT juga mengalahkan algoritma klasik (SVM, Naïve Bayes, Rocchio, KNN).</w:t>
      </w:r>
    </w:p>
    <w:p w14:paraId="44B40191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b/>
          <w:bCs/>
          <w:sz w:val="21"/>
          <w:szCs w:val="22"/>
        </w:rPr>
        <w:t>Opsi B (Format Benchmarking Skala Penuh 6 Model):</w:t>
      </w:r>
    </w:p>
    <w:p w14:paraId="086B4635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Judul: 'Benchmarking Model IndoBERT, BiLSTM, dan Algoritma Klasik (SVM, Naïve Bayes, Rocchio, K-NN) dalam Analisis Sentimen Kebijakan Desil pada Korpus Multi-Platform'</w:t>
      </w:r>
    </w:p>
    <w:p w14:paraId="0AFCB42B">
      <w:pPr>
        <w:spacing w:before="20" w:after="80" w:line="276" w:lineRule="auto"/>
        <w:jc w:val="both"/>
      </w:pPr>
      <w:r>
        <w:rPr>
          <w:rFonts w:ascii="Times New Roman" w:hAnsi="Times New Roman" w:eastAsia="ＭＳ 明朝" w:cs="Times New Roman" w:eastAsiaTheme="minorEastAsia" w:csTheme="minorBidi"/>
          <w:sz w:val="21"/>
          <w:szCs w:val="22"/>
        </w:rPr>
        <w:t>• Kelebihan: Menegaskan bahwa riset ini adalah tolok ukur komprehensif dari 3 generasi teknologi NLP (Klasik, Deep Learning, Transformer).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2026-10-29T12:20:58.473Z</dcterms:modified>
  <cp:category/>
</cp:coreProperties>
</file>