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drawing>
          <wp:inline xmlns:a="http://schemas.openxmlformats.org/drawingml/2006/main" xmlns:pic="http://schemas.openxmlformats.org/drawingml/2006/picture">
            <wp:extent cx="2926080" cy="652372"/>
            <wp:docPr id="1" name="Picture 1"/>
            <wp:cNvGraphicFramePr>
              <a:graphicFrameLocks noChangeAspect="1"/>
            </wp:cNvGraphicFramePr>
            <a:graphic>
              <a:graphicData uri="http://schemas.openxmlformats.org/drawingml/2006/picture">
                <pic:pic>
                  <pic:nvPicPr>
                    <pic:cNvPr id="0" name="logo_cover_hq.png"/>
                    <pic:cNvPicPr/>
                  </pic:nvPicPr>
                  <pic:blipFill>
                    <a:blip r:embed="rId11"/>
                    <a:stretch>
                      <a:fillRect/>
                    </a:stretch>
                  </pic:blipFill>
                  <pic:spPr>
                    <a:xfrm>
                      <a:off x="0" y="0"/>
                      <a:ext cx="2926080" cy="652372"/>
                    </a:xfrm>
                    <a:prstGeom prst="rect"/>
                  </pic:spPr>
                </pic:pic>
              </a:graphicData>
            </a:graphic>
          </wp:inline>
        </w:drawing>
      </w:r>
    </w:p>
    <w:p>
      <w:pPr>
        <w:spacing w:after="240"/>
      </w:pPr>
    </w:p>
    <w:p>
      <w:pPr>
        <w:spacing w:after="320"/>
        <w:jc w:val="center"/>
      </w:pPr>
      <w:r>
        <w:rPr>
          <w:rFonts w:ascii="Arial" w:hAnsi="Arial"/>
          <w:b/>
          <w:i w:val="0"/>
          <w:color w:val="000000"/>
          <w:sz w:val="36"/>
        </w:rPr>
        <w:t>PT Nirwana Bhumi Energy</w:t>
      </w:r>
    </w:p>
    <w:p>
      <w:pPr>
        <w:spacing w:after="160"/>
      </w:pPr>
    </w:p>
    <w:p>
      <w:pPr>
        <w:spacing w:after="120" w:line="288" w:lineRule="auto"/>
        <w:jc w:val="center"/>
      </w:pPr>
      <w:r>
        <w:rPr>
          <w:rFonts w:ascii="Arial" w:hAnsi="Arial"/>
          <w:b/>
          <w:i w:val="0"/>
          <w:color w:val="000000"/>
          <w:sz w:val="36"/>
        </w:rPr>
        <w:t>PERSONNEL HSE INDUCTION PROCEDURE</w:t>
      </w:r>
    </w:p>
    <w:p>
      <w:pPr>
        <w:spacing w:after="240"/>
      </w:pPr>
    </w:p>
    <w:p>
      <w:pPr>
        <w:spacing w:after="240"/>
      </w:pPr>
    </w:p>
    <w:p>
      <w:pPr>
        <w:spacing w:after="240"/>
      </w:pPr>
    </w:p>
    <w:p>
      <w:pPr>
        <w:spacing w:after="240"/>
      </w:pPr>
    </w:p>
    <w:p>
      <w:pPr>
        <w:spacing w:after="240"/>
      </w:pPr>
    </w:p>
    <w:tbl>
      <w:tblPr>
        <w:tblW w:type="auto" w:w="0"/>
        <w:jc w:val="left"/>
        <w:tblLook w:firstColumn="1" w:firstRow="1" w:lastColumn="0" w:lastRow="0" w:noHBand="0" w:noVBand="1" w:val="04A0"/>
        <w:tblInd w:w="4464" w:type="dxa"/>
        <w:tblBorders>
          <w:top w:val="none"/>
          <w:left w:val="none"/>
          <w:bottom w:val="none"/>
          <w:right w:val="none"/>
          <w:insideH w:val="none"/>
          <w:insideV w:val="none"/>
        </w:tblBorders>
      </w:tblPr>
      <w:tblGrid>
        <w:gridCol w:w="4764"/>
        <w:gridCol w:w="4764"/>
      </w:tblGrid>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Approved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Bima Satryo Hartanto</w:t>
              <w:br/>
              <w:t xml:space="preserve">   (President Director / CEO)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Verified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Dennis Raditya (Director of</w:t>
              <w:br/>
              <w:t xml:space="preserve">   Operations &amp; Technology / CTO)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Created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Abdul Qodir Al Jailani</w:t>
              <w:br/>
              <w:t xml:space="preserve">   (Commissioner / IMS Team Lead)</w:t>
            </w:r>
          </w:p>
        </w:tc>
      </w:tr>
    </w:tbl>
    <w:p>
      <w:r>
        <w:br w:type="page"/>
      </w:r>
    </w:p>
    <w:p>
      <w:pPr>
        <w:spacing w:before="320" w:after="280"/>
        <w:jc w:val="center"/>
      </w:pPr>
      <w:r>
        <w:rPr>
          <w:rFonts w:ascii="Arial" w:hAnsi="Arial"/>
          <w:b/>
          <w:i w:val="0"/>
          <w:color w:val="000000"/>
          <w:sz w:val="26"/>
        </w:rPr>
        <w:t>REVISION INDEX</w:t>
      </w:r>
    </w:p>
    <w:tbl>
      <w:tblPr>
        <w:tblW w:type="auto" w:w="0"/>
        <w:jc w:val="center"/>
        <w:tblLook w:firstColumn="1" w:firstRow="1" w:lastColumn="0" w:lastRow="0" w:noHBand="0" w:noVBand="1" w:val="04A0"/>
      </w:tblPr>
      <w:tblGrid>
        <w:gridCol w:w="2382"/>
        <w:gridCol w:w="2382"/>
        <w:gridCol w:w="2382"/>
        <w:gridCol w:w="2382"/>
      </w:tblGrid>
      <w:tr>
        <w:tc>
          <w:tcPr>
            <w:tcW w:type="dxa" w:w="129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Revision</w:t>
            </w:r>
          </w:p>
        </w:tc>
        <w:tc>
          <w:tcPr>
            <w:tcW w:type="dxa" w:w="1728"/>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Date</w:t>
            </w:r>
          </w:p>
        </w:tc>
        <w:tc>
          <w:tcPr>
            <w:tcW w:type="dxa" w:w="4320"/>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Description of Changes</w:t>
            </w:r>
          </w:p>
        </w:tc>
        <w:tc>
          <w:tcPr>
            <w:tcW w:type="dxa" w:w="201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Revised By</w:t>
            </w:r>
          </w:p>
        </w:tc>
      </w:tr>
      <w:t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0</w:t>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October 2026</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Initial Issue - Standard CSMS Procedure for PT Nirwana Bhumi Energy (0004-SOP-HSE-COO-X-2026)</w:t>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IMS &amp; HSE Team</w:t>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bl>
    <w:p>
      <w:r>
        <w:br w:type="page"/>
      </w:r>
    </w:p>
    <w:p>
      <w:pPr>
        <w:spacing w:before="320" w:after="320"/>
        <w:jc w:val="center"/>
      </w:pPr>
      <w:r>
        <w:rPr>
          <w:rFonts w:ascii="Arial" w:hAnsi="Arial"/>
          <w:b/>
          <w:i w:val="0"/>
          <w:color w:val="000000"/>
          <w:sz w:val="26"/>
        </w:rPr>
        <w:t>TABLE OF CONTENTS</w:t>
      </w:r>
    </w:p>
    <w:p>
      <w:pPr>
        <w:spacing w:before="0" w:after="60"/>
        <w:ind w:left="720"/>
        <w:tabs>
          <w:tab w:val="left" w:pos="1080"/>
        </w:tabs>
      </w:pPr>
      <w:r>
        <w:rPr>
          <w:rFonts w:ascii="Arial" w:hAnsi="Arial"/>
          <w:b/>
          <w:i w:val="0"/>
          <w:color w:val="000000"/>
          <w:sz w:val="20"/>
        </w:rPr>
        <w:t>1.0</w:t>
        <w:tab/>
        <w:t>OBJECTIVE</w:t>
      </w:r>
    </w:p>
    <w:p>
      <w:pPr>
        <w:spacing w:before="0" w:after="60"/>
        <w:ind w:left="720"/>
        <w:tabs>
          <w:tab w:val="left" w:pos="1080"/>
        </w:tabs>
      </w:pPr>
      <w:r>
        <w:rPr>
          <w:rFonts w:ascii="Arial" w:hAnsi="Arial"/>
          <w:b/>
          <w:i w:val="0"/>
          <w:color w:val="000000"/>
          <w:sz w:val="20"/>
        </w:rPr>
        <w:t>2.0</w:t>
        <w:tab/>
        <w:t>SCOPE</w:t>
      </w:r>
    </w:p>
    <w:p>
      <w:pPr>
        <w:spacing w:before="0" w:after="60"/>
        <w:ind w:left="720"/>
        <w:tabs>
          <w:tab w:val="left" w:pos="1080"/>
        </w:tabs>
      </w:pPr>
      <w:r>
        <w:rPr>
          <w:rFonts w:ascii="Arial" w:hAnsi="Arial"/>
          <w:b/>
          <w:i w:val="0"/>
          <w:color w:val="000000"/>
          <w:sz w:val="20"/>
        </w:rPr>
        <w:t>3.0</w:t>
        <w:tab/>
        <w:t>DEFINITIONS &amp; ABBREVIATIONS</w:t>
      </w:r>
    </w:p>
    <w:p>
      <w:pPr>
        <w:spacing w:before="0" w:after="60"/>
        <w:ind w:left="720"/>
        <w:tabs>
          <w:tab w:val="left" w:pos="1080"/>
        </w:tabs>
      </w:pPr>
      <w:r>
        <w:rPr>
          <w:rFonts w:ascii="Arial" w:hAnsi="Arial"/>
          <w:b/>
          <w:i w:val="0"/>
          <w:color w:val="000000"/>
          <w:sz w:val="20"/>
        </w:rPr>
        <w:t>4.0</w:t>
        <w:tab/>
        <w:t>RESPONSIBILITIES</w:t>
      </w:r>
    </w:p>
    <w:p>
      <w:pPr>
        <w:spacing w:before="0" w:after="60"/>
        <w:ind w:left="720"/>
        <w:tabs>
          <w:tab w:val="left" w:pos="1080"/>
        </w:tabs>
      </w:pPr>
      <w:r>
        <w:rPr>
          <w:rFonts w:ascii="Arial" w:hAnsi="Arial"/>
          <w:b/>
          <w:i w:val="0"/>
          <w:color w:val="000000"/>
          <w:sz w:val="20"/>
        </w:rPr>
        <w:t>5.0</w:t>
        <w:tab/>
        <w:t>PROCEDURE STEPS</w:t>
      </w:r>
    </w:p>
    <w:p>
      <w:pPr>
        <w:spacing w:before="0" w:after="60"/>
        <w:ind w:left="720"/>
        <w:tabs>
          <w:tab w:val="left" w:pos="1080"/>
        </w:tabs>
      </w:pPr>
      <w:r>
        <w:rPr>
          <w:rFonts w:ascii="Arial" w:hAnsi="Arial"/>
          <w:b/>
          <w:i w:val="0"/>
          <w:color w:val="000000"/>
          <w:sz w:val="20"/>
        </w:rPr>
        <w:t>6.0</w:t>
        <w:tab/>
        <w:t>PERFORMANCE INDICATORS &amp; AUDIT</w:t>
      </w:r>
    </w:p>
    <w:p>
      <w:pPr>
        <w:spacing w:before="0" w:after="60"/>
        <w:ind w:left="720"/>
        <w:tabs>
          <w:tab w:val="left" w:pos="1080"/>
        </w:tabs>
      </w:pPr>
      <w:r>
        <w:rPr>
          <w:rFonts w:ascii="Arial" w:hAnsi="Arial"/>
          <w:b/>
          <w:i w:val="0"/>
          <w:color w:val="000000"/>
          <w:sz w:val="20"/>
        </w:rPr>
        <w:t>7.0</w:t>
        <w:tab/>
        <w:t>REFERENCED DOCUMENTS</w:t>
      </w:r>
    </w:p>
    <w:p>
      <w:pPr>
        <w:spacing w:before="0" w:after="60"/>
        <w:ind w:left="720"/>
        <w:tabs>
          <w:tab w:val="left" w:pos="1080"/>
        </w:tabs>
      </w:pPr>
      <w:r>
        <w:rPr>
          <w:rFonts w:ascii="Arial" w:hAnsi="Arial"/>
          <w:b/>
          <w:i w:val="0"/>
          <w:color w:val="000000"/>
          <w:sz w:val="20"/>
        </w:rPr>
        <w:t>8.0</w:t>
        <w:tab/>
        <w:t>ATTACHMENTS &amp; ASSOCIATED FORMS</w:t>
      </w:r>
    </w:p>
    <w:p>
      <w:r>
        <w:br w:type="page"/>
      </w:r>
    </w:p>
    <w:p>
      <w:pPr>
        <w:spacing w:before="240" w:after="80" w:line="276" w:lineRule="auto"/>
        <w:ind w:left="0"/>
        <w:tabs>
          <w:tab w:val="left" w:pos="720"/>
        </w:tabs>
      </w:pPr>
      <w:r>
        <w:rPr>
          <w:rFonts w:ascii="Arial" w:hAnsi="Arial"/>
          <w:b/>
          <w:i w:val="0"/>
          <w:color w:val="000000"/>
          <w:sz w:val="26"/>
        </w:rPr>
        <w:t>1.0</w:t>
        <w:tab/>
        <w:t>OBJECTIVE</w:t>
      </w:r>
    </w:p>
    <w:p>
      <w:pPr>
        <w:spacing w:before="0" w:after="80" w:line="276" w:lineRule="auto"/>
        <w:ind w:left="720"/>
        <w:jc w:val="both"/>
      </w:pPr>
      <w:r>
        <w:rPr>
          <w:rFonts w:ascii="Arial" w:hAnsi="Arial"/>
          <w:b w:val="0"/>
          <w:i w:val="0"/>
          <w:color w:val="3B3838"/>
          <w:sz w:val="21"/>
        </w:rPr>
        <w:t>The objective of this procedure is to define the mandatory requirements and standardized methodology for administering Health, Safety, and Environmental (HSE) inductions to all new employees, transferred staff, contractors, subcontractors, and temporary personnel prior to commencing work at any facility or operating site of PT Nirwana Bhumi Energy.</w:t>
      </w:r>
    </w:p>
    <w:p>
      <w:pPr>
        <w:spacing w:before="0" w:after="80" w:line="276" w:lineRule="auto"/>
        <w:ind w:left="720"/>
        <w:jc w:val="both"/>
      </w:pPr>
      <w:r>
        <w:rPr>
          <w:rFonts w:ascii="Arial" w:hAnsi="Arial"/>
          <w:b w:val="0"/>
          <w:i w:val="0"/>
          <w:color w:val="3B3838"/>
          <w:sz w:val="21"/>
        </w:rPr>
        <w:t>Specifically, this procedure guarantees that:</w:t>
      </w:r>
    </w:p>
    <w:p>
      <w:pPr>
        <w:pStyle w:val="ListParagraph"/>
        <w:spacing w:before="0" w:after="40" w:line="276" w:lineRule="auto"/>
        <w:jc w:val="both"/>
        <w:numPr>
          <w:ilvl w:val="0"/>
          <w:numId w:val="2"/>
        </w:numPr>
        <w:ind w:left="1134"/>
      </w:pPr>
      <w:r>
        <w:rPr>
          <w:rFonts w:ascii="Arial" w:hAnsi="Arial"/>
          <w:b w:val="0"/>
          <w:i w:val="0"/>
          <w:color w:val="3B3838"/>
          <w:sz w:val="21"/>
        </w:rPr>
        <w:t>All personnel are fully educated regarding corporate HSE commitments, statutory safety obligations, life-saving rules, and operational hazard controls.</w:t>
      </w:r>
    </w:p>
    <w:p>
      <w:pPr>
        <w:pStyle w:val="ListParagraph"/>
        <w:spacing w:before="0" w:after="40" w:line="276" w:lineRule="auto"/>
        <w:jc w:val="both"/>
        <w:numPr>
          <w:ilvl w:val="0"/>
          <w:numId w:val="2"/>
        </w:numPr>
        <w:ind w:left="1134"/>
      </w:pPr>
      <w:r>
        <w:rPr>
          <w:rFonts w:ascii="Arial" w:hAnsi="Arial"/>
          <w:b w:val="0"/>
          <w:i w:val="0"/>
          <w:color w:val="3B3838"/>
          <w:sz w:val="21"/>
        </w:rPr>
        <w:t>Workers understand their individual responsibility, authority, and obligation to exercise Stop Work Authority (SWA) whenever an unsafe act or condition is identified.</w:t>
      </w:r>
    </w:p>
    <w:p>
      <w:pPr>
        <w:pStyle w:val="ListParagraph"/>
        <w:spacing w:before="0" w:after="40" w:line="276" w:lineRule="auto"/>
        <w:jc w:val="both"/>
        <w:numPr>
          <w:ilvl w:val="0"/>
          <w:numId w:val="2"/>
        </w:numPr>
        <w:ind w:left="1134"/>
      </w:pPr>
      <w:r>
        <w:rPr>
          <w:rFonts w:ascii="Arial" w:hAnsi="Arial"/>
          <w:b w:val="0"/>
          <w:i w:val="0"/>
          <w:color w:val="3B3838"/>
          <w:sz w:val="21"/>
        </w:rPr>
        <w:t>Strict adherence is maintained to Contractor Safety Management System (CSMS) guidelines and ISO 45001:2018 / ISO 14001:2015 requirements.</w:t>
      </w:r>
    </w:p>
    <w:p>
      <w:pPr>
        <w:spacing w:before="240" w:after="80" w:line="276" w:lineRule="auto"/>
        <w:ind w:left="0"/>
        <w:tabs>
          <w:tab w:val="left" w:pos="720"/>
        </w:tabs>
      </w:pPr>
      <w:r>
        <w:rPr>
          <w:rFonts w:ascii="Arial" w:hAnsi="Arial"/>
          <w:b/>
          <w:i w:val="0"/>
          <w:color w:val="000000"/>
          <w:sz w:val="26"/>
        </w:rPr>
        <w:t>2.0</w:t>
        <w:tab/>
        <w:t>SCOPE</w:t>
      </w:r>
    </w:p>
    <w:p>
      <w:pPr>
        <w:spacing w:before="0" w:after="80" w:line="276" w:lineRule="auto"/>
        <w:ind w:left="720"/>
        <w:jc w:val="both"/>
      </w:pPr>
      <w:r>
        <w:rPr>
          <w:rFonts w:ascii="Arial" w:hAnsi="Arial"/>
          <w:b w:val="0"/>
          <w:i w:val="0"/>
          <w:color w:val="3B3838"/>
          <w:sz w:val="21"/>
        </w:rPr>
        <w:t>This procedure applies to all operational sites, fabrication workshops, logistical yards, corporate offices, and client field project locations operated by or under contract to PT Nirwana Bhumi Energy.</w:t>
      </w:r>
    </w:p>
    <w:p>
      <w:pPr>
        <w:spacing w:before="0" w:after="80" w:line="276" w:lineRule="auto"/>
        <w:ind w:left="720"/>
        <w:jc w:val="both"/>
      </w:pPr>
      <w:r>
        <w:rPr>
          <w:rFonts w:ascii="Arial" w:hAnsi="Arial"/>
          <w:b w:val="0"/>
          <w:i w:val="0"/>
          <w:color w:val="3B3838"/>
          <w:sz w:val="21"/>
        </w:rPr>
        <w:t>The induction mandate applies to:</w:t>
      </w:r>
    </w:p>
    <w:p>
      <w:pPr>
        <w:pStyle w:val="ListParagraph"/>
        <w:spacing w:before="0" w:after="40" w:line="276" w:lineRule="auto"/>
        <w:jc w:val="both"/>
        <w:numPr>
          <w:ilvl w:val="0"/>
          <w:numId w:val="2"/>
        </w:numPr>
        <w:ind w:left="1134"/>
      </w:pPr>
      <w:r>
        <w:rPr>
          <w:rFonts w:ascii="Arial" w:hAnsi="Arial"/>
          <w:b w:val="0"/>
          <w:i w:val="0"/>
          <w:color w:val="3B3838"/>
          <w:sz w:val="21"/>
        </w:rPr>
        <w:t>Newly recruited permanent, probationary, and fixed-term direct employees.</w:t>
      </w:r>
    </w:p>
    <w:p>
      <w:pPr>
        <w:pStyle w:val="ListParagraph"/>
        <w:spacing w:before="0" w:after="40" w:line="276" w:lineRule="auto"/>
        <w:jc w:val="both"/>
        <w:numPr>
          <w:ilvl w:val="0"/>
          <w:numId w:val="2"/>
        </w:numPr>
        <w:ind w:left="1134"/>
      </w:pPr>
      <w:r>
        <w:rPr>
          <w:rFonts w:ascii="Arial" w:hAnsi="Arial"/>
          <w:b w:val="0"/>
          <w:i w:val="0"/>
          <w:color w:val="3B3838"/>
          <w:sz w:val="21"/>
        </w:rPr>
        <w:t>Employees transferred from other divisions or resuming work after extended medical leaves (&gt; 30 days).</w:t>
      </w:r>
    </w:p>
    <w:p>
      <w:pPr>
        <w:pStyle w:val="ListParagraph"/>
        <w:spacing w:before="0" w:after="40" w:line="276" w:lineRule="auto"/>
        <w:jc w:val="both"/>
        <w:numPr>
          <w:ilvl w:val="0"/>
          <w:numId w:val="2"/>
        </w:numPr>
        <w:ind w:left="1134"/>
      </w:pPr>
      <w:r>
        <w:rPr>
          <w:rFonts w:ascii="Arial" w:hAnsi="Arial"/>
          <w:b w:val="0"/>
          <w:i w:val="0"/>
          <w:color w:val="3B3838"/>
          <w:sz w:val="21"/>
        </w:rPr>
        <w:t>Subcontractor personnel, equipment vendors, third-party specialists, and technical service providers.</w:t>
      </w:r>
    </w:p>
    <w:p>
      <w:pPr>
        <w:spacing w:before="240" w:after="80" w:line="276" w:lineRule="auto"/>
        <w:ind w:left="0"/>
        <w:tabs>
          <w:tab w:val="left" w:pos="720"/>
        </w:tabs>
      </w:pPr>
      <w:r>
        <w:rPr>
          <w:rFonts w:ascii="Arial" w:hAnsi="Arial"/>
          <w:b/>
          <w:i w:val="0"/>
          <w:color w:val="000000"/>
          <w:sz w:val="26"/>
        </w:rPr>
        <w:t>3.0</w:t>
        <w:tab/>
        <w:t>DEFINITIONS &amp; ABBREVIATIONS</w:t>
      </w:r>
    </w:p>
    <w:p>
      <w:pPr>
        <w:spacing w:before="0" w:after="80" w:line="276" w:lineRule="auto"/>
        <w:ind w:left="720"/>
        <w:jc w:val="both"/>
      </w:pPr>
      <w:r>
        <w:rPr>
          <w:rFonts w:ascii="Arial" w:hAnsi="Arial"/>
          <w:b w:val="0"/>
          <w:i w:val="0"/>
          <w:color w:val="3B3838"/>
          <w:sz w:val="21"/>
        </w:rPr>
        <w:t>HSE Induction: A comprehensive orientation program detailing corporate safety policies, life-saving rules, environmental standards, and emergency procedures.</w:t>
      </w:r>
    </w:p>
    <w:p>
      <w:pPr>
        <w:spacing w:before="0" w:after="80" w:line="276" w:lineRule="auto"/>
        <w:ind w:left="720"/>
        <w:jc w:val="both"/>
      </w:pPr>
      <w:r>
        <w:rPr>
          <w:rFonts w:ascii="Arial" w:hAnsi="Arial"/>
          <w:b w:val="0"/>
          <w:i w:val="0"/>
          <w:color w:val="3B3838"/>
          <w:sz w:val="21"/>
        </w:rPr>
        <w:t>Life-Saving Rules: Non-negotiable core safety imperatives designed to protect workers from high-consequence industrial hazards (e.g., PTW, LOTO, Working at Heights, Confined Space).</w:t>
      </w:r>
    </w:p>
    <w:p>
      <w:pPr>
        <w:spacing w:before="0" w:after="80" w:line="276" w:lineRule="auto"/>
        <w:ind w:left="720"/>
        <w:jc w:val="both"/>
      </w:pPr>
      <w:r>
        <w:rPr>
          <w:rFonts w:ascii="Arial" w:hAnsi="Arial"/>
          <w:b w:val="0"/>
          <w:i w:val="0"/>
          <w:color w:val="3B3838"/>
          <w:sz w:val="21"/>
        </w:rPr>
        <w:t>Stop Work Authority (SWA): The non-negotiable right, responsibility, and duty vested in every worker to immediately halt any work activity deemed hazardous or non-compliant.</w:t>
      </w:r>
    </w:p>
    <w:p>
      <w:pPr>
        <w:spacing w:before="0" w:after="80" w:line="276" w:lineRule="auto"/>
        <w:ind w:left="720"/>
        <w:jc w:val="both"/>
      </w:pPr>
      <w:r>
        <w:rPr>
          <w:rFonts w:ascii="Arial" w:hAnsi="Arial"/>
          <w:b w:val="0"/>
          <w:i w:val="0"/>
          <w:color w:val="3B3838"/>
          <w:sz w:val="21"/>
        </w:rPr>
        <w:t>Permit to Work (PTW): A formal written document authorizing specific high-risk tasks under predefined safety precautions.</w:t>
      </w:r>
    </w:p>
    <w:p>
      <w:pPr>
        <w:spacing w:before="0" w:after="80" w:line="276" w:lineRule="auto"/>
        <w:ind w:left="720"/>
        <w:jc w:val="both"/>
      </w:pPr>
      <w:r>
        <w:rPr>
          <w:rFonts w:ascii="Arial" w:hAnsi="Arial"/>
          <w:b w:val="0"/>
          <w:i w:val="0"/>
          <w:color w:val="3B3838"/>
          <w:sz w:val="21"/>
        </w:rPr>
        <w:t>Job Safety Analysis (JSA): A systematic task evaluation technique that identifies job-step hazards and mandates specific preventive controls.</w:t>
      </w:r>
    </w:p>
    <w:p>
      <w:pPr>
        <w:spacing w:before="0" w:after="80" w:line="276" w:lineRule="auto"/>
        <w:ind w:left="720"/>
        <w:jc w:val="both"/>
      </w:pPr>
      <w:r>
        <w:rPr>
          <w:rFonts w:ascii="Arial" w:hAnsi="Arial"/>
          <w:b w:val="0"/>
          <w:i w:val="0"/>
          <w:color w:val="3B3838"/>
          <w:sz w:val="21"/>
        </w:rPr>
        <w:t>Induction Passport / Sticker: A physical credential or helmet decal certifying successful completion of the mandatory site HSE induction.</w:t>
      </w:r>
    </w:p>
    <w:p>
      <w:pPr>
        <w:spacing w:before="240" w:after="80" w:line="276" w:lineRule="auto"/>
        <w:ind w:left="0"/>
        <w:tabs>
          <w:tab w:val="left" w:pos="720"/>
        </w:tabs>
      </w:pPr>
      <w:r>
        <w:rPr>
          <w:rFonts w:ascii="Arial" w:hAnsi="Arial"/>
          <w:b/>
          <w:i w:val="0"/>
          <w:color w:val="000000"/>
          <w:sz w:val="26"/>
        </w:rPr>
        <w:t>4.0</w:t>
        <w:tab/>
        <w:t>RESPONSIBILITIES</w:t>
      </w:r>
    </w:p>
    <w:p>
      <w:pPr>
        <w:spacing w:before="0" w:after="80" w:line="276" w:lineRule="auto"/>
        <w:ind w:left="720"/>
        <w:jc w:val="both"/>
      </w:pPr>
      <w:r>
        <w:rPr>
          <w:rFonts w:ascii="Arial" w:hAnsi="Arial"/>
          <w:b w:val="0"/>
          <w:i w:val="0"/>
          <w:color w:val="3B3838"/>
          <w:sz w:val="21"/>
        </w:rPr>
        <w:t>Director of Operations &amp; Technology / CTO: Maintains ultimate operational accountability for verifying that 100% of site personnel are formally inducted prior to task execution.</w:t>
      </w:r>
    </w:p>
    <w:p>
      <w:pPr>
        <w:spacing w:before="0" w:after="80" w:line="276" w:lineRule="auto"/>
        <w:ind w:left="720"/>
        <w:jc w:val="both"/>
      </w:pPr>
      <w:r>
        <w:rPr>
          <w:rFonts w:ascii="Arial" w:hAnsi="Arial"/>
          <w:b w:val="0"/>
          <w:i w:val="0"/>
          <w:color w:val="3B3838"/>
          <w:sz w:val="21"/>
        </w:rPr>
        <w:t>HSE Coordinator / Site Safety Officer: Delivers the approved HSE induction curriculum, maintains digital and hardcopy training logs, administers assessments, and issues induction credentials.</w:t>
      </w:r>
    </w:p>
    <w:p>
      <w:pPr>
        <w:spacing w:before="0" w:after="80" w:line="276" w:lineRule="auto"/>
        <w:ind w:left="720"/>
        <w:jc w:val="both"/>
      </w:pPr>
      <w:r>
        <w:rPr>
          <w:rFonts w:ascii="Arial" w:hAnsi="Arial"/>
          <w:b w:val="0"/>
          <w:i w:val="0"/>
          <w:color w:val="3B3838"/>
          <w:sz w:val="21"/>
        </w:rPr>
        <w:t>Site Superintendents / Supervisors: Verify induction verification stickers on all personnel under their direct supervision and prohibit un-inducted personnel from entering active work zones.</w:t>
      </w:r>
    </w:p>
    <w:p>
      <w:pPr>
        <w:spacing w:before="0" w:after="80" w:line="276" w:lineRule="auto"/>
        <w:ind w:left="720"/>
        <w:jc w:val="both"/>
      </w:pPr>
      <w:r>
        <w:rPr>
          <w:rFonts w:ascii="Arial" w:hAnsi="Arial"/>
          <w:b w:val="0"/>
          <w:i w:val="0"/>
          <w:color w:val="3B3838"/>
          <w:sz w:val="21"/>
        </w:rPr>
        <w:t>Contractor Company Representatives: Ensure all subcontractor personnel attend scheduled induction sessions with valid medical clearance records and appropriate PPE.</w:t>
      </w:r>
    </w:p>
    <w:p>
      <w:pPr>
        <w:spacing w:before="0" w:after="80" w:line="276" w:lineRule="auto"/>
        <w:ind w:left="720"/>
        <w:jc w:val="both"/>
      </w:pPr>
      <w:r>
        <w:rPr>
          <w:rFonts w:ascii="Arial" w:hAnsi="Arial"/>
          <w:b w:val="0"/>
          <w:i w:val="0"/>
          <w:color w:val="3B3838"/>
          <w:sz w:val="21"/>
        </w:rPr>
        <w:t>All Inducted Personnel: Actively participate in training, sign induction acknowledgments, observe all site rules, and intervene immediately upon detecting safety violations.</w:t>
      </w:r>
    </w:p>
    <w:p>
      <w:pPr>
        <w:spacing w:before="240" w:after="80" w:line="276" w:lineRule="auto"/>
        <w:ind w:left="0"/>
        <w:tabs>
          <w:tab w:val="left" w:pos="720"/>
        </w:tabs>
      </w:pPr>
      <w:r>
        <w:rPr>
          <w:rFonts w:ascii="Arial" w:hAnsi="Arial"/>
          <w:b/>
          <w:i w:val="0"/>
          <w:color w:val="000000"/>
          <w:sz w:val="26"/>
        </w:rPr>
        <w:t>5.0</w:t>
        <w:tab/>
        <w:t>PROCEDURE STEPS</w:t>
      </w:r>
    </w:p>
    <w:p>
      <w:pPr>
        <w:spacing w:before="160" w:after="60" w:line="276" w:lineRule="auto"/>
        <w:ind w:left="0"/>
        <w:tabs>
          <w:tab w:val="left" w:pos="720"/>
        </w:tabs>
      </w:pPr>
      <w:r>
        <w:rPr>
          <w:rFonts w:ascii="Arial" w:hAnsi="Arial"/>
          <w:b/>
          <w:i w:val="0"/>
          <w:color w:val="000000"/>
          <w:sz w:val="22"/>
        </w:rPr>
        <w:t>5.1</w:t>
        <w:tab/>
        <w:t>Pre-Induction Verification and Registration</w:t>
      </w:r>
    </w:p>
    <w:p>
      <w:pPr>
        <w:spacing w:before="0" w:after="80" w:line="276" w:lineRule="auto"/>
        <w:ind w:left="720"/>
        <w:jc w:val="both"/>
      </w:pPr>
      <w:r>
        <w:rPr>
          <w:rFonts w:ascii="Arial" w:hAnsi="Arial"/>
          <w:b w:val="0"/>
          <w:i w:val="0"/>
          <w:color w:val="3B3838"/>
          <w:sz w:val="21"/>
        </w:rPr>
        <w:t>Prior to admitting personnel into the induction training room, the Site Safety Officer shall verify government-issued identification, proof of pre-employment medical fitness clearance (Fit for Duty), and client-specific CSMS credentials where applicable.</w:t>
      </w:r>
    </w:p>
    <w:p>
      <w:pPr>
        <w:spacing w:before="0" w:after="80" w:line="276" w:lineRule="auto"/>
        <w:ind w:left="720"/>
        <w:jc w:val="both"/>
      </w:pPr>
      <w:r>
        <w:rPr>
          <w:rFonts w:ascii="Arial" w:hAnsi="Arial"/>
          <w:b w:val="0"/>
          <w:i w:val="0"/>
          <w:color w:val="3B3838"/>
          <w:sz w:val="21"/>
        </w:rPr>
        <w:t>All candidates shall be logged into the Central Induction Training Registry recording candidate name, employee identification number, contracting company, and job title.</w:t>
      </w:r>
    </w:p>
    <w:p>
      <w:pPr>
        <w:spacing w:before="160" w:after="60" w:line="276" w:lineRule="auto"/>
        <w:ind w:left="0"/>
        <w:tabs>
          <w:tab w:val="left" w:pos="720"/>
        </w:tabs>
      </w:pPr>
      <w:r>
        <w:rPr>
          <w:rFonts w:ascii="Arial" w:hAnsi="Arial"/>
          <w:b/>
          <w:i w:val="0"/>
          <w:color w:val="000000"/>
          <w:sz w:val="22"/>
        </w:rPr>
        <w:t>5.2</w:t>
        <w:tab/>
        <w:t>Mandatory Induction Curriculum</w:t>
      </w:r>
    </w:p>
    <w:p>
      <w:pPr>
        <w:spacing w:before="0" w:after="80" w:line="276" w:lineRule="auto"/>
        <w:ind w:left="720"/>
        <w:jc w:val="both"/>
      </w:pPr>
      <w:r>
        <w:rPr>
          <w:rFonts w:ascii="Arial" w:hAnsi="Arial"/>
          <w:b w:val="0"/>
          <w:i w:val="0"/>
          <w:color w:val="3B3838"/>
          <w:sz w:val="21"/>
        </w:rPr>
        <w:t>The formal induction curriculum comprises the following structured modules:</w:t>
      </w:r>
    </w:p>
    <w:p>
      <w:pPr>
        <w:pStyle w:val="ListParagraph"/>
        <w:spacing w:before="0" w:after="40" w:line="276" w:lineRule="auto"/>
        <w:jc w:val="both"/>
        <w:numPr>
          <w:ilvl w:val="0"/>
          <w:numId w:val="2"/>
        </w:numPr>
        <w:ind w:left="1134"/>
      </w:pPr>
      <w:r>
        <w:rPr>
          <w:rFonts w:ascii="Arial" w:hAnsi="Arial"/>
          <w:b w:val="0"/>
          <w:i w:val="0"/>
          <w:color w:val="3B3838"/>
          <w:sz w:val="21"/>
        </w:rPr>
        <w:t>Module 1: Corporate HSE Policy — Management commitments, environmental stewardship, and quality objectives.</w:t>
      </w:r>
    </w:p>
    <w:p>
      <w:pPr>
        <w:pStyle w:val="ListParagraph"/>
        <w:spacing w:before="0" w:after="40" w:line="276" w:lineRule="auto"/>
        <w:jc w:val="both"/>
        <w:numPr>
          <w:ilvl w:val="0"/>
          <w:numId w:val="2"/>
        </w:numPr>
        <w:ind w:left="1134"/>
      </w:pPr>
      <w:r>
        <w:rPr>
          <w:rFonts w:ascii="Arial" w:hAnsi="Arial"/>
          <w:b w:val="0"/>
          <w:i w:val="0"/>
          <w:color w:val="3B3838"/>
          <w:sz w:val="21"/>
        </w:rPr>
        <w:t>Module 2: Life-Saving Rules — Zero tolerance standards for bypassing safety interlocks, working without approved PTW, failure to isolate energy (LOTO), entering confined spaces without gas testing, and working at heights without 100% tie-off.</w:t>
      </w:r>
    </w:p>
    <w:p>
      <w:pPr>
        <w:pStyle w:val="ListParagraph"/>
        <w:spacing w:before="0" w:after="40" w:line="276" w:lineRule="auto"/>
        <w:jc w:val="both"/>
        <w:numPr>
          <w:ilvl w:val="0"/>
          <w:numId w:val="2"/>
        </w:numPr>
        <w:ind w:left="1134"/>
      </w:pPr>
      <w:r>
        <w:rPr>
          <w:rFonts w:ascii="Arial" w:hAnsi="Arial"/>
          <w:b w:val="0"/>
          <w:i w:val="0"/>
          <w:color w:val="3B3838"/>
          <w:sz w:val="21"/>
        </w:rPr>
        <w:t>Module 3: Hazard Identification &amp; Risk Assessment — Practical guidance on completing Job Safety Analyses (JSA) and dynamic Dynamic Risk Assessments (DRA).</w:t>
      </w:r>
    </w:p>
    <w:p>
      <w:pPr>
        <w:pStyle w:val="ListParagraph"/>
        <w:spacing w:before="0" w:after="40" w:line="276" w:lineRule="auto"/>
        <w:jc w:val="both"/>
        <w:numPr>
          <w:ilvl w:val="0"/>
          <w:numId w:val="2"/>
        </w:numPr>
        <w:ind w:left="1134"/>
      </w:pPr>
      <w:r>
        <w:rPr>
          <w:rFonts w:ascii="Arial" w:hAnsi="Arial"/>
          <w:b w:val="0"/>
          <w:i w:val="0"/>
          <w:color w:val="3B3838"/>
          <w:sz w:val="21"/>
        </w:rPr>
        <w:t>Module 4: Stop Work Authority (SWA) — Clear articulation that stopping unsafe work is supported by executive leadership with complete protection against reprisal.</w:t>
      </w:r>
    </w:p>
    <w:p>
      <w:pPr>
        <w:pStyle w:val="ListParagraph"/>
        <w:spacing w:before="0" w:after="40" w:line="276" w:lineRule="auto"/>
        <w:jc w:val="both"/>
        <w:numPr>
          <w:ilvl w:val="0"/>
          <w:numId w:val="2"/>
        </w:numPr>
        <w:ind w:left="1134"/>
      </w:pPr>
      <w:r>
        <w:rPr>
          <w:rFonts w:ascii="Arial" w:hAnsi="Arial"/>
          <w:b w:val="0"/>
          <w:i w:val="0"/>
          <w:color w:val="3B3838"/>
          <w:sz w:val="21"/>
        </w:rPr>
        <w:t>Module 5: Incident, Injury, and Near-Miss Reporting — Mandatory immediate notification protocol within one (1) hour of any occurrence.</w:t>
      </w:r>
    </w:p>
    <w:p>
      <w:pPr>
        <w:pStyle w:val="ListParagraph"/>
        <w:spacing w:before="0" w:after="40" w:line="276" w:lineRule="auto"/>
        <w:jc w:val="both"/>
        <w:numPr>
          <w:ilvl w:val="0"/>
          <w:numId w:val="2"/>
        </w:numPr>
        <w:ind w:left="1134"/>
      </w:pPr>
      <w:r>
        <w:rPr>
          <w:rFonts w:ascii="Arial" w:hAnsi="Arial"/>
          <w:b w:val="0"/>
          <w:i w:val="0"/>
          <w:color w:val="3B3838"/>
          <w:sz w:val="21"/>
        </w:rPr>
        <w:t>Module 6: Emergency Response Plan — Alarm signals, evacuation routes, primary and secondary muster points, and assigned emergency response roles.</w:t>
      </w:r>
    </w:p>
    <w:p>
      <w:pPr>
        <w:pStyle w:val="ListParagraph"/>
        <w:spacing w:before="0" w:after="40" w:line="276" w:lineRule="auto"/>
        <w:jc w:val="both"/>
        <w:numPr>
          <w:ilvl w:val="0"/>
          <w:numId w:val="2"/>
        </w:numPr>
        <w:ind w:left="1134"/>
      </w:pPr>
      <w:r>
        <w:rPr>
          <w:rFonts w:ascii="Arial" w:hAnsi="Arial"/>
          <w:b w:val="0"/>
          <w:i w:val="0"/>
          <w:color w:val="3B3838"/>
          <w:sz w:val="21"/>
        </w:rPr>
        <w:t>Module 7: Personal Protective Equipment (PPE) — Proper selection, fit-testing, pre-use inspection, and maintenance of mandatory PPE.</w:t>
      </w:r>
    </w:p>
    <w:p>
      <w:pPr>
        <w:pStyle w:val="ListParagraph"/>
        <w:spacing w:before="0" w:after="40" w:line="276" w:lineRule="auto"/>
        <w:jc w:val="both"/>
        <w:numPr>
          <w:ilvl w:val="0"/>
          <w:numId w:val="2"/>
        </w:numPr>
        <w:ind w:left="1134"/>
      </w:pPr>
      <w:r>
        <w:rPr>
          <w:rFonts w:ascii="Arial" w:hAnsi="Arial"/>
          <w:b w:val="0"/>
          <w:i w:val="0"/>
          <w:color w:val="3B3838"/>
          <w:sz w:val="21"/>
        </w:rPr>
        <w:t>Module 8: Environmental Protection &amp; Waste Management — Waste segregation (hazardous/B3 vs. non-hazardous), spill response kits, and chemical storage rules.</w:t>
      </w:r>
    </w:p>
    <w:p>
      <w:pPr>
        <w:spacing w:before="160" w:after="60" w:line="276" w:lineRule="auto"/>
        <w:ind w:left="0"/>
        <w:tabs>
          <w:tab w:val="left" w:pos="720"/>
        </w:tabs>
      </w:pPr>
      <w:r>
        <w:rPr>
          <w:rFonts w:ascii="Arial" w:hAnsi="Arial"/>
          <w:b/>
          <w:i w:val="0"/>
          <w:color w:val="000000"/>
          <w:sz w:val="22"/>
        </w:rPr>
        <w:t>5.3</w:t>
        <w:tab/>
        <w:t>Comprehension Assessment and Minimum Pass Criteria</w:t>
      </w:r>
    </w:p>
    <w:p>
      <w:pPr>
        <w:spacing w:before="0" w:after="80" w:line="276" w:lineRule="auto"/>
        <w:ind w:left="720"/>
        <w:jc w:val="both"/>
      </w:pPr>
      <w:r>
        <w:rPr>
          <w:rFonts w:ascii="Arial" w:hAnsi="Arial"/>
          <w:b w:val="0"/>
          <w:i w:val="0"/>
          <w:color w:val="3B3838"/>
          <w:sz w:val="21"/>
        </w:rPr>
        <w:t>Following course delivery, each candidate shall complete a standardized written examination consisting of twenty (20) multiple-choice questions covering emergency response, core hazard controls, and life-saving rules.</w:t>
      </w:r>
    </w:p>
    <w:p>
      <w:pPr>
        <w:spacing w:before="0" w:after="80" w:line="276" w:lineRule="auto"/>
        <w:ind w:left="720"/>
        <w:jc w:val="both"/>
      </w:pPr>
      <w:r>
        <w:rPr>
          <w:rFonts w:ascii="Arial" w:hAnsi="Arial"/>
          <w:b w:val="0"/>
          <w:i w:val="0"/>
          <w:color w:val="3B3838"/>
          <w:sz w:val="21"/>
        </w:rPr>
        <w:t>The minimum passing score is eighty percent (80%). Candidates failing the initial assessment shall receive immediate remedial coaching and a re-test. A candidate who fails a second time shall not be granted site access.</w:t>
      </w:r>
    </w:p>
    <w:p>
      <w:pPr>
        <w:spacing w:before="160" w:after="60" w:line="276" w:lineRule="auto"/>
        <w:ind w:left="0"/>
        <w:tabs>
          <w:tab w:val="left" w:pos="720"/>
        </w:tabs>
      </w:pPr>
      <w:r>
        <w:rPr>
          <w:rFonts w:ascii="Arial" w:hAnsi="Arial"/>
          <w:b/>
          <w:i w:val="0"/>
          <w:color w:val="000000"/>
          <w:sz w:val="22"/>
        </w:rPr>
        <w:t>5.4</w:t>
        <w:tab/>
        <w:t>Credential Issuance, Validity, and Refresher Frequency</w:t>
      </w:r>
    </w:p>
    <w:p>
      <w:pPr>
        <w:spacing w:before="0" w:after="80" w:line="276" w:lineRule="auto"/>
        <w:ind w:left="720"/>
        <w:jc w:val="both"/>
      </w:pPr>
      <w:r>
        <w:rPr>
          <w:rFonts w:ascii="Arial" w:hAnsi="Arial"/>
          <w:b w:val="0"/>
          <w:i w:val="0"/>
          <w:color w:val="3B3838"/>
          <w:sz w:val="21"/>
        </w:rPr>
        <w:t>Upon passing the assessment, the candidate shall sign the formal Induction Commitment Statement. The Safety Officer shall issue a numbered Induction Helmet Decal and update the digital master database.</w:t>
      </w:r>
    </w:p>
    <w:p>
      <w:pPr>
        <w:spacing w:before="0" w:after="80" w:line="276" w:lineRule="auto"/>
        <w:ind w:left="720"/>
        <w:jc w:val="both"/>
      </w:pPr>
      <w:r>
        <w:rPr>
          <w:rFonts w:ascii="Arial" w:hAnsi="Arial"/>
          <w:b w:val="0"/>
          <w:i w:val="0"/>
          <w:color w:val="3B3838"/>
          <w:sz w:val="21"/>
        </w:rPr>
        <w:t>The HSE Induction is valid for a maximum period of twelve (12) calendar months. Personnel remaining on site past twelve months, or personnel returning after an absence exceeding six (6) months, must undergo a complete refresher induction.</w:t>
      </w:r>
    </w:p>
    <w:p>
      <w:pPr>
        <w:spacing w:before="240" w:after="80" w:line="276" w:lineRule="auto"/>
        <w:ind w:left="0"/>
        <w:tabs>
          <w:tab w:val="left" w:pos="720"/>
        </w:tabs>
      </w:pPr>
      <w:r>
        <w:rPr>
          <w:rFonts w:ascii="Arial" w:hAnsi="Arial"/>
          <w:b/>
          <w:i w:val="0"/>
          <w:color w:val="000000"/>
          <w:sz w:val="26"/>
        </w:rPr>
        <w:t>6.0</w:t>
        <w:tab/>
        <w:t>PERFORMANCE INDICATORS &amp; AUDIT</w:t>
      </w:r>
    </w:p>
    <w:p>
      <w:pPr>
        <w:spacing w:before="0" w:after="80" w:line="276" w:lineRule="auto"/>
        <w:ind w:left="720"/>
        <w:jc w:val="both"/>
      </w:pPr>
      <w:r>
        <w:rPr>
          <w:rFonts w:ascii="Arial" w:hAnsi="Arial"/>
          <w:b w:val="0"/>
          <w:i w:val="0"/>
          <w:color w:val="3B3838"/>
          <w:sz w:val="21"/>
        </w:rPr>
        <w:t>The effectiveness of the induction program shall be measured against:</w:t>
      </w:r>
    </w:p>
    <w:p>
      <w:pPr>
        <w:pStyle w:val="ListParagraph"/>
        <w:spacing w:before="0" w:after="40" w:line="276" w:lineRule="auto"/>
        <w:jc w:val="both"/>
        <w:numPr>
          <w:ilvl w:val="0"/>
          <w:numId w:val="2"/>
        </w:numPr>
        <w:ind w:left="1134"/>
      </w:pPr>
      <w:r>
        <w:rPr>
          <w:rFonts w:ascii="Arial" w:hAnsi="Arial"/>
          <w:b w:val="0"/>
          <w:i w:val="0"/>
          <w:color w:val="3B3838"/>
          <w:sz w:val="21"/>
        </w:rPr>
        <w:t>100% verification of valid HSE induction credentials prior to unescorted site entry.</w:t>
      </w:r>
    </w:p>
    <w:p>
      <w:pPr>
        <w:pStyle w:val="ListParagraph"/>
        <w:spacing w:before="0" w:after="40" w:line="276" w:lineRule="auto"/>
        <w:jc w:val="both"/>
        <w:numPr>
          <w:ilvl w:val="0"/>
          <w:numId w:val="2"/>
        </w:numPr>
        <w:ind w:left="1134"/>
      </w:pPr>
      <w:r>
        <w:rPr>
          <w:rFonts w:ascii="Arial" w:hAnsi="Arial"/>
          <w:b w:val="0"/>
          <w:i w:val="0"/>
          <w:color w:val="3B3838"/>
          <w:sz w:val="21"/>
        </w:rPr>
        <w:t>Zero incidents, injuries, or non-conformances attributable to lack of initial safety orientation.</w:t>
      </w:r>
    </w:p>
    <w:p>
      <w:pPr>
        <w:pStyle w:val="ListParagraph"/>
        <w:spacing w:before="0" w:after="40" w:line="276" w:lineRule="auto"/>
        <w:jc w:val="both"/>
        <w:numPr>
          <w:ilvl w:val="0"/>
          <w:numId w:val="2"/>
        </w:numPr>
        <w:ind w:left="1134"/>
      </w:pPr>
      <w:r>
        <w:rPr>
          <w:rFonts w:ascii="Arial" w:hAnsi="Arial"/>
          <w:b w:val="0"/>
          <w:i w:val="0"/>
          <w:color w:val="3B3838"/>
          <w:sz w:val="21"/>
        </w:rPr>
        <w:t>100% adherence to annual refresher induction schedules for long-term project personnel.</w:t>
      </w:r>
    </w:p>
    <w:p>
      <w:pPr>
        <w:spacing w:before="240" w:after="80" w:line="276" w:lineRule="auto"/>
        <w:ind w:left="0"/>
        <w:tabs>
          <w:tab w:val="left" w:pos="720"/>
        </w:tabs>
      </w:pPr>
      <w:r>
        <w:rPr>
          <w:rFonts w:ascii="Arial" w:hAnsi="Arial"/>
          <w:b/>
          <w:i w:val="0"/>
          <w:color w:val="000000"/>
          <w:sz w:val="26"/>
        </w:rPr>
        <w:t>7.0</w:t>
        <w:tab/>
        <w:t>REFERENCED DOCUMENTS</w:t>
      </w:r>
    </w:p>
    <w:p>
      <w:pPr>
        <w:spacing w:before="0" w:after="80" w:line="276" w:lineRule="auto"/>
        <w:ind w:left="720"/>
        <w:jc w:val="both"/>
      </w:pPr>
      <w:r>
        <w:rPr>
          <w:rFonts w:ascii="Arial" w:hAnsi="Arial"/>
          <w:b w:val="0"/>
          <w:i w:val="0"/>
          <w:color w:val="3B3838"/>
          <w:sz w:val="21"/>
        </w:rPr>
        <w:t>ISO 45001:2018 Occupational Health and Safety Management Systems - Clause 7.3 Awareness</w:t>
      </w:r>
    </w:p>
    <w:p>
      <w:pPr>
        <w:spacing w:before="0" w:after="80" w:line="276" w:lineRule="auto"/>
        <w:ind w:left="720"/>
        <w:jc w:val="both"/>
      </w:pPr>
      <w:r>
        <w:rPr>
          <w:rFonts w:ascii="Arial" w:hAnsi="Arial"/>
          <w:b w:val="0"/>
          <w:i w:val="0"/>
          <w:color w:val="3B3838"/>
          <w:sz w:val="21"/>
        </w:rPr>
        <w:t>ISO 14001:2015 Environmental Management Systems - Clause 7.3 Awareness</w:t>
      </w:r>
    </w:p>
    <w:p>
      <w:pPr>
        <w:spacing w:before="0" w:after="80" w:line="276" w:lineRule="auto"/>
        <w:ind w:left="720"/>
        <w:jc w:val="both"/>
      </w:pPr>
      <w:r>
        <w:rPr>
          <w:rFonts w:ascii="Arial" w:hAnsi="Arial"/>
          <w:b w:val="0"/>
          <w:i w:val="0"/>
          <w:color w:val="3B3838"/>
          <w:sz w:val="21"/>
        </w:rPr>
        <w:t>Government Regulation PP No. 50/2012 regarding Implementation of SMK3</w:t>
      </w:r>
    </w:p>
    <w:p>
      <w:pPr>
        <w:spacing w:before="0" w:after="80" w:line="276" w:lineRule="auto"/>
        <w:ind w:left="720"/>
        <w:jc w:val="both"/>
      </w:pPr>
      <w:r>
        <w:rPr>
          <w:rFonts w:ascii="Arial" w:hAnsi="Arial"/>
          <w:b w:val="0"/>
          <w:i w:val="0"/>
          <w:color w:val="3B3838"/>
          <w:sz w:val="21"/>
        </w:rPr>
        <w:t>0005-SOP-HRD-CFO-X-2026: Training and Competency Management Procedure</w:t>
      </w:r>
    </w:p>
    <w:p>
      <w:pPr>
        <w:spacing w:before="0" w:after="80" w:line="276" w:lineRule="auto"/>
        <w:ind w:left="720"/>
        <w:jc w:val="both"/>
      </w:pPr>
      <w:r>
        <w:rPr>
          <w:rFonts w:ascii="Arial" w:hAnsi="Arial"/>
          <w:b w:val="0"/>
          <w:i w:val="0"/>
          <w:color w:val="3B3838"/>
          <w:sz w:val="21"/>
        </w:rPr>
        <w:t>0009-SOP-HSE-COO-X-2026: Visitor and Contractor Safety Briefing Procedure</w:t>
      </w:r>
    </w:p>
    <w:p>
      <w:pPr>
        <w:spacing w:before="240" w:after="80" w:line="276" w:lineRule="auto"/>
        <w:ind w:left="0"/>
        <w:tabs>
          <w:tab w:val="left" w:pos="720"/>
        </w:tabs>
      </w:pPr>
      <w:r>
        <w:rPr>
          <w:rFonts w:ascii="Arial" w:hAnsi="Arial"/>
          <w:b/>
          <w:i w:val="0"/>
          <w:color w:val="000000"/>
          <w:sz w:val="26"/>
        </w:rPr>
        <w:t>8.0</w:t>
        <w:tab/>
        <w:t>ATTACHMENTS &amp; ASSOCIATED FORMS</w:t>
      </w:r>
    </w:p>
    <w:p>
      <w:pPr>
        <w:spacing w:before="0" w:after="80" w:line="276" w:lineRule="auto"/>
        <w:ind w:left="720"/>
        <w:jc w:val="both"/>
      </w:pPr>
      <w:r>
        <w:rPr>
          <w:rFonts w:ascii="Arial" w:hAnsi="Arial"/>
          <w:b w:val="0"/>
          <w:i w:val="0"/>
          <w:color w:val="3B3838"/>
          <w:sz w:val="21"/>
        </w:rPr>
        <w:t>Central Induction Training Register</w:t>
      </w:r>
    </w:p>
    <w:p>
      <w:pPr>
        <w:spacing w:before="0" w:after="80" w:line="276" w:lineRule="auto"/>
        <w:ind w:left="720"/>
        <w:jc w:val="both"/>
      </w:pPr>
      <w:r>
        <w:rPr>
          <w:rFonts w:ascii="Arial" w:hAnsi="Arial"/>
          <w:b w:val="0"/>
          <w:i w:val="0"/>
          <w:color w:val="3B3838"/>
          <w:sz w:val="21"/>
        </w:rPr>
        <w:t>Induction Comprehension Assessment Questionnaire</w:t>
      </w:r>
    </w:p>
    <w:p>
      <w:pPr>
        <w:spacing w:before="0" w:after="80" w:line="276" w:lineRule="auto"/>
        <w:ind w:left="720"/>
        <w:jc w:val="both"/>
      </w:pPr>
      <w:r>
        <w:rPr>
          <w:rFonts w:ascii="Arial" w:hAnsi="Arial"/>
          <w:b w:val="0"/>
          <w:i w:val="0"/>
          <w:color w:val="3B3838"/>
          <w:sz w:val="21"/>
        </w:rPr>
        <w:t>Personnel HSE Induction Commitment Statement</w:t>
      </w:r>
    </w:p>
    <w:sectPr w:rsidR="00FC693F" w:rsidRPr="0006063C" w:rsidSect="00034616">
      <w:headerReference w:type="default" r:id="rId9"/>
      <w:footerReference w:type="default" r:id="rId10"/>
      <w:pgSz w:w="11909" w:h="16834"/>
      <w:pgMar w:top="1134" w:right="1134" w:bottom="1134" w:left="124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000000"/>
        <w:sz w:val="18"/>
      </w:rPr>
      <w:t xml:space="preserve">Page </w:t>
    </w:r>
    <w:fldSimple w:instr="PAGE"/>
    <w:r>
      <w:rPr>
        <w:rFonts w:ascii="Arial" w:hAnsi="Arial"/>
        <w:b/>
        <w:i w:val="0"/>
        <w:color w:val="00000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340"/>
      <w:gridCol w:w="2340"/>
      <w:gridCol w:w="2340"/>
      <w:gridCol w:w="2340"/>
    </w:tblGrid>
    <w:tr>
      <w:tc>
        <w:tcPr>
          <w:tcW w:type="dxa" w:w="2232"/>
          <w:vMerge w:val="restart"/>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drawing>
              <wp:inline xmlns:a="http://schemas.openxmlformats.org/drawingml/2006/main" xmlns:pic="http://schemas.openxmlformats.org/drawingml/2006/picture">
                <wp:extent cx="1051560" cy="499491"/>
                <wp:docPr id="1" name="Picture 1"/>
                <wp:cNvGraphicFramePr>
                  <a:graphicFrameLocks noChangeAspect="1"/>
                </wp:cNvGraphicFramePr>
                <a:graphic>
                  <a:graphicData uri="http://schemas.openxmlformats.org/drawingml/2006/picture">
                    <pic:pic>
                      <pic:nvPicPr>
                        <pic:cNvPr id="0" name="logo_header_hq.png"/>
                        <pic:cNvPicPr/>
                      </pic:nvPicPr>
                      <pic:blipFill>
                        <a:blip r:embed="rId1"/>
                        <a:stretch>
                          <a:fillRect/>
                        </a:stretch>
                      </pic:blipFill>
                      <pic:spPr>
                        <a:xfrm>
                          <a:off x="0" y="0"/>
                          <a:ext cx="1051560" cy="499491"/>
                        </a:xfrm>
                        <a:prstGeom prst="rect"/>
                      </pic:spPr>
                    </pic:pic>
                  </a:graphicData>
                </a:graphic>
              </wp:inline>
            </w:drawing>
          </w: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Integrated Management Systems</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Procedure</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20"/>
            </w:rPr>
            <w:t>PERSONNEL HSE INDUCTION PROCEDURE</w:t>
          </w:r>
        </w:p>
      </w:tc>
    </w:tr>
    <w:tr>
      <w:tc>
        <w:tcPr>
          <w:tcW w:type="dxa" w:w="2340"/>
          <w:vMerge/>
        </w:tcP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6"/>
            </w:rPr>
            <w:t>Revision: 0</w:t>
          </w:r>
        </w:p>
      </w:tc>
      <w:tc>
        <w:tcPr>
          <w:tcW w:type="dxa" w:w="3672"/>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6"/>
            </w:rPr>
            <w:t>Number: 0004-SOP-HSE-COO-X-2026</w:t>
          </w: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6"/>
            </w:rPr>
            <w:t>Revised: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