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20"/>
        <w:jc w:val="center"/>
      </w:pPr>
      <w:r>
        <w:drawing>
          <wp:inline xmlns:a="http://schemas.openxmlformats.org/drawingml/2006/main" xmlns:pic="http://schemas.openxmlformats.org/drawingml/2006/picture">
            <wp:extent cx="2926080" cy="652372"/>
            <wp:docPr id="1" name="Picture 1"/>
            <wp:cNvGraphicFramePr>
              <a:graphicFrameLocks noChangeAspect="1"/>
            </wp:cNvGraphicFramePr>
            <a:graphic>
              <a:graphicData uri="http://schemas.openxmlformats.org/drawingml/2006/picture">
                <pic:pic>
                  <pic:nvPicPr>
                    <pic:cNvPr id="0" name="logo_cover_hq.png"/>
                    <pic:cNvPicPr/>
                  </pic:nvPicPr>
                  <pic:blipFill>
                    <a:blip r:embed="rId11"/>
                    <a:stretch>
                      <a:fillRect/>
                    </a:stretch>
                  </pic:blipFill>
                  <pic:spPr>
                    <a:xfrm>
                      <a:off x="0" y="0"/>
                      <a:ext cx="2926080" cy="652372"/>
                    </a:xfrm>
                    <a:prstGeom prst="rect"/>
                  </pic:spPr>
                </pic:pic>
              </a:graphicData>
            </a:graphic>
          </wp:inline>
        </w:drawing>
      </w:r>
    </w:p>
    <w:p>
      <w:pPr>
        <w:spacing w:after="240"/>
      </w:pPr>
    </w:p>
    <w:p>
      <w:pPr>
        <w:spacing w:after="320"/>
        <w:jc w:val="center"/>
      </w:pPr>
      <w:r>
        <w:rPr>
          <w:rFonts w:ascii="Arial" w:hAnsi="Arial"/>
          <w:b/>
          <w:i w:val="0"/>
          <w:color w:val="000000"/>
          <w:sz w:val="36"/>
        </w:rPr>
        <w:t>PT Nirwana Bhumi Energy</w:t>
      </w:r>
    </w:p>
    <w:p>
      <w:pPr>
        <w:spacing w:after="160"/>
      </w:pPr>
    </w:p>
    <w:p>
      <w:pPr>
        <w:spacing w:after="120" w:line="288" w:lineRule="auto"/>
        <w:jc w:val="center"/>
      </w:pPr>
      <w:r>
        <w:rPr>
          <w:rFonts w:ascii="Arial" w:hAnsi="Arial"/>
          <w:b/>
          <w:i w:val="0"/>
          <w:color w:val="000000"/>
          <w:sz w:val="36"/>
        </w:rPr>
        <w:t>TRAINING AND COMPETENCY MANAGEMENT PROCEDURE</w:t>
      </w:r>
    </w:p>
    <w:p>
      <w:pPr>
        <w:spacing w:after="240"/>
      </w:pPr>
    </w:p>
    <w:p>
      <w:pPr>
        <w:spacing w:after="240"/>
      </w:pPr>
    </w:p>
    <w:p>
      <w:pPr>
        <w:spacing w:after="240"/>
      </w:pPr>
    </w:p>
    <w:p>
      <w:pPr>
        <w:spacing w:after="240"/>
      </w:pPr>
    </w:p>
    <w:p>
      <w:pPr>
        <w:spacing w:after="240"/>
      </w:pPr>
    </w:p>
    <w:tbl>
      <w:tblPr>
        <w:tblW w:type="auto" w:w="0"/>
        <w:jc w:val="left"/>
        <w:tblLook w:firstColumn="1" w:firstRow="1" w:lastColumn="0" w:lastRow="0" w:noHBand="0" w:noVBand="1" w:val="04A0"/>
        <w:tblInd w:w="4464" w:type="dxa"/>
        <w:tblBorders>
          <w:top w:val="none"/>
          <w:left w:val="none"/>
          <w:bottom w:val="none"/>
          <w:right w:val="none"/>
          <w:insideH w:val="none"/>
          <w:insideV w:val="none"/>
        </w:tblBorders>
      </w:tblPr>
      <w:tblGrid>
        <w:gridCol w:w="4764"/>
        <w:gridCol w:w="4764"/>
      </w:tblGrid>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Approved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Bima Satryo Hartanto</w:t>
              <w:br/>
              <w:t xml:space="preserve">   (President Director / CEO)</w:t>
            </w:r>
          </w:p>
        </w:tc>
      </w:tr>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Verified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Dennis Raditya (Director of</w:t>
              <w:br/>
              <w:t xml:space="preserve">   Operations &amp; Technology / CTO)</w:t>
            </w:r>
          </w:p>
        </w:tc>
      </w:tr>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Created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Abdul Qodir Al Jailani</w:t>
              <w:br/>
              <w:t xml:space="preserve">   (Commissioner / IMS Team Lead)</w:t>
            </w:r>
          </w:p>
        </w:tc>
      </w:tr>
    </w:tbl>
    <w:p>
      <w:r>
        <w:br w:type="page"/>
      </w:r>
    </w:p>
    <w:p>
      <w:pPr>
        <w:spacing w:before="320" w:after="280"/>
        <w:jc w:val="center"/>
      </w:pPr>
      <w:r>
        <w:rPr>
          <w:rFonts w:ascii="Arial" w:hAnsi="Arial"/>
          <w:b/>
          <w:i w:val="0"/>
          <w:color w:val="000000"/>
          <w:sz w:val="26"/>
        </w:rPr>
        <w:t>REVISION INDEX</w:t>
      </w:r>
    </w:p>
    <w:tbl>
      <w:tblPr>
        <w:tblW w:type="auto" w:w="0"/>
        <w:jc w:val="center"/>
        <w:tblLook w:firstColumn="1" w:firstRow="1" w:lastColumn="0" w:lastRow="0" w:noHBand="0" w:noVBand="1" w:val="04A0"/>
      </w:tblPr>
      <w:tblGrid>
        <w:gridCol w:w="2382"/>
        <w:gridCol w:w="2382"/>
        <w:gridCol w:w="2382"/>
        <w:gridCol w:w="2382"/>
      </w:tblGrid>
      <w:tr>
        <w:tc>
          <w:tcPr>
            <w:tcW w:type="dxa" w:w="1296"/>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Revision</w:t>
            </w:r>
          </w:p>
        </w:tc>
        <w:tc>
          <w:tcPr>
            <w:tcW w:type="dxa" w:w="1728"/>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Date</w:t>
            </w:r>
          </w:p>
        </w:tc>
        <w:tc>
          <w:tcPr>
            <w:tcW w:type="dxa" w:w="4320"/>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Description of Changes</w:t>
            </w:r>
          </w:p>
        </w:tc>
        <w:tc>
          <w:tcPr>
            <w:tcW w:type="dxa" w:w="2016"/>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Revised By</w:t>
            </w:r>
          </w:p>
        </w:tc>
      </w:tr>
      <w:t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0</w:t>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October 2026</w:t>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Initial Issue - Standard CSMS Procedure for PT Nirwana Bhumi Energy (0005-SOP-HRD-CFO-X-2026)</w:t>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IMS &amp; HSE Team</w:t>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bl>
    <w:p>
      <w:r>
        <w:br w:type="page"/>
      </w:r>
    </w:p>
    <w:p>
      <w:pPr>
        <w:spacing w:before="320" w:after="320"/>
        <w:jc w:val="center"/>
      </w:pPr>
      <w:r>
        <w:rPr>
          <w:rFonts w:ascii="Arial" w:hAnsi="Arial"/>
          <w:b/>
          <w:i w:val="0"/>
          <w:color w:val="000000"/>
          <w:sz w:val="26"/>
        </w:rPr>
        <w:t>TABLE OF CONTENTS</w:t>
      </w:r>
    </w:p>
    <w:p>
      <w:pPr>
        <w:spacing w:before="0" w:after="60"/>
        <w:ind w:left="720"/>
        <w:tabs>
          <w:tab w:val="left" w:pos="1080"/>
        </w:tabs>
      </w:pPr>
      <w:r>
        <w:rPr>
          <w:rFonts w:ascii="Arial" w:hAnsi="Arial"/>
          <w:b/>
          <w:i w:val="0"/>
          <w:color w:val="000000"/>
          <w:sz w:val="20"/>
        </w:rPr>
        <w:t>1.0</w:t>
        <w:tab/>
        <w:t>OBJECTIVE</w:t>
      </w:r>
    </w:p>
    <w:p>
      <w:pPr>
        <w:spacing w:before="0" w:after="60"/>
        <w:ind w:left="720"/>
        <w:tabs>
          <w:tab w:val="left" w:pos="1080"/>
        </w:tabs>
      </w:pPr>
      <w:r>
        <w:rPr>
          <w:rFonts w:ascii="Arial" w:hAnsi="Arial"/>
          <w:b/>
          <w:i w:val="0"/>
          <w:color w:val="000000"/>
          <w:sz w:val="20"/>
        </w:rPr>
        <w:t>2.0</w:t>
        <w:tab/>
        <w:t>SCOPE</w:t>
      </w:r>
    </w:p>
    <w:p>
      <w:pPr>
        <w:spacing w:before="0" w:after="60"/>
        <w:ind w:left="720"/>
        <w:tabs>
          <w:tab w:val="left" w:pos="1080"/>
        </w:tabs>
      </w:pPr>
      <w:r>
        <w:rPr>
          <w:rFonts w:ascii="Arial" w:hAnsi="Arial"/>
          <w:b/>
          <w:i w:val="0"/>
          <w:color w:val="000000"/>
          <w:sz w:val="20"/>
        </w:rPr>
        <w:t>3.0</w:t>
        <w:tab/>
        <w:t>DEFINITIONS &amp; ABBREVIATIONS</w:t>
      </w:r>
    </w:p>
    <w:p>
      <w:pPr>
        <w:spacing w:before="0" w:after="60"/>
        <w:ind w:left="720"/>
        <w:tabs>
          <w:tab w:val="left" w:pos="1080"/>
        </w:tabs>
      </w:pPr>
      <w:r>
        <w:rPr>
          <w:rFonts w:ascii="Arial" w:hAnsi="Arial"/>
          <w:b/>
          <w:i w:val="0"/>
          <w:color w:val="000000"/>
          <w:sz w:val="20"/>
        </w:rPr>
        <w:t>4.0</w:t>
        <w:tab/>
        <w:t>RESPONSIBILITIES</w:t>
      </w:r>
    </w:p>
    <w:p>
      <w:pPr>
        <w:spacing w:before="0" w:after="60"/>
        <w:ind w:left="720"/>
        <w:tabs>
          <w:tab w:val="left" w:pos="1080"/>
        </w:tabs>
      </w:pPr>
      <w:r>
        <w:rPr>
          <w:rFonts w:ascii="Arial" w:hAnsi="Arial"/>
          <w:b/>
          <w:i w:val="0"/>
          <w:color w:val="000000"/>
          <w:sz w:val="20"/>
        </w:rPr>
        <w:t>5.0</w:t>
        <w:tab/>
        <w:t>PROCEDURE STEPS</w:t>
      </w:r>
    </w:p>
    <w:p>
      <w:pPr>
        <w:spacing w:before="0" w:after="60"/>
        <w:ind w:left="720"/>
        <w:tabs>
          <w:tab w:val="left" w:pos="1080"/>
        </w:tabs>
      </w:pPr>
      <w:r>
        <w:rPr>
          <w:rFonts w:ascii="Arial" w:hAnsi="Arial"/>
          <w:b/>
          <w:i w:val="0"/>
          <w:color w:val="000000"/>
          <w:sz w:val="20"/>
        </w:rPr>
        <w:t>6.0</w:t>
        <w:tab/>
        <w:t>PERFORMANCE INDICATORS &amp; AUDIT</w:t>
      </w:r>
    </w:p>
    <w:p>
      <w:pPr>
        <w:spacing w:before="0" w:after="60"/>
        <w:ind w:left="720"/>
        <w:tabs>
          <w:tab w:val="left" w:pos="1080"/>
        </w:tabs>
      </w:pPr>
      <w:r>
        <w:rPr>
          <w:rFonts w:ascii="Arial" w:hAnsi="Arial"/>
          <w:b/>
          <w:i w:val="0"/>
          <w:color w:val="000000"/>
          <w:sz w:val="20"/>
        </w:rPr>
        <w:t>7.0</w:t>
        <w:tab/>
        <w:t>REFERENCED DOCUMENTS</w:t>
      </w:r>
    </w:p>
    <w:p>
      <w:pPr>
        <w:spacing w:before="0" w:after="60"/>
        <w:ind w:left="720"/>
        <w:tabs>
          <w:tab w:val="left" w:pos="1080"/>
        </w:tabs>
      </w:pPr>
      <w:r>
        <w:rPr>
          <w:rFonts w:ascii="Arial" w:hAnsi="Arial"/>
          <w:b/>
          <w:i w:val="0"/>
          <w:color w:val="000000"/>
          <w:sz w:val="20"/>
        </w:rPr>
        <w:t>8.0</w:t>
        <w:tab/>
        <w:t>ATTACHMENTS &amp; ASSOCIATED FORMS</w:t>
      </w:r>
    </w:p>
    <w:p>
      <w:r>
        <w:br w:type="page"/>
      </w:r>
    </w:p>
    <w:p>
      <w:pPr>
        <w:spacing w:before="240" w:after="80" w:line="276" w:lineRule="auto"/>
        <w:ind w:left="0"/>
        <w:tabs>
          <w:tab w:val="left" w:pos="720"/>
        </w:tabs>
      </w:pPr>
      <w:r>
        <w:rPr>
          <w:rFonts w:ascii="Arial" w:hAnsi="Arial"/>
          <w:b/>
          <w:i w:val="0"/>
          <w:color w:val="000000"/>
          <w:sz w:val="26"/>
        </w:rPr>
        <w:t>1.0</w:t>
        <w:tab/>
        <w:t>OBJECTIVE</w:t>
      </w:r>
    </w:p>
    <w:p>
      <w:pPr>
        <w:spacing w:before="0" w:after="80" w:line="276" w:lineRule="auto"/>
        <w:ind w:left="720"/>
        <w:jc w:val="both"/>
      </w:pPr>
      <w:r>
        <w:rPr>
          <w:rFonts w:ascii="Arial" w:hAnsi="Arial"/>
          <w:b w:val="0"/>
          <w:i w:val="0"/>
          <w:color w:val="3B3838"/>
          <w:sz w:val="21"/>
        </w:rPr>
        <w:t>The objective of this procedure is to establish a systematic, comprehensive framework for identifying employee competence requirements, performing training needs analyses, planning and executing professional development programs, and verifying operational competence across PT Nirwana Bhumi Energy.</w:t>
      </w:r>
    </w:p>
    <w:p>
      <w:pPr>
        <w:spacing w:before="0" w:after="80" w:line="276" w:lineRule="auto"/>
        <w:ind w:left="720"/>
        <w:jc w:val="both"/>
      </w:pPr>
      <w:r>
        <w:rPr>
          <w:rFonts w:ascii="Arial" w:hAnsi="Arial"/>
          <w:b w:val="0"/>
          <w:i w:val="0"/>
          <w:color w:val="3B3838"/>
          <w:sz w:val="21"/>
        </w:rPr>
        <w:t>Specifically, this procedure guarantees that:</w:t>
      </w:r>
    </w:p>
    <w:p>
      <w:pPr>
        <w:pStyle w:val="ListParagraph"/>
        <w:spacing w:before="0" w:after="40" w:line="276" w:lineRule="auto"/>
        <w:jc w:val="both"/>
        <w:numPr>
          <w:ilvl w:val="0"/>
          <w:numId w:val="2"/>
        </w:numPr>
        <w:ind w:left="1134"/>
      </w:pPr>
      <w:r>
        <w:rPr>
          <w:rFonts w:ascii="Arial" w:hAnsi="Arial"/>
          <w:b w:val="0"/>
          <w:i w:val="0"/>
          <w:color w:val="3B3838"/>
          <w:sz w:val="21"/>
        </w:rPr>
        <w:t>All personnel performing work affecting product conformity, quality, environmental impact, or occupational safety are fully competent based on appropriate education, training, skills, and experience.</w:t>
      </w:r>
    </w:p>
    <w:p>
      <w:pPr>
        <w:pStyle w:val="ListParagraph"/>
        <w:spacing w:before="0" w:after="40" w:line="276" w:lineRule="auto"/>
        <w:jc w:val="both"/>
        <w:numPr>
          <w:ilvl w:val="0"/>
          <w:numId w:val="2"/>
        </w:numPr>
        <w:ind w:left="1134"/>
      </w:pPr>
      <w:r>
        <w:rPr>
          <w:rFonts w:ascii="Arial" w:hAnsi="Arial"/>
          <w:b w:val="0"/>
          <w:i w:val="0"/>
          <w:color w:val="3B3838"/>
          <w:sz w:val="21"/>
        </w:rPr>
        <w:t>Statutory certification mandates (including Kemnaker SIO licenses, MIGAS certifications, and BNSP national standards) are systematically tracked and maintained without lapse.</w:t>
      </w:r>
    </w:p>
    <w:p>
      <w:pPr>
        <w:pStyle w:val="ListParagraph"/>
        <w:spacing w:before="0" w:after="40" w:line="276" w:lineRule="auto"/>
        <w:jc w:val="both"/>
        <w:numPr>
          <w:ilvl w:val="0"/>
          <w:numId w:val="2"/>
        </w:numPr>
        <w:ind w:left="1134"/>
      </w:pPr>
      <w:r>
        <w:rPr>
          <w:rFonts w:ascii="Arial" w:hAnsi="Arial"/>
          <w:b w:val="0"/>
          <w:i w:val="0"/>
          <w:color w:val="3B3838"/>
          <w:sz w:val="21"/>
        </w:rPr>
        <w:t>Full conformity is achieved with ISO 9001:2015, ISO 14001:2015, ISO 45001:2018 (Clause 7.2 Competence), and energy industry CSMS standards.</w:t>
      </w:r>
    </w:p>
    <w:p>
      <w:pPr>
        <w:spacing w:before="240" w:after="80" w:line="276" w:lineRule="auto"/>
        <w:ind w:left="0"/>
        <w:tabs>
          <w:tab w:val="left" w:pos="720"/>
        </w:tabs>
      </w:pPr>
      <w:r>
        <w:rPr>
          <w:rFonts w:ascii="Arial" w:hAnsi="Arial"/>
          <w:b/>
          <w:i w:val="0"/>
          <w:color w:val="000000"/>
          <w:sz w:val="26"/>
        </w:rPr>
        <w:t>2.0</w:t>
        <w:tab/>
        <w:t>SCOPE</w:t>
      </w:r>
    </w:p>
    <w:p>
      <w:pPr>
        <w:spacing w:before="0" w:after="80" w:line="276" w:lineRule="auto"/>
        <w:ind w:left="720"/>
        <w:jc w:val="both"/>
      </w:pPr>
      <w:r>
        <w:rPr>
          <w:rFonts w:ascii="Arial" w:hAnsi="Arial"/>
          <w:b w:val="0"/>
          <w:i w:val="0"/>
          <w:color w:val="3B3838"/>
          <w:sz w:val="21"/>
        </w:rPr>
        <w:t>This procedure applies to all permanent staff, contract employees, technical specialists, and supervisory leadership across all operating units of PT Nirwana Bhumi Energy.</w:t>
      </w:r>
    </w:p>
    <w:p>
      <w:pPr>
        <w:spacing w:before="0" w:after="80" w:line="276" w:lineRule="auto"/>
        <w:ind w:left="720"/>
        <w:jc w:val="both"/>
      </w:pPr>
      <w:r>
        <w:rPr>
          <w:rFonts w:ascii="Arial" w:hAnsi="Arial"/>
          <w:b w:val="0"/>
          <w:i w:val="0"/>
          <w:color w:val="3B3838"/>
          <w:sz w:val="21"/>
        </w:rPr>
        <w:t>The training scope covers:</w:t>
      </w:r>
    </w:p>
    <w:p>
      <w:pPr>
        <w:pStyle w:val="ListParagraph"/>
        <w:spacing w:before="0" w:after="40" w:line="276" w:lineRule="auto"/>
        <w:jc w:val="both"/>
        <w:numPr>
          <w:ilvl w:val="0"/>
          <w:numId w:val="2"/>
        </w:numPr>
        <w:ind w:left="1134"/>
      </w:pPr>
      <w:r>
        <w:rPr>
          <w:rFonts w:ascii="Arial" w:hAnsi="Arial"/>
          <w:b w:val="0"/>
          <w:i w:val="0"/>
          <w:color w:val="3B3838"/>
          <w:sz w:val="21"/>
        </w:rPr>
        <w:t>Mandatory Regulatory &amp; Safety Training (e.g., First Aid, Fire Fighting, Rigging/Slinging, Confined Space, Scaffolding, Working at Heights, Chemical Handling).</w:t>
      </w:r>
    </w:p>
    <w:p>
      <w:pPr>
        <w:pStyle w:val="ListParagraph"/>
        <w:spacing w:before="0" w:after="40" w:line="276" w:lineRule="auto"/>
        <w:jc w:val="both"/>
        <w:numPr>
          <w:ilvl w:val="0"/>
          <w:numId w:val="2"/>
        </w:numPr>
        <w:ind w:left="1134"/>
      </w:pPr>
      <w:r>
        <w:rPr>
          <w:rFonts w:ascii="Arial" w:hAnsi="Arial"/>
          <w:b w:val="0"/>
          <w:i w:val="0"/>
          <w:color w:val="3B3838"/>
          <w:sz w:val="21"/>
        </w:rPr>
        <w:t>Technical &amp; Operational Competency Development (e.g., Welding Inspection, Non-Destructive Testing, Equipment Maintenance, Project Engineering).</w:t>
      </w:r>
    </w:p>
    <w:p>
      <w:pPr>
        <w:pStyle w:val="ListParagraph"/>
        <w:spacing w:before="0" w:after="40" w:line="276" w:lineRule="auto"/>
        <w:jc w:val="both"/>
        <w:numPr>
          <w:ilvl w:val="0"/>
          <w:numId w:val="2"/>
        </w:numPr>
        <w:ind w:left="1134"/>
      </w:pPr>
      <w:r>
        <w:rPr>
          <w:rFonts w:ascii="Arial" w:hAnsi="Arial"/>
          <w:b w:val="0"/>
          <w:i w:val="0"/>
          <w:color w:val="3B3838"/>
          <w:sz w:val="21"/>
        </w:rPr>
        <w:t>Management Systems &amp; Professional Development (e.g., ISO Internal Auditor, Lead Auditor, Root Cause Analysis, Finance and Tax Compliance).</w:t>
      </w:r>
    </w:p>
    <w:p>
      <w:pPr>
        <w:spacing w:before="240" w:after="80" w:line="276" w:lineRule="auto"/>
        <w:ind w:left="0"/>
        <w:tabs>
          <w:tab w:val="left" w:pos="720"/>
        </w:tabs>
      </w:pPr>
      <w:r>
        <w:rPr>
          <w:rFonts w:ascii="Arial" w:hAnsi="Arial"/>
          <w:b/>
          <w:i w:val="0"/>
          <w:color w:val="000000"/>
          <w:sz w:val="26"/>
        </w:rPr>
        <w:t>3.0</w:t>
        <w:tab/>
        <w:t>DEFINITIONS &amp; ABBREVIATIONS</w:t>
      </w:r>
    </w:p>
    <w:p>
      <w:pPr>
        <w:spacing w:before="0" w:after="80" w:line="276" w:lineRule="auto"/>
        <w:ind w:left="720"/>
        <w:jc w:val="both"/>
      </w:pPr>
      <w:r>
        <w:rPr>
          <w:rFonts w:ascii="Arial" w:hAnsi="Arial"/>
          <w:b w:val="0"/>
          <w:i w:val="0"/>
          <w:color w:val="3B3838"/>
          <w:sz w:val="21"/>
        </w:rPr>
        <w:t>Competence: The demonstrated ability to apply knowledge, skills, and personal attributes to achieve intended results safely and effectively.</w:t>
      </w:r>
    </w:p>
    <w:p>
      <w:pPr>
        <w:spacing w:before="0" w:after="80" w:line="276" w:lineRule="auto"/>
        <w:ind w:left="720"/>
        <w:jc w:val="both"/>
      </w:pPr>
      <w:r>
        <w:rPr>
          <w:rFonts w:ascii="Arial" w:hAnsi="Arial"/>
          <w:b w:val="0"/>
          <w:i w:val="0"/>
          <w:color w:val="3B3838"/>
          <w:sz w:val="21"/>
        </w:rPr>
        <w:t>Training Needs Analysis (TNA): The systematic process of identifying gaps between the required job competence profile and an employee's existing capabilities.</w:t>
      </w:r>
    </w:p>
    <w:p>
      <w:pPr>
        <w:spacing w:before="0" w:after="80" w:line="276" w:lineRule="auto"/>
        <w:ind w:left="720"/>
        <w:jc w:val="both"/>
      </w:pPr>
      <w:r>
        <w:rPr>
          <w:rFonts w:ascii="Arial" w:hAnsi="Arial"/>
          <w:b w:val="0"/>
          <w:i w:val="0"/>
          <w:color w:val="3B3838"/>
          <w:sz w:val="21"/>
        </w:rPr>
        <w:t>Annual Corporate Training Plan: The approved formal schedule and budgetary allocation detailing planned internal and external training courses for the calendar year.</w:t>
      </w:r>
    </w:p>
    <w:p>
      <w:pPr>
        <w:spacing w:before="0" w:after="80" w:line="276" w:lineRule="auto"/>
        <w:ind w:left="720"/>
        <w:jc w:val="both"/>
      </w:pPr>
      <w:r>
        <w:rPr>
          <w:rFonts w:ascii="Arial" w:hAnsi="Arial"/>
          <w:b w:val="0"/>
          <w:i w:val="0"/>
          <w:color w:val="3B3838"/>
          <w:sz w:val="21"/>
        </w:rPr>
        <w:t>SIO (Surat Ijin Operator): Statutory operator license issued by the Ministry of Manpower certifying competence to operate heavy lifting equipment, boilers, or mobile plants.</w:t>
      </w:r>
    </w:p>
    <w:p>
      <w:pPr>
        <w:spacing w:before="0" w:after="80" w:line="276" w:lineRule="auto"/>
        <w:ind w:left="720"/>
        <w:jc w:val="both"/>
      </w:pPr>
      <w:r>
        <w:rPr>
          <w:rFonts w:ascii="Arial" w:hAnsi="Arial"/>
          <w:b w:val="0"/>
          <w:i w:val="0"/>
          <w:color w:val="3B3838"/>
          <w:sz w:val="21"/>
        </w:rPr>
        <w:t>Post-Training Evaluation: A formal assessment conducted 30 to 90 days after training completion to determine on-the-job application and behavioral improvement.</w:t>
      </w:r>
    </w:p>
    <w:p>
      <w:pPr>
        <w:spacing w:before="240" w:after="80" w:line="276" w:lineRule="auto"/>
        <w:ind w:left="0"/>
        <w:tabs>
          <w:tab w:val="left" w:pos="720"/>
        </w:tabs>
      </w:pPr>
      <w:r>
        <w:rPr>
          <w:rFonts w:ascii="Arial" w:hAnsi="Arial"/>
          <w:b/>
          <w:i w:val="0"/>
          <w:color w:val="000000"/>
          <w:sz w:val="26"/>
        </w:rPr>
        <w:t>4.0</w:t>
        <w:tab/>
        <w:t>RESPONSIBILITIES</w:t>
      </w:r>
    </w:p>
    <w:p>
      <w:pPr>
        <w:spacing w:before="0" w:after="80" w:line="276" w:lineRule="auto"/>
        <w:ind w:left="720"/>
        <w:jc w:val="both"/>
      </w:pPr>
      <w:r>
        <w:rPr>
          <w:rFonts w:ascii="Arial" w:hAnsi="Arial"/>
          <w:b w:val="0"/>
          <w:i w:val="0"/>
          <w:color w:val="3B3838"/>
          <w:sz w:val="21"/>
        </w:rPr>
        <w:t>Director of Finance &amp; Human Resources / CFO: Maintains executive oversight of corporate training budgets, authorizes external training vendor contracts, and enforces HR competency policies.</w:t>
      </w:r>
    </w:p>
    <w:p>
      <w:pPr>
        <w:spacing w:before="0" w:after="80" w:line="276" w:lineRule="auto"/>
        <w:ind w:left="720"/>
        <w:jc w:val="both"/>
      </w:pPr>
      <w:r>
        <w:rPr>
          <w:rFonts w:ascii="Arial" w:hAnsi="Arial"/>
          <w:b w:val="0"/>
          <w:i w:val="0"/>
          <w:color w:val="3B3838"/>
          <w:sz w:val="21"/>
        </w:rPr>
        <w:t>Director of Operations &amp; Technology / CTO: Defines technical, engineering, and equipment operational competence criteria for workshop and field personnel.</w:t>
      </w:r>
    </w:p>
    <w:p>
      <w:pPr>
        <w:spacing w:before="0" w:after="80" w:line="276" w:lineRule="auto"/>
        <w:ind w:left="720"/>
        <w:jc w:val="both"/>
      </w:pPr>
      <w:r>
        <w:rPr>
          <w:rFonts w:ascii="Arial" w:hAnsi="Arial"/>
          <w:b w:val="0"/>
          <w:i w:val="0"/>
          <w:color w:val="3B3838"/>
          <w:sz w:val="21"/>
        </w:rPr>
        <w:t>HR &amp; Training Coordinator: Administers the annual TNA process, develops the Corporate Training Plan, schedules courses, maintains employee training dossiers, and oversees license renewals.</w:t>
      </w:r>
    </w:p>
    <w:p>
      <w:pPr>
        <w:spacing w:before="0" w:after="80" w:line="276" w:lineRule="auto"/>
        <w:ind w:left="720"/>
        <w:jc w:val="both"/>
      </w:pPr>
      <w:r>
        <w:rPr>
          <w:rFonts w:ascii="Arial" w:hAnsi="Arial"/>
          <w:b w:val="0"/>
          <w:i w:val="0"/>
          <w:color w:val="3B3838"/>
          <w:sz w:val="21"/>
        </w:rPr>
        <w:t>Department Managers / Function Leads: Assess employee competency gaps, recommend relevant developmental programs, and ensure scheduled staff attend courses without operational disruption.</w:t>
      </w:r>
    </w:p>
    <w:p>
      <w:pPr>
        <w:spacing w:before="0" w:after="80" w:line="276" w:lineRule="auto"/>
        <w:ind w:left="720"/>
        <w:jc w:val="both"/>
      </w:pPr>
      <w:r>
        <w:rPr>
          <w:rFonts w:ascii="Arial" w:hAnsi="Arial"/>
          <w:b w:val="0"/>
          <w:i w:val="0"/>
          <w:color w:val="3B3838"/>
          <w:sz w:val="21"/>
        </w:rPr>
        <w:t>All Employees: Attend assigned training courses diligently, complete testing assessments, and apply acquired competencies in their daily work.</w:t>
      </w:r>
    </w:p>
    <w:p>
      <w:pPr>
        <w:spacing w:before="240" w:after="80" w:line="276" w:lineRule="auto"/>
        <w:ind w:left="0"/>
        <w:tabs>
          <w:tab w:val="left" w:pos="720"/>
        </w:tabs>
      </w:pPr>
      <w:r>
        <w:rPr>
          <w:rFonts w:ascii="Arial" w:hAnsi="Arial"/>
          <w:b/>
          <w:i w:val="0"/>
          <w:color w:val="000000"/>
          <w:sz w:val="26"/>
        </w:rPr>
        <w:t>5.0</w:t>
        <w:tab/>
        <w:t>PROCEDURE STEPS</w:t>
      </w:r>
    </w:p>
    <w:p>
      <w:pPr>
        <w:spacing w:before="160" w:after="60" w:line="276" w:lineRule="auto"/>
        <w:ind w:left="0"/>
        <w:tabs>
          <w:tab w:val="left" w:pos="720"/>
        </w:tabs>
      </w:pPr>
      <w:r>
        <w:rPr>
          <w:rFonts w:ascii="Arial" w:hAnsi="Arial"/>
          <w:b/>
          <w:i w:val="0"/>
          <w:color w:val="000000"/>
          <w:sz w:val="22"/>
        </w:rPr>
        <w:t>5.1</w:t>
        <w:tab/>
        <w:t>Training Needs Analysis (TNA)</w:t>
      </w:r>
    </w:p>
    <w:p>
      <w:pPr>
        <w:spacing w:before="0" w:after="80" w:line="276" w:lineRule="auto"/>
        <w:ind w:left="720"/>
        <w:jc w:val="both"/>
      </w:pPr>
      <w:r>
        <w:rPr>
          <w:rFonts w:ascii="Arial" w:hAnsi="Arial"/>
          <w:b w:val="0"/>
          <w:i w:val="0"/>
          <w:color w:val="3B3838"/>
          <w:sz w:val="21"/>
        </w:rPr>
        <w:t>In the fourth quarter (Q4) of each calendar year, Department Leads shall conduct a formal Training Needs Analysis (TNA) for all personnel within their reporting structure.</w:t>
      </w:r>
    </w:p>
    <w:p>
      <w:pPr>
        <w:spacing w:before="0" w:after="80" w:line="276" w:lineRule="auto"/>
        <w:ind w:left="720"/>
        <w:jc w:val="both"/>
      </w:pPr>
      <w:r>
        <w:rPr>
          <w:rFonts w:ascii="Arial" w:hAnsi="Arial"/>
          <w:b w:val="0"/>
          <w:i w:val="0"/>
          <w:color w:val="3B3838"/>
          <w:sz w:val="21"/>
        </w:rPr>
        <w:t>The TNA evaluates competency requirements against Job Descriptions, recent internal/external audit findings, statutory regulatory updates, equipment modernization, customer feedback, and employee annual performance appraisals.</w:t>
      </w:r>
    </w:p>
    <w:p>
      <w:pPr>
        <w:spacing w:before="160" w:after="60" w:line="276" w:lineRule="auto"/>
        <w:ind w:left="0"/>
        <w:tabs>
          <w:tab w:val="left" w:pos="720"/>
        </w:tabs>
      </w:pPr>
      <w:r>
        <w:rPr>
          <w:rFonts w:ascii="Arial" w:hAnsi="Arial"/>
          <w:b/>
          <w:i w:val="0"/>
          <w:color w:val="000000"/>
          <w:sz w:val="22"/>
        </w:rPr>
        <w:t>5.2</w:t>
        <w:tab/>
        <w:t>Formulation of Annual Training Plan &amp; Budget Approval</w:t>
      </w:r>
    </w:p>
    <w:p>
      <w:pPr>
        <w:spacing w:before="0" w:after="80" w:line="276" w:lineRule="auto"/>
        <w:ind w:left="720"/>
        <w:jc w:val="both"/>
      </w:pPr>
      <w:r>
        <w:rPr>
          <w:rFonts w:ascii="Arial" w:hAnsi="Arial"/>
          <w:b w:val="0"/>
          <w:i w:val="0"/>
          <w:color w:val="3B3838"/>
          <w:sz w:val="21"/>
        </w:rPr>
        <w:t>The HR &amp; Training Coordinator shall consolidate divisional TNA submissions into the Master Annual Corporate Training Plan. The plan establishes course descriptions, target audiences, training methodologies (internal workshop vs. external certification), and projected costs.</w:t>
      </w:r>
    </w:p>
    <w:p>
      <w:pPr>
        <w:spacing w:before="0" w:after="80" w:line="276" w:lineRule="auto"/>
        <w:ind w:left="720"/>
        <w:jc w:val="both"/>
      </w:pPr>
      <w:r>
        <w:rPr>
          <w:rFonts w:ascii="Arial" w:hAnsi="Arial"/>
          <w:b w:val="0"/>
          <w:i w:val="0"/>
          <w:color w:val="3B3838"/>
          <w:sz w:val="21"/>
        </w:rPr>
        <w:t>The Annual Training Plan shall be reviewed by the Management Representative and formally authorized by the Director of Finance &amp; Human Resources (CFO) and President Director (CEO).</w:t>
      </w:r>
    </w:p>
    <w:p>
      <w:pPr>
        <w:spacing w:before="160" w:after="60" w:line="276" w:lineRule="auto"/>
        <w:ind w:left="0"/>
        <w:tabs>
          <w:tab w:val="left" w:pos="720"/>
        </w:tabs>
      </w:pPr>
      <w:r>
        <w:rPr>
          <w:rFonts w:ascii="Arial" w:hAnsi="Arial"/>
          <w:b/>
          <w:i w:val="0"/>
          <w:color w:val="000000"/>
          <w:sz w:val="22"/>
        </w:rPr>
        <w:t>5.3</w:t>
        <w:tab/>
        <w:t>Training Execution and Provider Selection</w:t>
      </w:r>
    </w:p>
    <w:p>
      <w:pPr>
        <w:spacing w:before="0" w:after="80" w:line="276" w:lineRule="auto"/>
        <w:ind w:left="720"/>
        <w:jc w:val="both"/>
      </w:pPr>
      <w:r>
        <w:rPr>
          <w:rFonts w:ascii="Arial" w:hAnsi="Arial"/>
          <w:b w:val="0"/>
          <w:i w:val="0"/>
          <w:color w:val="3B3838"/>
          <w:sz w:val="21"/>
        </w:rPr>
        <w:t>External training organizations shall be evaluated against criteria including government accreditation (Kemnaker, BNSP, or international bodies), instructor credentials, and facility adequacy.</w:t>
      </w:r>
    </w:p>
    <w:p>
      <w:pPr>
        <w:spacing w:before="0" w:after="80" w:line="276" w:lineRule="auto"/>
        <w:ind w:left="720"/>
        <w:jc w:val="both"/>
      </w:pPr>
      <w:r>
        <w:rPr>
          <w:rFonts w:ascii="Arial" w:hAnsi="Arial"/>
          <w:b w:val="0"/>
          <w:i w:val="0"/>
          <w:color w:val="3B3838"/>
          <w:sz w:val="21"/>
        </w:rPr>
        <w:t>For internal courses, qualified company subject-matter experts shall deliver structured training utilizing approved lesson plans, practical exercises, and standardized assessment rubrics.</w:t>
      </w:r>
    </w:p>
    <w:p>
      <w:pPr>
        <w:spacing w:before="160" w:after="60" w:line="276" w:lineRule="auto"/>
        <w:ind w:left="0"/>
        <w:tabs>
          <w:tab w:val="left" w:pos="720"/>
        </w:tabs>
      </w:pPr>
      <w:r>
        <w:rPr>
          <w:rFonts w:ascii="Arial" w:hAnsi="Arial"/>
          <w:b/>
          <w:i w:val="0"/>
          <w:color w:val="000000"/>
          <w:sz w:val="22"/>
        </w:rPr>
        <w:t>5.4</w:t>
        <w:tab/>
        <w:t>Multi-Level Training Effectiveness Evaluation</w:t>
      </w:r>
    </w:p>
    <w:p>
      <w:pPr>
        <w:spacing w:before="0" w:after="80" w:line="276" w:lineRule="auto"/>
        <w:ind w:left="720"/>
        <w:jc w:val="both"/>
      </w:pPr>
      <w:r>
        <w:rPr>
          <w:rFonts w:ascii="Arial" w:hAnsi="Arial"/>
          <w:b w:val="0"/>
          <w:i w:val="0"/>
          <w:color w:val="3B3838"/>
          <w:sz w:val="21"/>
        </w:rPr>
        <w:t>Training effectiveness shall be assessed utilizing the Kirkpatrick four-level evaluation framework:</w:t>
      </w:r>
    </w:p>
    <w:p>
      <w:pPr>
        <w:pStyle w:val="ListParagraph"/>
        <w:spacing w:before="0" w:after="40" w:line="276" w:lineRule="auto"/>
        <w:jc w:val="both"/>
        <w:numPr>
          <w:ilvl w:val="0"/>
          <w:numId w:val="2"/>
        </w:numPr>
        <w:ind w:left="1134"/>
      </w:pPr>
      <w:r>
        <w:rPr>
          <w:rFonts w:ascii="Arial" w:hAnsi="Arial"/>
          <w:b w:val="0"/>
          <w:i w:val="0"/>
          <w:color w:val="3B3838"/>
          <w:sz w:val="21"/>
        </w:rPr>
        <w:t>Level 1: Participant Reaction — Evaluated immediately upon course completion via course feedback questionnaires.</w:t>
      </w:r>
    </w:p>
    <w:p>
      <w:pPr>
        <w:pStyle w:val="ListParagraph"/>
        <w:spacing w:before="0" w:after="40" w:line="276" w:lineRule="auto"/>
        <w:jc w:val="both"/>
        <w:numPr>
          <w:ilvl w:val="0"/>
          <w:numId w:val="2"/>
        </w:numPr>
        <w:ind w:left="1134"/>
      </w:pPr>
      <w:r>
        <w:rPr>
          <w:rFonts w:ascii="Arial" w:hAnsi="Arial"/>
          <w:b w:val="0"/>
          <w:i w:val="0"/>
          <w:color w:val="3B3838"/>
          <w:sz w:val="21"/>
        </w:rPr>
        <w:t>Level 2: Learning Acquisition — Evaluated through written post-course examinations or practical demonstrations (minimum passing score 75%).</w:t>
      </w:r>
    </w:p>
    <w:p>
      <w:pPr>
        <w:pStyle w:val="ListParagraph"/>
        <w:spacing w:before="0" w:after="40" w:line="276" w:lineRule="auto"/>
        <w:jc w:val="both"/>
        <w:numPr>
          <w:ilvl w:val="0"/>
          <w:numId w:val="2"/>
        </w:numPr>
        <w:ind w:left="1134"/>
      </w:pPr>
      <w:r>
        <w:rPr>
          <w:rFonts w:ascii="Arial" w:hAnsi="Arial"/>
          <w:b w:val="0"/>
          <w:i w:val="0"/>
          <w:color w:val="3B3838"/>
          <w:sz w:val="21"/>
        </w:rPr>
        <w:t>Level 3: Behavioral Application — Evaluated sixty (60) to ninety (90) days post-training by the employee's direct supervisor to measure measurable performance improvements.</w:t>
      </w:r>
    </w:p>
    <w:p>
      <w:pPr>
        <w:pStyle w:val="ListParagraph"/>
        <w:spacing w:before="0" w:after="40" w:line="276" w:lineRule="auto"/>
        <w:jc w:val="both"/>
        <w:numPr>
          <w:ilvl w:val="0"/>
          <w:numId w:val="2"/>
        </w:numPr>
        <w:ind w:left="1134"/>
      </w:pPr>
      <w:r>
        <w:rPr>
          <w:rFonts w:ascii="Arial" w:hAnsi="Arial"/>
          <w:b w:val="0"/>
          <w:i w:val="0"/>
          <w:color w:val="3B3838"/>
          <w:sz w:val="21"/>
        </w:rPr>
        <w:t>Level 4: Business Impact — Monitored via annual departmental KPIs, reduction in operational error rates, and zero safety non-conformances.</w:t>
      </w:r>
    </w:p>
    <w:p>
      <w:pPr>
        <w:spacing w:before="160" w:after="60" w:line="276" w:lineRule="auto"/>
        <w:ind w:left="0"/>
        <w:tabs>
          <w:tab w:val="left" w:pos="720"/>
        </w:tabs>
      </w:pPr>
      <w:r>
        <w:rPr>
          <w:rFonts w:ascii="Arial" w:hAnsi="Arial"/>
          <w:b/>
          <w:i w:val="0"/>
          <w:color w:val="000000"/>
          <w:sz w:val="22"/>
        </w:rPr>
        <w:t>5.5</w:t>
        <w:tab/>
        <w:t>Competency Dossiers and Statutory License Tracking</w:t>
      </w:r>
    </w:p>
    <w:p>
      <w:pPr>
        <w:spacing w:before="0" w:after="80" w:line="276" w:lineRule="auto"/>
        <w:ind w:left="720"/>
        <w:jc w:val="both"/>
      </w:pPr>
      <w:r>
        <w:rPr>
          <w:rFonts w:ascii="Arial" w:hAnsi="Arial"/>
          <w:b w:val="0"/>
          <w:i w:val="0"/>
          <w:color w:val="3B3838"/>
          <w:sz w:val="21"/>
        </w:rPr>
        <w:t>The HR Department shall maintain an individual, confidential Training and Competency Dossier for every employee, containing certified copies of diplomas, certificates, licenses, and performance reviews.</w:t>
      </w:r>
    </w:p>
    <w:p>
      <w:pPr>
        <w:spacing w:before="0" w:after="80" w:line="276" w:lineRule="auto"/>
        <w:ind w:left="720"/>
        <w:jc w:val="both"/>
      </w:pPr>
      <w:r>
        <w:rPr>
          <w:rFonts w:ascii="Arial" w:hAnsi="Arial"/>
          <w:b w:val="0"/>
          <w:i w:val="0"/>
          <w:color w:val="3B3838"/>
          <w:sz w:val="21"/>
        </w:rPr>
        <w:t>The HR Coordinator shall maintain an automated Digital Certification Tracking Matrix to monitor expiration dates for statutory licenses (e.g., SIO Crane, SIO Forklift, Scaffolder, Radiographer, First Aider), initiating renewal procedures at least sixty (60) days prior to expiration.</w:t>
      </w:r>
    </w:p>
    <w:p>
      <w:pPr>
        <w:spacing w:before="240" w:after="80" w:line="276" w:lineRule="auto"/>
        <w:ind w:left="0"/>
        <w:tabs>
          <w:tab w:val="left" w:pos="720"/>
        </w:tabs>
      </w:pPr>
      <w:r>
        <w:rPr>
          <w:rFonts w:ascii="Arial" w:hAnsi="Arial"/>
          <w:b/>
          <w:i w:val="0"/>
          <w:color w:val="000000"/>
          <w:sz w:val="26"/>
        </w:rPr>
        <w:t>6.0</w:t>
        <w:tab/>
        <w:t>PERFORMANCE INDICATORS &amp; AUDIT</w:t>
      </w:r>
    </w:p>
    <w:p>
      <w:pPr>
        <w:spacing w:before="0" w:after="80" w:line="276" w:lineRule="auto"/>
        <w:ind w:left="720"/>
        <w:jc w:val="both"/>
      </w:pPr>
      <w:r>
        <w:rPr>
          <w:rFonts w:ascii="Arial" w:hAnsi="Arial"/>
          <w:b w:val="0"/>
          <w:i w:val="0"/>
          <w:color w:val="3B3838"/>
          <w:sz w:val="21"/>
        </w:rPr>
        <w:t>The training management system shall be audited against:</w:t>
      </w:r>
    </w:p>
    <w:p>
      <w:pPr>
        <w:pStyle w:val="ListParagraph"/>
        <w:spacing w:before="0" w:after="40" w:line="276" w:lineRule="auto"/>
        <w:jc w:val="both"/>
        <w:numPr>
          <w:ilvl w:val="0"/>
          <w:numId w:val="2"/>
        </w:numPr>
        <w:ind w:left="1134"/>
      </w:pPr>
      <w:r>
        <w:rPr>
          <w:rFonts w:ascii="Arial" w:hAnsi="Arial"/>
          <w:b w:val="0"/>
          <w:i w:val="0"/>
          <w:color w:val="3B3838"/>
          <w:sz w:val="21"/>
        </w:rPr>
        <w:t>Minimum 90% completion rate for all courses scheduled in the Annual Corporate Training Plan.</w:t>
      </w:r>
    </w:p>
    <w:p>
      <w:pPr>
        <w:pStyle w:val="ListParagraph"/>
        <w:spacing w:before="0" w:after="40" w:line="276" w:lineRule="auto"/>
        <w:jc w:val="both"/>
        <w:numPr>
          <w:ilvl w:val="0"/>
          <w:numId w:val="2"/>
        </w:numPr>
        <w:ind w:left="1134"/>
      </w:pPr>
      <w:r>
        <w:rPr>
          <w:rFonts w:ascii="Arial" w:hAnsi="Arial"/>
          <w:b w:val="0"/>
          <w:i w:val="0"/>
          <w:color w:val="3B3838"/>
          <w:sz w:val="21"/>
        </w:rPr>
        <w:t>100% current and verified statutory licensing (SIO/BNSP) for all active specialized equipment operators.</w:t>
      </w:r>
    </w:p>
    <w:p>
      <w:pPr>
        <w:pStyle w:val="ListParagraph"/>
        <w:spacing w:before="0" w:after="40" w:line="276" w:lineRule="auto"/>
        <w:jc w:val="both"/>
        <w:numPr>
          <w:ilvl w:val="0"/>
          <w:numId w:val="2"/>
        </w:numPr>
        <w:ind w:left="1134"/>
      </w:pPr>
      <w:r>
        <w:rPr>
          <w:rFonts w:ascii="Arial" w:hAnsi="Arial"/>
          <w:b w:val="0"/>
          <w:i w:val="0"/>
          <w:color w:val="3B3838"/>
          <w:sz w:val="21"/>
        </w:rPr>
        <w:t>Minimum 85% average positive rating on Level 3 post-training supervisory evaluations.</w:t>
      </w:r>
    </w:p>
    <w:p>
      <w:pPr>
        <w:spacing w:before="240" w:after="80" w:line="276" w:lineRule="auto"/>
        <w:ind w:left="0"/>
        <w:tabs>
          <w:tab w:val="left" w:pos="720"/>
        </w:tabs>
      </w:pPr>
      <w:r>
        <w:rPr>
          <w:rFonts w:ascii="Arial" w:hAnsi="Arial"/>
          <w:b/>
          <w:i w:val="0"/>
          <w:color w:val="000000"/>
          <w:sz w:val="26"/>
        </w:rPr>
        <w:t>7.0</w:t>
        <w:tab/>
        <w:t>REFERENCED DOCUMENTS</w:t>
      </w:r>
    </w:p>
    <w:p>
      <w:pPr>
        <w:spacing w:before="0" w:after="80" w:line="276" w:lineRule="auto"/>
        <w:ind w:left="720"/>
        <w:jc w:val="both"/>
      </w:pPr>
      <w:r>
        <w:rPr>
          <w:rFonts w:ascii="Arial" w:hAnsi="Arial"/>
          <w:b w:val="0"/>
          <w:i w:val="0"/>
          <w:color w:val="3B3838"/>
          <w:sz w:val="21"/>
        </w:rPr>
        <w:t>ISO 9001:2015 Quality Management Systems - Clause 7.2 Competence</w:t>
      </w:r>
    </w:p>
    <w:p>
      <w:pPr>
        <w:spacing w:before="0" w:after="80" w:line="276" w:lineRule="auto"/>
        <w:ind w:left="720"/>
        <w:jc w:val="both"/>
      </w:pPr>
      <w:r>
        <w:rPr>
          <w:rFonts w:ascii="Arial" w:hAnsi="Arial"/>
          <w:b w:val="0"/>
          <w:i w:val="0"/>
          <w:color w:val="3B3838"/>
          <w:sz w:val="21"/>
        </w:rPr>
        <w:t>ISO 14001:2015 Environmental Management Systems - Clause 7.2 Competence</w:t>
      </w:r>
    </w:p>
    <w:p>
      <w:pPr>
        <w:spacing w:before="0" w:after="80" w:line="276" w:lineRule="auto"/>
        <w:ind w:left="720"/>
        <w:jc w:val="both"/>
      </w:pPr>
      <w:r>
        <w:rPr>
          <w:rFonts w:ascii="Arial" w:hAnsi="Arial"/>
          <w:b w:val="0"/>
          <w:i w:val="0"/>
          <w:color w:val="3B3838"/>
          <w:sz w:val="21"/>
        </w:rPr>
        <w:t>ISO 45001:2018 Occupational Health and Safety Management Systems - Clause 7.2 Competence</w:t>
      </w:r>
    </w:p>
    <w:p>
      <w:pPr>
        <w:spacing w:before="0" w:after="80" w:line="276" w:lineRule="auto"/>
        <w:ind w:left="720"/>
        <w:jc w:val="both"/>
      </w:pPr>
      <w:r>
        <w:rPr>
          <w:rFonts w:ascii="Arial" w:hAnsi="Arial"/>
          <w:b w:val="0"/>
          <w:i w:val="0"/>
          <w:color w:val="3B3838"/>
          <w:sz w:val="21"/>
        </w:rPr>
        <w:t>Law No. 13 of 2003 regarding Manpower</w:t>
      </w:r>
    </w:p>
    <w:p>
      <w:pPr>
        <w:spacing w:before="0" w:after="80" w:line="276" w:lineRule="auto"/>
        <w:ind w:left="720"/>
        <w:jc w:val="both"/>
      </w:pPr>
      <w:r>
        <w:rPr>
          <w:rFonts w:ascii="Arial" w:hAnsi="Arial"/>
          <w:b w:val="0"/>
          <w:i w:val="0"/>
          <w:color w:val="3B3838"/>
          <w:sz w:val="21"/>
        </w:rPr>
        <w:t>0001-SOP-GNR-CEO-IX-2026: Document and Records Control Procedure</w:t>
      </w:r>
    </w:p>
    <w:p>
      <w:pPr>
        <w:spacing w:before="0" w:after="80" w:line="276" w:lineRule="auto"/>
        <w:ind w:left="720"/>
        <w:jc w:val="both"/>
      </w:pPr>
      <w:r>
        <w:rPr>
          <w:rFonts w:ascii="Arial" w:hAnsi="Arial"/>
          <w:b w:val="0"/>
          <w:i w:val="0"/>
          <w:color w:val="3B3838"/>
          <w:sz w:val="21"/>
        </w:rPr>
        <w:t>0004-SOP-HSE-COO-X-2026: Personnel HSE Induction Procedure</w:t>
      </w:r>
    </w:p>
    <w:p>
      <w:pPr>
        <w:spacing w:before="240" w:after="80" w:line="276" w:lineRule="auto"/>
        <w:ind w:left="0"/>
        <w:tabs>
          <w:tab w:val="left" w:pos="720"/>
        </w:tabs>
      </w:pPr>
      <w:r>
        <w:rPr>
          <w:rFonts w:ascii="Arial" w:hAnsi="Arial"/>
          <w:b/>
          <w:i w:val="0"/>
          <w:color w:val="000000"/>
          <w:sz w:val="26"/>
        </w:rPr>
        <w:t>8.0</w:t>
        <w:tab/>
        <w:t>ATTACHMENTS &amp; ASSOCIATED FORMS</w:t>
      </w:r>
    </w:p>
    <w:p>
      <w:pPr>
        <w:spacing w:before="0" w:after="80" w:line="276" w:lineRule="auto"/>
        <w:ind w:left="720"/>
        <w:jc w:val="both"/>
      </w:pPr>
      <w:r>
        <w:rPr>
          <w:rFonts w:ascii="Arial" w:hAnsi="Arial"/>
          <w:b w:val="0"/>
          <w:i w:val="0"/>
          <w:color w:val="3B3838"/>
          <w:sz w:val="21"/>
        </w:rPr>
        <w:t>Annual Training Needs Analysis (TNA) Form</w:t>
      </w:r>
    </w:p>
    <w:p>
      <w:pPr>
        <w:spacing w:before="0" w:after="80" w:line="276" w:lineRule="auto"/>
        <w:ind w:left="720"/>
        <w:jc w:val="both"/>
      </w:pPr>
      <w:r>
        <w:rPr>
          <w:rFonts w:ascii="Arial" w:hAnsi="Arial"/>
          <w:b w:val="0"/>
          <w:i w:val="0"/>
          <w:color w:val="3B3838"/>
          <w:sz w:val="21"/>
        </w:rPr>
        <w:t>Annual Corporate Training Plan and Matrix</w:t>
      </w:r>
    </w:p>
    <w:p>
      <w:pPr>
        <w:spacing w:before="0" w:after="80" w:line="276" w:lineRule="auto"/>
        <w:ind w:left="720"/>
        <w:jc w:val="both"/>
      </w:pPr>
      <w:r>
        <w:rPr>
          <w:rFonts w:ascii="Arial" w:hAnsi="Arial"/>
          <w:b w:val="0"/>
          <w:i w:val="0"/>
          <w:color w:val="3B3838"/>
          <w:sz w:val="21"/>
        </w:rPr>
        <w:t>Employee Competency Dossier Template</w:t>
      </w:r>
    </w:p>
    <w:p>
      <w:pPr>
        <w:spacing w:before="0" w:after="80" w:line="276" w:lineRule="auto"/>
        <w:ind w:left="720"/>
        <w:jc w:val="both"/>
      </w:pPr>
      <w:r>
        <w:rPr>
          <w:rFonts w:ascii="Arial" w:hAnsi="Arial"/>
          <w:b w:val="0"/>
          <w:i w:val="0"/>
          <w:color w:val="3B3838"/>
          <w:sz w:val="21"/>
        </w:rPr>
        <w:t>Post-Training Effectiveness Evaluation Form</w:t>
      </w:r>
    </w:p>
    <w:sectPr w:rsidR="00FC693F" w:rsidRPr="0006063C" w:rsidSect="00034616">
      <w:headerReference w:type="default" r:id="rId9"/>
      <w:footerReference w:type="default" r:id="rId10"/>
      <w:pgSz w:w="11909" w:h="16834"/>
      <w:pgMar w:top="1134" w:right="1134" w:bottom="1134" w:left="124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i w:val="0"/>
        <w:color w:val="000000"/>
        <w:sz w:val="18"/>
      </w:rPr>
      <w:t xml:space="preserve">Page </w:t>
    </w:r>
    <w:fldSimple w:instr="PAGE"/>
    <w:r>
      <w:rPr>
        <w:rFonts w:ascii="Arial" w:hAnsi="Arial"/>
        <w:b/>
        <w:i w:val="0"/>
        <w:color w:val="000000"/>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340"/>
      <w:gridCol w:w="2340"/>
      <w:gridCol w:w="2340"/>
      <w:gridCol w:w="2340"/>
    </w:tblGrid>
    <w:tr>
      <w:tc>
        <w:tcPr>
          <w:tcW w:type="dxa" w:w="2232"/>
          <w:vMerge w:val="restart"/>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drawing>
              <wp:inline xmlns:a="http://schemas.openxmlformats.org/drawingml/2006/main" xmlns:pic="http://schemas.openxmlformats.org/drawingml/2006/picture">
                <wp:extent cx="1051560" cy="499491"/>
                <wp:docPr id="1" name="Picture 1"/>
                <wp:cNvGraphicFramePr>
                  <a:graphicFrameLocks noChangeAspect="1"/>
                </wp:cNvGraphicFramePr>
                <a:graphic>
                  <a:graphicData uri="http://schemas.openxmlformats.org/drawingml/2006/picture">
                    <pic:pic>
                      <pic:nvPicPr>
                        <pic:cNvPr id="0" name="logo_header_hq.png"/>
                        <pic:cNvPicPr/>
                      </pic:nvPicPr>
                      <pic:blipFill>
                        <a:blip r:embed="rId1"/>
                        <a:stretch>
                          <a:fillRect/>
                        </a:stretch>
                      </pic:blipFill>
                      <pic:spPr>
                        <a:xfrm>
                          <a:off x="0" y="0"/>
                          <a:ext cx="1051560" cy="499491"/>
                        </a:xfrm>
                        <a:prstGeom prst="rect"/>
                      </pic:spPr>
                    </pic:pic>
                  </a:graphicData>
                </a:graphic>
              </wp:inline>
            </w:drawing>
          </w: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9"/>
            </w:rPr>
            <w:t>Integrated Management Systems</w:t>
          </w:r>
        </w:p>
      </w:tc>
    </w:tr>
    <w:tr>
      <w:tc>
        <w:tcPr>
          <w:tcW w:type="dxa" w:w="2340"/>
          <w:vMerge/>
        </w:tcP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9"/>
            </w:rPr>
            <w:t>Procedure</w:t>
          </w:r>
        </w:p>
      </w:tc>
    </w:tr>
    <w:tr>
      <w:tc>
        <w:tcPr>
          <w:tcW w:type="dxa" w:w="2340"/>
          <w:vMerge/>
        </w:tcP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20"/>
            </w:rPr>
            <w:t>TRAINING AND COMPETENCY MANAGEMENT PROCEDURE</w:t>
          </w:r>
        </w:p>
      </w:tc>
    </w:tr>
    <w:tr>
      <w:tc>
        <w:tcPr>
          <w:tcW w:type="dxa" w:w="2340"/>
          <w:vMerge/>
        </w:tcPr>
        <w:p/>
      </w:tc>
      <w:tc>
        <w:tcPr>
          <w:tcW w:type="dxa" w:w="1728"/>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6"/>
            </w:rPr>
            <w:t>Revision: 0</w:t>
          </w:r>
        </w:p>
      </w:tc>
      <w:tc>
        <w:tcPr>
          <w:tcW w:type="dxa" w:w="3672"/>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6"/>
            </w:rPr>
            <w:t>Number: 0005-SOP-HRD-CFO-X-2026</w:t>
          </w:r>
        </w:p>
      </w:tc>
      <w:tc>
        <w:tcPr>
          <w:tcW w:type="dxa" w:w="1728"/>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6"/>
            </w:rPr>
            <w:t>Revised: -</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