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2592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3366"/>
                <w:sz w:val="18"/>
              </w:rPr>
              <w:t>PT NIRWANA BHUMI ENERGY</w:t>
            </w:r>
          </w:p>
        </w:tc>
        <w:tc>
          <w:tcPr>
            <w:tcW w:type="dxa" w:w="4608"/>
            <w:shd w:fill="D9E1F2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OCCUPATIONAL DISEASE INVESTIGATION REPORT</w:t>
            </w:r>
          </w:p>
        </w:tc>
        <w:tc>
          <w:tcPr>
            <w:tcW w:type="dxa" w:w="2405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Form No: 0001-FOR-OID-COO-X-2026</w:t>
              <w:br/>
              <w:t>Revision: 0</w:t>
              <w:br/>
              <w:t>Date: October 2026</w:t>
            </w:r>
          </w:p>
        </w:tc>
      </w:tr>
      <w:tr>
        <w:trPr>
          <w:cantSplit/>
        </w:trPr>
        <w:tc>
          <w:tcPr>
            <w:tcW w:type="dxa" w:w="9605"/>
            <w:gridSpan w:val="3"/>
            <w:shd w:fill="EAECEF"/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000000"/>
                <w:sz w:val="17"/>
              </w:rPr>
              <w:t>Standard Operational Reference: 0006-SOP-HSE-COO-X-2026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</w:trPr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Investigation Case No.:</w:t>
            </w:r>
          </w:p>
        </w:tc>
        <w:tc>
          <w:tcPr>
            <w:tcW w:type="dxa" w:w="263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OID-NBE-2026-001</w:t>
            </w:r>
          </w:p>
        </w:tc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Investigation Date:</w:t>
            </w:r>
          </w:p>
        </w:tc>
        <w:tc>
          <w:tcPr>
            <w:tcW w:type="dxa" w:w="265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15 October 2026</w:t>
            </w:r>
          </w:p>
        </w:tc>
      </w:tr>
      <w:tr>
        <w:trPr>
          <w:cantSplit/>
        </w:trPr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Affected Worker Name:</w:t>
            </w:r>
          </w:p>
        </w:tc>
        <w:tc>
          <w:tcPr>
            <w:tcW w:type="dxa" w:w="263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Ahmad Fauzi (Welder)</w:t>
            </w:r>
          </w:p>
        </w:tc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Job Station / Dept:</w:t>
            </w:r>
          </w:p>
        </w:tc>
        <w:tc>
          <w:tcPr>
            <w:tcW w:type="dxa" w:w="265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Fabrication Workshop - Bay 2</w:t>
            </w:r>
          </w:p>
        </w:tc>
      </w:tr>
      <w:tr>
        <w:trPr>
          <w:cantSplit/>
        </w:trPr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Investigating Lead:</w:t>
            </w:r>
          </w:p>
        </w:tc>
        <w:tc>
          <w:tcPr>
            <w:tcW w:type="dxa" w:w="2635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HSE Coordinator / Company Doctor</w:t>
            </w:r>
          </w:p>
        </w:tc>
        <w:tc>
          <w:tcPr>
            <w:tcW w:type="dxa" w:w="2160"/>
            <w:shd w:fill="F2F5F8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Clinical Status:</w:t>
            </w:r>
          </w:p>
        </w:tc>
        <w:tc>
          <w:tcPr>
            <w:tcW w:type="dxa" w:w="2650"/>
            <w:shd w:fill="FFFFFF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7"/>
              </w:rPr>
              <w:t>Confirmed Occupational Dermatitis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cantSplit/>
        </w:trPr>
        <w:tc>
          <w:tcPr>
            <w:tcW w:type="dxa" w:w="576"/>
            <w:shd w:fill="D9E1F2"/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No.</w:t>
            </w:r>
          </w:p>
        </w:tc>
        <w:tc>
          <w:tcPr>
            <w:tcW w:type="dxa" w:w="1872"/>
            <w:shd w:fill="D9E1F2"/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Investigation Item</w:t>
            </w:r>
          </w:p>
        </w:tc>
        <w:tc>
          <w:tcPr>
            <w:tcW w:type="dxa" w:w="2592"/>
            <w:shd w:fill="D9E1F2"/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Findings &amp; Diagnostic Evidence</w:t>
            </w:r>
          </w:p>
        </w:tc>
        <w:tc>
          <w:tcPr>
            <w:tcW w:type="dxa" w:w="2016"/>
            <w:shd w:fill="D9E1F2"/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Environmental Root Cause</w:t>
            </w:r>
          </w:p>
        </w:tc>
        <w:tc>
          <w:tcPr>
            <w:tcW w:type="dxa" w:w="1584"/>
            <w:shd w:fill="D9E1F2"/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Mandated CAPA</w:t>
            </w:r>
          </w:p>
        </w:tc>
        <w:tc>
          <w:tcPr>
            <w:tcW w:type="dxa" w:w="965"/>
            <w:shd w:fill="D9E1F2"/>
            <w:vAlign w:val="center"/>
            <w:tcMar>
              <w:top w:w="80" w:type="dxa"/>
              <w:bottom w:w="8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576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1</w:t>
            </w:r>
          </w:p>
        </w:tc>
        <w:tc>
          <w:tcPr>
            <w:tcW w:type="dxa" w:w="1872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Clinical Diagnosis</w:t>
            </w:r>
          </w:p>
        </w:tc>
        <w:tc>
          <w:tcPr>
            <w:tcW w:type="dxa" w:w="2592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Severe contact dermatitis on bilateral forearms and palms.</w:t>
            </w:r>
          </w:p>
        </w:tc>
        <w:tc>
          <w:tcPr>
            <w:tcW w:type="dxa" w:w="2016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Direct skin contact with degreasing solvent containing trichloroethylene.</w:t>
            </w:r>
          </w:p>
        </w:tc>
        <w:tc>
          <w:tcPr>
            <w:tcW w:type="dxa" w:w="1584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Prescribed topical therapy; medical restriction from solvent handling.</w:t>
            </w:r>
          </w:p>
        </w:tc>
        <w:tc>
          <w:tcPr>
            <w:tcW w:type="dxa" w:w="965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Closed</w:t>
            </w:r>
          </w:p>
        </w:tc>
      </w:tr>
      <w:tr>
        <w:trPr>
          <w:cantSplit/>
        </w:trPr>
        <w:tc>
          <w:tcPr>
            <w:tcW w:type="dxa" w:w="576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2</w:t>
            </w:r>
          </w:p>
        </w:tc>
        <w:tc>
          <w:tcPr>
            <w:tcW w:type="dxa" w:w="1872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Exposure History</w:t>
            </w:r>
          </w:p>
        </w:tc>
        <w:tc>
          <w:tcPr>
            <w:tcW w:type="dxa" w:w="2592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Daily cleaning of machined pipe threads for 4 consecutive months.</w:t>
            </w:r>
          </w:p>
        </w:tc>
        <w:tc>
          <w:tcPr>
            <w:tcW w:type="dxa" w:w="2016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Solvent degreaser applied without chemical-resistant nitrile gloves.</w:t>
            </w:r>
          </w:p>
        </w:tc>
        <w:tc>
          <w:tcPr>
            <w:tcW w:type="dxa" w:w="1584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Mandate EN 374 Type A chemical barrier gloves; enforce PPE check.</w:t>
            </w:r>
          </w:p>
        </w:tc>
        <w:tc>
          <w:tcPr>
            <w:tcW w:type="dxa" w:w="965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Closed</w:t>
            </w:r>
          </w:p>
        </w:tc>
      </w:tr>
      <w:tr>
        <w:trPr>
          <w:cantSplit/>
        </w:trPr>
        <w:tc>
          <w:tcPr>
            <w:tcW w:type="dxa" w:w="576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3</w:t>
            </w:r>
          </w:p>
        </w:tc>
        <w:tc>
          <w:tcPr>
            <w:tcW w:type="dxa" w:w="1872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Workplace Hygiene</w:t>
            </w:r>
          </w:p>
        </w:tc>
        <w:tc>
          <w:tcPr>
            <w:tcW w:type="dxa" w:w="2592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Airborne vapor concentration measured at 12 ppm (TLV: 10 ppm).</w:t>
            </w:r>
          </w:p>
        </w:tc>
        <w:tc>
          <w:tcPr>
            <w:tcW w:type="dxa" w:w="2016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Inadequate local exhaust ventilation in parts washing booth.</w:t>
            </w:r>
          </w:p>
        </w:tc>
        <w:tc>
          <w:tcPr>
            <w:tcW w:type="dxa" w:w="1584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Installed high-efficiency extraction canopy over washing vat.</w:t>
            </w:r>
          </w:p>
        </w:tc>
        <w:tc>
          <w:tcPr>
            <w:tcW w:type="dxa" w:w="965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Closed</w:t>
            </w:r>
          </w:p>
        </w:tc>
      </w:tr>
      <w:tr>
        <w:trPr>
          <w:cantSplit/>
        </w:trPr>
        <w:tc>
          <w:tcPr>
            <w:tcW w:type="dxa" w:w="576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4</w:t>
            </w:r>
          </w:p>
        </w:tc>
        <w:tc>
          <w:tcPr>
            <w:tcW w:type="dxa" w:w="1872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Administrative Control</w:t>
            </w:r>
          </w:p>
        </w:tc>
        <w:tc>
          <w:tcPr>
            <w:tcW w:type="dxa" w:w="2592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Worker performed parts washing 8 hours daily without rotation.</w:t>
            </w:r>
          </w:p>
        </w:tc>
        <w:tc>
          <w:tcPr>
            <w:tcW w:type="dxa" w:w="2016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Absence of job rotation protocol for high-hazard chemical stations.</w:t>
            </w:r>
          </w:p>
        </w:tc>
        <w:tc>
          <w:tcPr>
            <w:tcW w:type="dxa" w:w="1584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Established 2-hour maximum rotation limit for chemical cleaning tasks.</w:t>
            </w:r>
          </w:p>
        </w:tc>
        <w:tc>
          <w:tcPr>
            <w:tcW w:type="dxa" w:w="965"/>
            <w:shd w:fill="FFFFFF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Closed</w:t>
            </w:r>
          </w:p>
        </w:tc>
      </w:tr>
      <w:tr>
        <w:trPr>
          <w:cantSplit/>
        </w:trPr>
        <w:tc>
          <w:tcPr>
            <w:tcW w:type="dxa" w:w="576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5</w:t>
            </w:r>
          </w:p>
        </w:tc>
        <w:tc>
          <w:tcPr>
            <w:tcW w:type="dxa" w:w="1872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Statutory Filing</w:t>
            </w:r>
          </w:p>
        </w:tc>
        <w:tc>
          <w:tcPr>
            <w:tcW w:type="dxa" w:w="2592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Statutory reporting filed with Disnaker and BPJS Ketenagakerjaan.</w:t>
            </w:r>
          </w:p>
        </w:tc>
        <w:tc>
          <w:tcPr>
            <w:tcW w:type="dxa" w:w="2016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Case eligible for full medical coverage under BPJS Employment Injury.</w:t>
            </w:r>
          </w:p>
        </w:tc>
        <w:tc>
          <w:tcPr>
            <w:tcW w:type="dxa" w:w="1584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Formal KK2 filing completed and acknowledged by Disnaker on 18 Oct 26.</w:t>
            </w:r>
          </w:p>
        </w:tc>
        <w:tc>
          <w:tcPr>
            <w:tcW w:type="dxa" w:w="965"/>
            <w:shd w:fill="F9FBFD"/>
            <w:vAlign w:val="center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Closed</w:t>
            </w:r>
          </w:p>
        </w:tc>
      </w:tr>
    </w:tbl>
    <w:p>
      <w:pPr>
        <w:spacing w:before="12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</w:trPr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Investigated By / Doctor:</w:t>
            </w:r>
          </w:p>
        </w:tc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Reviewed By / HSE Lead:</w:t>
            </w:r>
          </w:p>
        </w:tc>
        <w:tc>
          <w:tcPr>
            <w:tcW w:type="dxa" w:w="321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17"/>
              </w:rPr>
              <w:t>Approved By / Operations Director:</w:t>
            </w:r>
          </w:p>
        </w:tc>
      </w:tr>
      <w:tr>
        <w:trPr>
          <w:cantSplit/>
        </w:trPr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95959"/>
                <w:sz w:val="16"/>
              </w:rPr>
              <w:t>Signature / Stamp:</w:t>
              <w:br/>
              <w:br/>
              <w:br/>
              <w:br/>
            </w:r>
          </w:p>
        </w:tc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95959"/>
                <w:sz w:val="16"/>
              </w:rPr>
              <w:t>Signature / Stamp:</w:t>
              <w:br/>
              <w:br/>
              <w:br/>
              <w:br/>
            </w:r>
          </w:p>
        </w:tc>
        <w:tc>
          <w:tcPr>
            <w:tcW w:type="dxa" w:w="321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595959"/>
                <w:sz w:val="16"/>
              </w:rPr>
              <w:t>Signature / Stamp:</w:t>
              <w:br/>
              <w:br/>
              <w:br/>
              <w:br/>
            </w:r>
          </w:p>
        </w:tc>
      </w:tr>
      <w:tr>
        <w:trPr>
          <w:cantSplit/>
        </w:trPr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Name: Occupational Health Specialist</w:t>
              <w:br/>
              <w:t>(Coordinating Doctor)</w:t>
              <w:br/>
              <w:t>Date: October 2026</w:t>
            </w:r>
          </w:p>
        </w:tc>
        <w:tc>
          <w:tcPr>
            <w:tcW w:type="dxa" w:w="3197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Name: Abdul Qodir Al Jailani</w:t>
              <w:br/>
              <w:t>(IMS / HSE Lead)</w:t>
              <w:br/>
              <w:t>Date: October 2026</w:t>
            </w:r>
          </w:p>
        </w:tc>
        <w:tc>
          <w:tcPr>
            <w:tcW w:type="dxa" w:w="3211"/>
            <w:vAlign w:val="center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6"/>
              </w:rPr>
              <w:t>Name: Dennis Raditya</w:t>
              <w:br/>
              <w:t>(Director of Operations &amp; Tech)</w:t>
              <w:br/>
              <w:t>Date: October 2026</w:t>
            </w:r>
          </w:p>
        </w:tc>
      </w:tr>
    </w:tbl>
    <w:sectPr w:rsidR="00FC693F" w:rsidRPr="0006063C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