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2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ver_h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320"/>
        <w:jc w:val="center"/>
      </w:pPr>
      <w:r>
        <w:rPr>
          <w:rFonts w:ascii="Arial" w:hAnsi="Arial"/>
          <w:b/>
          <w:i w:val="0"/>
          <w:color w:val="000000"/>
          <w:sz w:val="36"/>
        </w:rPr>
        <w:t>PT Nirwana Bhumi Energy</w:t>
      </w:r>
    </w:p>
    <w:p>
      <w:pPr>
        <w:spacing w:after="160"/>
      </w:pPr>
    </w:p>
    <w:p>
      <w:pPr>
        <w:spacing w:after="120" w:line="288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OCCUPATIONAL DISEASE REPORTING AND INVESTIGATION PROCEDURE</w:t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tbl>
      <w:tblPr>
        <w:tblW w:type="auto" w:w="0"/>
        <w:jc w:val="left"/>
        <w:tblLook w:firstColumn="1" w:firstRow="1" w:lastColumn="0" w:lastRow="0" w:noHBand="0" w:noVBand="1" w:val="04A0"/>
        <w:tblInd w:w="4464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64"/>
        <w:gridCol w:w="4764"/>
      </w:tblGrid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Approved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Bima Satryo Hartanto</w:t>
              <w:br/>
              <w:t xml:space="preserve">   (President Director / CEO)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Dennis Raditya (Director of</w:t>
              <w:br/>
              <w:t xml:space="preserve">   Operations &amp; Technology / CTO)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Abdul Qodir Al Jailani</w:t>
              <w:br/>
              <w:t xml:space="preserve">   (Commissioner / IMS Team Lead)</w:t>
            </w:r>
          </w:p>
        </w:tc>
      </w:tr>
    </w:tbl>
    <w:p>
      <w:r>
        <w:br w:type="page"/>
      </w:r>
    </w:p>
    <w:p>
      <w:pPr>
        <w:spacing w:before="320" w:after="280"/>
        <w:jc w:val="center"/>
      </w:pPr>
      <w:r>
        <w:rPr>
          <w:rFonts w:ascii="Arial" w:hAnsi="Arial"/>
          <w:b/>
          <w:i w:val="0"/>
          <w:color w:val="000000"/>
          <w:sz w:val="26"/>
        </w:rPr>
        <w:t>REVISION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2"/>
        <w:gridCol w:w="2382"/>
        <w:gridCol w:w="2382"/>
        <w:gridCol w:w="2382"/>
      </w:tblGrid>
      <w:tr>
        <w:tc>
          <w:tcPr>
            <w:tcW w:type="dxa" w:w="129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Revision</w:t>
            </w:r>
          </w:p>
        </w:tc>
        <w:tc>
          <w:tcPr>
            <w:tcW w:type="dxa" w:w="172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43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Description of Changes</w:t>
            </w:r>
          </w:p>
        </w:tc>
        <w:tc>
          <w:tcPr>
            <w:tcW w:type="dxa" w:w="201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Revised By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October 2026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Initial Issue - Standard CSMS Procedure for PT Nirwana Bhumi Energy (0006-SOP-HSE-COO-X-2026)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IMS &amp; HSE Team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>
      <w:r>
        <w:br w:type="page"/>
      </w:r>
    </w:p>
    <w:p>
      <w:pPr>
        <w:spacing w:before="320" w:after="320"/>
        <w:jc w:val="center"/>
      </w:pPr>
      <w:r>
        <w:rPr>
          <w:rFonts w:ascii="Arial" w:hAnsi="Arial"/>
          <w:b/>
          <w:i w:val="0"/>
          <w:color w:val="000000"/>
          <w:sz w:val="26"/>
        </w:rPr>
        <w:t>TABLE OF CONTENTS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1.0</w:t>
        <w:tab/>
        <w:t>OBJECTIVE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2.0</w:t>
        <w:tab/>
        <w:t>SCOPE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3.0</w:t>
        <w:tab/>
        <w:t>DEFINITIONS &amp; ABBREVIATIONS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4.0</w:t>
        <w:tab/>
        <w:t>RESPONSIBILITIES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5.0</w:t>
        <w:tab/>
        <w:t>PROCEDURE STEPS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6.0</w:t>
        <w:tab/>
        <w:t>PERFORMANCE INDICATORS &amp; AUDIT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7.0</w:t>
        <w:tab/>
        <w:t>REFERENCED DOCUMENTS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8.0</w:t>
        <w:tab/>
        <w:t>ATTACHMENTS &amp; ASSOCIATED FORMS</w:t>
      </w:r>
    </w:p>
    <w:p>
      <w:r>
        <w:br w:type="page"/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1.0</w:t>
        <w:tab/>
        <w:t>OBJECTIVE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objective of this procedure is to establish a standardized, transparent, and legally compliant framework for the early detection, formal notification, clinical diagnosis, root-cause investigation, and statutory reporting of all suspected or confirmed Occupational Diseases (Penyakit Akibat Kerja - PAK) affecting personnel of PT Nirwana Bhumi Energy.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Specifically, this procedure guarantees that: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Workplace health hazards causing occupational illnesses are systematically investigated and eliminated using the hierarchy of controls.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Affected workers receive immediate clinical care, specialized occupational health referral, and statutory workers' compensation protection via BPJS Ketenagakerjaan.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Full compliance is maintained with Presidential Regulation No. 7/2019, Minister of Manpower Regulation No. Per.01/MEN/1981, and energy sector CSMS standards.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2.0</w:t>
        <w:tab/>
        <w:t>SCOPE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This procedure applies to all operational sites, fabrication workshops, warehouses, and client field projects of PT Nirwana Bhumi Energy.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scope covers: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All full-time employees, contract personnel, apprentices, and third-party contractor workers under company supervision.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All categories of occupational illnesses recognized under statutory legislation, including respiratory diseases, occupational dermatitis, noise-induced hearing loss (NIHL), musculoskeletal disorders (MSDs), toxic chemical poisonings, and physical agent disorders.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3.0</w:t>
        <w:tab/>
        <w:t>DEFINITIONS &amp; ABBREVIATIONS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Occupational Disease (Penyakit Akibat Kerja - PAK): Any disease or health impairment caused directly by work activities, exposure to hazardous substances, or physical/ergonomic factors present in the working environment.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Coordinating Doctor (Dokter Koordinator): A certified occupational health physician appointed to evaluate clinical diagnoses, investigate workplace etiology, and determine occupational causality.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Investigation Committee: A multidisciplinary team comprising the HSE Coordinator, Company Doctor, Area Supervisor, and Worker Representative tasked with uncovering underlying root causes.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BPJS Ketenagakerjaan: The statutory Indonesian social security agency administering employment injury and occupational illness compensation.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4.0</w:t>
        <w:tab/>
        <w:t>RESPONSIBILITIES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Director of Operations &amp; Technology / CTO: Authorizes and enforces immediate engineering and operational modifications required to eliminate disease-causing hazards at work sites.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Director of Finance &amp; Human Resources / CFO: Oversees employee healthcare administration, statutory compensation claim filings with BPJS Ketenagakerjaan, and return-to-work job accommodations.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HSE Coordinator / P2K3 Secretary: Leads the occupational disease investigation, coordinates industrial hygiene measurements, and ensures statutory reporting to Disnaker within mandated deadlines.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Coordinating Doctor / Occupational Physician: Conducts the clinical examination, applies the 7-step occupational diagnosis protocol, and issues formal medical opinions regarding occupational causality.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Work Area Supervisors: Immediately report any employee exhibiting symptoms of occupational illness using Form 0002-FOR-OID-COO-X-2026 within twenty-four (24) hours of notification.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5.0</w:t>
        <w:tab/>
        <w:t>PROCEDURE STEPS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5.1</w:t>
        <w:tab/>
        <w:t>Initial Notification Protocol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Whenever an employee experiences health symptoms suspected of being work-related, or when periodic medical surveillance indicates abnormal physiological changes, the supervisor shall immediately complete the Occupational Disease Notification and Report Form (Form 0002-FOR-OID-COO-X-2026).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notification must be submitted to the HSE Coordinator and Company Medical Doctor within twenty-four (24) hours of detection.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5.2</w:t>
        <w:tab/>
        <w:t>Seven-Step Occupational Diagnosis Protocol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Coordinating Doctor shall evaluate the reported case in strict adherence to the internationally recognized Seven-Step Occupational Diagnosis Method: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1: Clinical Diagnosis — Confirm clinical pathology through physical examination and laboratory/diagnostic tests.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2: Workplace Exposure Assessment — Identify specific chemical, physical, biological, or ergonomic agents present in the worker's environment.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3: Plausibility of Exposure-Disease Relationship — Verify evidence-based medical consensus linking the hazard to the diagnosed condition.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4: Exposure Magnitude and Duration — Quantify cumulative exposure levels against statutory Threshold Limit Values (TLVs / NAB).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5: Individual Confounding Factors — Evaluate pre-existing conditions, personal lifestyle factors, or medical history.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6: Non-Occupational Exposures — Rule out external domestic, hobby, or environmental causes.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Step 7: Final Diagnostic Determination — Formally classify the case as an Occupational Disease (PAK), Work-Aggravated Condition, or Non-Occupational Disease.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5.3</w:t>
        <w:tab/>
        <w:t>Comprehensive Workplace Investigation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Upon confirmation of a suspected occupational disease, the Investigation Committee shall convene within forty-eight (48) hours to conduct a detailed investigation utilizing Form 0001-FOR-OID-COO-X-2026.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investigation shall analyze environmental monitoring data (sound levels, airborne concentrations, lux ratings), review PPE usage history, assess engineering control adequacy, and identify underlying organizational deficiencies.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5.4</w:t>
        <w:tab/>
        <w:t>Implementation of Corrective and Preventive Actions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HSE Coordinator and Department Lead shall enforce mandatory controls following the Hierarchy of Controls: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Elimination / Substitution: Replace hazardous solvents or high-toxicity substances with non-toxic alternatives.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Engineering Controls: Install local exhaust ventilation, acoustic enclosures, or ergonomic lifting aids.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Administrative Controls: Enforce job rotation to reduce daily exposure duration below statutory permissible limits.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Personal Protective Equipment: Provide NIOSH/CE-certified specialized respirators, double hearing protection, or chemical barrier suits.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5.5</w:t>
        <w:tab/>
        <w:t>Statutory Reporting to Government Authorities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In compliance with Minister of Manpower Regulation No. Per.01/MEN/1981, all confirmed cases of occupational disease must be formally reported to the local Manpower Office (Disnaker) and BPJS Ketenagakerjaan within two times twenty-four hours (2 x 24 hours) of official clinical diagnosis, utilizing statutory Form KK2.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5.6</w:t>
        <w:tab/>
        <w:t>Medical Rehabilitation and Return-to-Work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Company Doctor and HR Department shall monitor the affected employee's medical recovery. Upon rehabilitation, the employee shall undergo a formal Return-to-Work assessment, facilitating reassignment to a modified or non-exposed workstation where appropriate.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6.0</w:t>
        <w:tab/>
        <w:t>PERFORMANCE INDICATORS &amp; AUDIT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Effectiveness of occupational illness prevention shall be tracked against: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100% of reported cases investigated within 48 hours of initial notification.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100% statutory notification compliance within the mandatory 2 x 24 hour legal reporting window.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Zero recurring cases of occupational disease stemming from the same workplace hazard.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7.0</w:t>
        <w:tab/>
        <w:t>REFERENCED DOCUMENTS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Law No. 1 of 1970 regarding Occupational Safety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Presidential Regulation No. 7 of 2019 regarding Occupational Diseases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Minister of Manpower and Transmigration Regulation No. Per.01/MEN/1981 regarding Reporting of Occupational Diseases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ISO 45001:2018 Occupational Health and Safety Management Systems - Clause 10.2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0007-SOP-HSE-COO-X-2026: Employee Medical Surveillance and Health Examination Procedure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8.0</w:t>
        <w:tab/>
        <w:t>ATTACHMENTS &amp; ASSOCIATED FORMS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0001-FOR-OID-COO-X-2026: Occupational Disease Investigation Report Form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0002-FOR-OID-COO-X-2026: Occupational Disease Notification and Report Form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134" w:bottom="1134" w:left="124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i w:val="0"/>
        <w:color w:val="000000"/>
        <w:sz w:val="18"/>
      </w:rPr>
      <w:t xml:space="preserve">Page </w:t>
    </w:r>
    <w:fldSimple w:instr="PAGE"/>
    <w:r>
      <w:rPr>
        <w:rFonts w:ascii="Arial" w:hAnsi="Arial"/>
        <w:b/>
        <w:i w:val="0"/>
        <w:color w:val="000000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2232"/>
          <w:vMerge w:val="restart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51560" cy="4994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eader_h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994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9"/>
            </w:rPr>
            <w:t>Integrated Management Systems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9"/>
            </w:rPr>
            <w:t>Procedure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000000"/>
              <w:sz w:val="20"/>
            </w:rPr>
            <w:t>OCCUPATIONAL DISEASE REPORTING AND INVESTIGATION PROCEDURE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1728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Revision: 0</w:t>
          </w:r>
        </w:p>
      </w:tc>
      <w:tc>
        <w:tcPr>
          <w:tcW w:type="dxa" w:w="3672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000000"/>
              <w:sz w:val="16"/>
            </w:rPr>
            <w:t>Number: 0006-SOP-HSE-COO-X-2026</w:t>
          </w:r>
        </w:p>
      </w:tc>
      <w:tc>
        <w:tcPr>
          <w:tcW w:type="dxa" w:w="1728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Revised: -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