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drawing>
          <wp:inline xmlns:a="http://schemas.openxmlformats.org/drawingml/2006/main" xmlns:pic="http://schemas.openxmlformats.org/drawingml/2006/picture">
            <wp:extent cx="2926080" cy="652372"/>
            <wp:docPr id="1" name="Picture 1"/>
            <wp:cNvGraphicFramePr>
              <a:graphicFrameLocks noChangeAspect="1"/>
            </wp:cNvGraphicFramePr>
            <a:graphic>
              <a:graphicData uri="http://schemas.openxmlformats.org/drawingml/2006/picture">
                <pic:pic>
                  <pic:nvPicPr>
                    <pic:cNvPr id="0" name="logo_cover_hq.png"/>
                    <pic:cNvPicPr/>
                  </pic:nvPicPr>
                  <pic:blipFill>
                    <a:blip r:embed="rId11"/>
                    <a:stretch>
                      <a:fillRect/>
                    </a:stretch>
                  </pic:blipFill>
                  <pic:spPr>
                    <a:xfrm>
                      <a:off x="0" y="0"/>
                      <a:ext cx="2926080" cy="652372"/>
                    </a:xfrm>
                    <a:prstGeom prst="rect"/>
                  </pic:spPr>
                </pic:pic>
              </a:graphicData>
            </a:graphic>
          </wp:inline>
        </w:drawing>
      </w:r>
    </w:p>
    <w:p>
      <w:pPr>
        <w:spacing w:after="240"/>
      </w:pPr>
    </w:p>
    <w:p>
      <w:pPr>
        <w:spacing w:after="320"/>
        <w:jc w:val="center"/>
      </w:pPr>
      <w:r>
        <w:rPr>
          <w:rFonts w:ascii="Arial" w:hAnsi="Arial"/>
          <w:b/>
          <w:i w:val="0"/>
          <w:color w:val="000000"/>
          <w:sz w:val="36"/>
        </w:rPr>
        <w:t>PT Nirwana Bhumi Energy</w:t>
      </w:r>
    </w:p>
    <w:p>
      <w:pPr>
        <w:spacing w:after="160"/>
      </w:pPr>
    </w:p>
    <w:p>
      <w:pPr>
        <w:spacing w:after="120" w:line="288" w:lineRule="auto"/>
        <w:jc w:val="center"/>
      </w:pPr>
      <w:r>
        <w:rPr>
          <w:rFonts w:ascii="Arial" w:hAnsi="Arial"/>
          <w:b/>
          <w:i w:val="0"/>
          <w:color w:val="000000"/>
          <w:sz w:val="36"/>
        </w:rPr>
        <w:t>EMPLOYEE MEDICAL SURVEILLANCE AND HEALTH EXAMINATION PROCEDURE</w:t>
      </w:r>
    </w:p>
    <w:p>
      <w:pPr>
        <w:spacing w:after="240"/>
      </w:pPr>
    </w:p>
    <w:p>
      <w:pPr>
        <w:spacing w:after="240"/>
      </w:pPr>
    </w:p>
    <w:p>
      <w:pPr>
        <w:spacing w:after="240"/>
      </w:pPr>
    </w:p>
    <w:p>
      <w:pPr>
        <w:spacing w:after="240"/>
      </w:pPr>
    </w:p>
    <w:p>
      <w:pPr>
        <w:spacing w:after="240"/>
      </w:pPr>
    </w:p>
    <w:tbl>
      <w:tblPr>
        <w:tblW w:type="auto" w:w="0"/>
        <w:jc w:val="left"/>
        <w:tblLook w:firstColumn="1" w:firstRow="1" w:lastColumn="0" w:lastRow="0" w:noHBand="0" w:noVBand="1" w:val="04A0"/>
        <w:tblInd w:w="4464" w:type="dxa"/>
        <w:tblBorders>
          <w:top w:val="none"/>
          <w:left w:val="none"/>
          <w:bottom w:val="none"/>
          <w:right w:val="none"/>
          <w:insideH w:val="none"/>
          <w:insideV w:val="none"/>
        </w:tblBorders>
      </w:tblPr>
      <w:tblGrid>
        <w:gridCol w:w="4764"/>
        <w:gridCol w:w="4764"/>
      </w:tblGrid>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Approved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Bima Satryo Hartanto</w:t>
              <w:br/>
              <w:t xml:space="preserve">   (President Director / CEO)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Verified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Dennis Raditya (Director of</w:t>
              <w:br/>
              <w:t xml:space="preserve">   Operations &amp; Technology / CTO)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Created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Abdul Qodir Al Jailani</w:t>
              <w:br/>
              <w:t xml:space="preserve">   (Commissioner / IMS Team Lead)</w:t>
            </w:r>
          </w:p>
        </w:tc>
      </w:tr>
    </w:tbl>
    <w:p>
      <w:r>
        <w:br w:type="page"/>
      </w:r>
    </w:p>
    <w:p>
      <w:pPr>
        <w:spacing w:before="320" w:after="280"/>
        <w:jc w:val="center"/>
      </w:pPr>
      <w:r>
        <w:rPr>
          <w:rFonts w:ascii="Arial" w:hAnsi="Arial"/>
          <w:b/>
          <w:i w:val="0"/>
          <w:color w:val="000000"/>
          <w:sz w:val="26"/>
        </w:rPr>
        <w:t>REVISION INDEX</w:t>
      </w:r>
    </w:p>
    <w:tbl>
      <w:tblPr>
        <w:tblW w:type="auto" w:w="0"/>
        <w:jc w:val="center"/>
        <w:tblLook w:firstColumn="1" w:firstRow="1" w:lastColumn="0" w:lastRow="0" w:noHBand="0" w:noVBand="1" w:val="04A0"/>
      </w:tblPr>
      <w:tblGrid>
        <w:gridCol w:w="2382"/>
        <w:gridCol w:w="2382"/>
        <w:gridCol w:w="2382"/>
        <w:gridCol w:w="2382"/>
      </w:tblGrid>
      <w:tr>
        <w:tc>
          <w:tcPr>
            <w:tcW w:type="dxa" w:w="129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Revision</w:t>
            </w:r>
          </w:p>
        </w:tc>
        <w:tc>
          <w:tcPr>
            <w:tcW w:type="dxa" w:w="1728"/>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Date</w:t>
            </w:r>
          </w:p>
        </w:tc>
        <w:tc>
          <w:tcPr>
            <w:tcW w:type="dxa" w:w="4320"/>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Description of Changes</w:t>
            </w:r>
          </w:p>
        </w:tc>
        <w:tc>
          <w:tcPr>
            <w:tcW w:type="dxa" w:w="201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Revised By</w:t>
            </w:r>
          </w:p>
        </w:tc>
      </w:tr>
      <w:t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0</w:t>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October 2026</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Initial Issue - Standard CSMS Procedure for PT Nirwana Bhumi Energy (0007-SOP-HSE-COO-X-2026)</w:t>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IMS &amp; HSE Team</w:t>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bl>
    <w:p>
      <w:r>
        <w:br w:type="page"/>
      </w:r>
    </w:p>
    <w:p>
      <w:pPr>
        <w:spacing w:before="320" w:after="320"/>
        <w:jc w:val="center"/>
      </w:pPr>
      <w:r>
        <w:rPr>
          <w:rFonts w:ascii="Arial" w:hAnsi="Arial"/>
          <w:b/>
          <w:i w:val="0"/>
          <w:color w:val="000000"/>
          <w:sz w:val="26"/>
        </w:rPr>
        <w:t>TABLE OF CONTENTS</w:t>
      </w:r>
    </w:p>
    <w:p>
      <w:pPr>
        <w:spacing w:before="0" w:after="60"/>
        <w:ind w:left="720"/>
        <w:tabs>
          <w:tab w:val="left" w:pos="1080"/>
        </w:tabs>
      </w:pPr>
      <w:r>
        <w:rPr>
          <w:rFonts w:ascii="Arial" w:hAnsi="Arial"/>
          <w:b/>
          <w:i w:val="0"/>
          <w:color w:val="000000"/>
          <w:sz w:val="20"/>
        </w:rPr>
        <w:t>1.0</w:t>
        <w:tab/>
        <w:t>OBJECTIVE</w:t>
      </w:r>
    </w:p>
    <w:p>
      <w:pPr>
        <w:spacing w:before="0" w:after="60"/>
        <w:ind w:left="720"/>
        <w:tabs>
          <w:tab w:val="left" w:pos="1080"/>
        </w:tabs>
      </w:pPr>
      <w:r>
        <w:rPr>
          <w:rFonts w:ascii="Arial" w:hAnsi="Arial"/>
          <w:b/>
          <w:i w:val="0"/>
          <w:color w:val="000000"/>
          <w:sz w:val="20"/>
        </w:rPr>
        <w:t>2.0</w:t>
        <w:tab/>
        <w:t>SCOPE</w:t>
      </w:r>
    </w:p>
    <w:p>
      <w:pPr>
        <w:spacing w:before="0" w:after="60"/>
        <w:ind w:left="720"/>
        <w:tabs>
          <w:tab w:val="left" w:pos="1080"/>
        </w:tabs>
      </w:pPr>
      <w:r>
        <w:rPr>
          <w:rFonts w:ascii="Arial" w:hAnsi="Arial"/>
          <w:b/>
          <w:i w:val="0"/>
          <w:color w:val="000000"/>
          <w:sz w:val="20"/>
        </w:rPr>
        <w:t>3.0</w:t>
        <w:tab/>
        <w:t>DEFINITIONS &amp; ABBREVIATIONS</w:t>
      </w:r>
    </w:p>
    <w:p>
      <w:pPr>
        <w:spacing w:before="0" w:after="60"/>
        <w:ind w:left="720"/>
        <w:tabs>
          <w:tab w:val="left" w:pos="1080"/>
        </w:tabs>
      </w:pPr>
      <w:r>
        <w:rPr>
          <w:rFonts w:ascii="Arial" w:hAnsi="Arial"/>
          <w:b/>
          <w:i w:val="0"/>
          <w:color w:val="000000"/>
          <w:sz w:val="20"/>
        </w:rPr>
        <w:t>4.0</w:t>
        <w:tab/>
        <w:t>RESPONSIBILITIES</w:t>
      </w:r>
    </w:p>
    <w:p>
      <w:pPr>
        <w:spacing w:before="0" w:after="60"/>
        <w:ind w:left="720"/>
        <w:tabs>
          <w:tab w:val="left" w:pos="1080"/>
        </w:tabs>
      </w:pPr>
      <w:r>
        <w:rPr>
          <w:rFonts w:ascii="Arial" w:hAnsi="Arial"/>
          <w:b/>
          <w:i w:val="0"/>
          <w:color w:val="000000"/>
          <w:sz w:val="20"/>
        </w:rPr>
        <w:t>5.0</w:t>
        <w:tab/>
        <w:t>PROCEDURE STEPS</w:t>
      </w:r>
    </w:p>
    <w:p>
      <w:pPr>
        <w:spacing w:before="0" w:after="60"/>
        <w:ind w:left="720"/>
        <w:tabs>
          <w:tab w:val="left" w:pos="1080"/>
        </w:tabs>
      </w:pPr>
      <w:r>
        <w:rPr>
          <w:rFonts w:ascii="Arial" w:hAnsi="Arial"/>
          <w:b/>
          <w:i w:val="0"/>
          <w:color w:val="000000"/>
          <w:sz w:val="20"/>
        </w:rPr>
        <w:t>6.0</w:t>
        <w:tab/>
        <w:t>PERFORMANCE INDICATORS &amp; AUDIT</w:t>
      </w:r>
    </w:p>
    <w:p>
      <w:pPr>
        <w:spacing w:before="0" w:after="60"/>
        <w:ind w:left="720"/>
        <w:tabs>
          <w:tab w:val="left" w:pos="1080"/>
        </w:tabs>
      </w:pPr>
      <w:r>
        <w:rPr>
          <w:rFonts w:ascii="Arial" w:hAnsi="Arial"/>
          <w:b/>
          <w:i w:val="0"/>
          <w:color w:val="000000"/>
          <w:sz w:val="20"/>
        </w:rPr>
        <w:t>7.0</w:t>
        <w:tab/>
        <w:t>REFERENCED DOCUMENTS</w:t>
      </w:r>
    </w:p>
    <w:p>
      <w:pPr>
        <w:spacing w:before="0" w:after="60"/>
        <w:ind w:left="720"/>
        <w:tabs>
          <w:tab w:val="left" w:pos="1080"/>
        </w:tabs>
      </w:pPr>
      <w:r>
        <w:rPr>
          <w:rFonts w:ascii="Arial" w:hAnsi="Arial"/>
          <w:b/>
          <w:i w:val="0"/>
          <w:color w:val="000000"/>
          <w:sz w:val="20"/>
        </w:rPr>
        <w:t>8.0</w:t>
        <w:tab/>
        <w:t>ATTACHMENTS &amp; ASSOCIATED FORMS</w:t>
      </w:r>
    </w:p>
    <w:p>
      <w:r>
        <w:br w:type="page"/>
      </w:r>
    </w:p>
    <w:p>
      <w:pPr>
        <w:spacing w:before="240" w:after="80" w:line="276" w:lineRule="auto"/>
        <w:ind w:left="0"/>
        <w:tabs>
          <w:tab w:val="left" w:pos="720"/>
        </w:tabs>
      </w:pPr>
      <w:r>
        <w:rPr>
          <w:rFonts w:ascii="Arial" w:hAnsi="Arial"/>
          <w:b/>
          <w:i w:val="0"/>
          <w:color w:val="000000"/>
          <w:sz w:val="26"/>
        </w:rPr>
        <w:t>1.0</w:t>
        <w:tab/>
        <w:t>OBJECTIVE</w:t>
      </w:r>
    </w:p>
    <w:p>
      <w:pPr>
        <w:spacing w:before="0" w:after="80" w:line="276" w:lineRule="auto"/>
        <w:ind w:left="720"/>
        <w:jc w:val="both"/>
      </w:pPr>
      <w:r>
        <w:rPr>
          <w:rFonts w:ascii="Arial" w:hAnsi="Arial"/>
          <w:b w:val="0"/>
          <w:i w:val="0"/>
          <w:color w:val="3B3838"/>
          <w:sz w:val="21"/>
        </w:rPr>
        <w:t>The objective of this procedure is to establish a rigorous, preventive, and systematic health surveillance protocol for all prospective candidates, permanent staff, and contractor personnel of PT Nirwana Bhumi Energy.</w:t>
      </w:r>
    </w:p>
    <w:p>
      <w:pPr>
        <w:spacing w:before="0" w:after="80" w:line="276" w:lineRule="auto"/>
        <w:ind w:left="720"/>
        <w:jc w:val="both"/>
      </w:pPr>
      <w:r>
        <w:rPr>
          <w:rFonts w:ascii="Arial" w:hAnsi="Arial"/>
          <w:b w:val="0"/>
          <w:i w:val="0"/>
          <w:color w:val="3B3838"/>
          <w:sz w:val="21"/>
        </w:rPr>
        <w:t>Specifically, this procedure guarantees that:</w:t>
      </w:r>
    </w:p>
    <w:p>
      <w:pPr>
        <w:pStyle w:val="ListParagraph"/>
        <w:spacing w:before="0" w:after="40" w:line="276" w:lineRule="auto"/>
        <w:jc w:val="both"/>
        <w:numPr>
          <w:ilvl w:val="0"/>
          <w:numId w:val="2"/>
        </w:numPr>
        <w:ind w:left="1134"/>
      </w:pPr>
      <w:r>
        <w:rPr>
          <w:rFonts w:ascii="Arial" w:hAnsi="Arial"/>
          <w:b w:val="0"/>
          <w:i w:val="0"/>
          <w:color w:val="3B3838"/>
          <w:sz w:val="21"/>
        </w:rPr>
        <w:t>Personnel are medically and physically fit to execute assigned occupational duties safely without endangering themselves, co-workers, or the operational environment (Fit for Duty).</w:t>
      </w:r>
    </w:p>
    <w:p>
      <w:pPr>
        <w:pStyle w:val="ListParagraph"/>
        <w:spacing w:before="0" w:after="40" w:line="276" w:lineRule="auto"/>
        <w:jc w:val="both"/>
        <w:numPr>
          <w:ilvl w:val="0"/>
          <w:numId w:val="2"/>
        </w:numPr>
        <w:ind w:left="1134"/>
      </w:pPr>
      <w:r>
        <w:rPr>
          <w:rFonts w:ascii="Arial" w:hAnsi="Arial"/>
          <w:b w:val="0"/>
          <w:i w:val="0"/>
          <w:color w:val="3B3838"/>
          <w:sz w:val="21"/>
        </w:rPr>
        <w:t>Early health impairments, work-related physiological deterioration, and occupational illnesses are detected at reversible stages through scheduled clinical surveillance.</w:t>
      </w:r>
    </w:p>
    <w:p>
      <w:pPr>
        <w:pStyle w:val="ListParagraph"/>
        <w:spacing w:before="0" w:after="40" w:line="276" w:lineRule="auto"/>
        <w:jc w:val="both"/>
        <w:numPr>
          <w:ilvl w:val="0"/>
          <w:numId w:val="2"/>
        </w:numPr>
        <w:ind w:left="1134"/>
      </w:pPr>
      <w:r>
        <w:rPr>
          <w:rFonts w:ascii="Arial" w:hAnsi="Arial"/>
          <w:b w:val="0"/>
          <w:i w:val="0"/>
          <w:color w:val="3B3838"/>
          <w:sz w:val="21"/>
        </w:rPr>
        <w:t>Full compliance is maintained with Indonesian statutory occupational health regulations (Law No. 1/1970 and Minister of Manpower Regulation No. Per.02/MEN/1980) and energy sector CSMS standards.</w:t>
      </w:r>
    </w:p>
    <w:p>
      <w:pPr>
        <w:spacing w:before="240" w:after="80" w:line="276" w:lineRule="auto"/>
        <w:ind w:left="0"/>
        <w:tabs>
          <w:tab w:val="left" w:pos="720"/>
        </w:tabs>
      </w:pPr>
      <w:r>
        <w:rPr>
          <w:rFonts w:ascii="Arial" w:hAnsi="Arial"/>
          <w:b/>
          <w:i w:val="0"/>
          <w:color w:val="000000"/>
          <w:sz w:val="26"/>
        </w:rPr>
        <w:t>2.0</w:t>
        <w:tab/>
        <w:t>SCOPE</w:t>
      </w:r>
    </w:p>
    <w:p>
      <w:pPr>
        <w:spacing w:before="0" w:after="80" w:line="276" w:lineRule="auto"/>
        <w:ind w:left="720"/>
        <w:jc w:val="both"/>
      </w:pPr>
      <w:r>
        <w:rPr>
          <w:rFonts w:ascii="Arial" w:hAnsi="Arial"/>
          <w:b w:val="0"/>
          <w:i w:val="0"/>
          <w:color w:val="3B3838"/>
          <w:sz w:val="21"/>
        </w:rPr>
        <w:t>This procedure applies to all operational sites, fabrication workshops, corporate headquarters, and field rig operations of PT Nirwana Bhumi Energy.</w:t>
      </w:r>
    </w:p>
    <w:p>
      <w:pPr>
        <w:spacing w:before="0" w:after="80" w:line="276" w:lineRule="auto"/>
        <w:ind w:left="720"/>
        <w:jc w:val="both"/>
      </w:pPr>
      <w:r>
        <w:rPr>
          <w:rFonts w:ascii="Arial" w:hAnsi="Arial"/>
          <w:b w:val="0"/>
          <w:i w:val="0"/>
          <w:color w:val="3B3838"/>
          <w:sz w:val="21"/>
        </w:rPr>
        <w:t>The medical examination regimen covers:</w:t>
      </w:r>
    </w:p>
    <w:p>
      <w:pPr>
        <w:pStyle w:val="ListParagraph"/>
        <w:spacing w:before="0" w:after="40" w:line="276" w:lineRule="auto"/>
        <w:jc w:val="both"/>
        <w:numPr>
          <w:ilvl w:val="0"/>
          <w:numId w:val="2"/>
        </w:numPr>
        <w:ind w:left="1134"/>
      </w:pPr>
      <w:r>
        <w:rPr>
          <w:rFonts w:ascii="Arial" w:hAnsi="Arial"/>
          <w:b w:val="0"/>
          <w:i w:val="0"/>
          <w:color w:val="3B3838"/>
          <w:sz w:val="21"/>
        </w:rPr>
        <w:t>Pre-Employment Medical Examinations (Pemeriksaan Kesehatan Awal) for all new hires and transferred personnel.</w:t>
      </w:r>
    </w:p>
    <w:p>
      <w:pPr>
        <w:pStyle w:val="ListParagraph"/>
        <w:spacing w:before="0" w:after="40" w:line="276" w:lineRule="auto"/>
        <w:jc w:val="both"/>
        <w:numPr>
          <w:ilvl w:val="0"/>
          <w:numId w:val="2"/>
        </w:numPr>
        <w:ind w:left="1134"/>
      </w:pPr>
      <w:r>
        <w:rPr>
          <w:rFonts w:ascii="Arial" w:hAnsi="Arial"/>
          <w:b w:val="0"/>
          <w:i w:val="0"/>
          <w:color w:val="3B3838"/>
          <w:sz w:val="21"/>
        </w:rPr>
        <w:t>Periodic Annual Health Examinations (Pemeriksaan Kesehatan Berkala) for all active employees.</w:t>
      </w:r>
    </w:p>
    <w:p>
      <w:pPr>
        <w:pStyle w:val="ListParagraph"/>
        <w:spacing w:before="0" w:after="40" w:line="276" w:lineRule="auto"/>
        <w:jc w:val="both"/>
        <w:numPr>
          <w:ilvl w:val="0"/>
          <w:numId w:val="2"/>
        </w:numPr>
        <w:ind w:left="1134"/>
      </w:pPr>
      <w:r>
        <w:rPr>
          <w:rFonts w:ascii="Arial" w:hAnsi="Arial"/>
          <w:b w:val="0"/>
          <w:i w:val="0"/>
          <w:color w:val="3B3838"/>
          <w:sz w:val="21"/>
        </w:rPr>
        <w:t>Special Medical Examinations (Pemeriksaan Kesehatan Khusus) for personnel exposed to identified high-risk physical, chemical, biological, or ergonomic hazards.</w:t>
      </w:r>
    </w:p>
    <w:p>
      <w:pPr>
        <w:pStyle w:val="ListParagraph"/>
        <w:spacing w:before="0" w:after="40" w:line="276" w:lineRule="auto"/>
        <w:jc w:val="both"/>
        <w:numPr>
          <w:ilvl w:val="0"/>
          <w:numId w:val="2"/>
        </w:numPr>
        <w:ind w:left="1134"/>
      </w:pPr>
      <w:r>
        <w:rPr>
          <w:rFonts w:ascii="Arial" w:hAnsi="Arial"/>
          <w:b w:val="0"/>
          <w:i w:val="0"/>
          <w:color w:val="3B3838"/>
          <w:sz w:val="21"/>
        </w:rPr>
        <w:t>Post-Illness / Return-to-Work Fitness Assessments following severe illness, major surgery, or prolonged medical absence (&gt; 14 days).</w:t>
      </w:r>
    </w:p>
    <w:p>
      <w:pPr>
        <w:spacing w:before="240" w:after="80" w:line="276" w:lineRule="auto"/>
        <w:ind w:left="0"/>
        <w:tabs>
          <w:tab w:val="left" w:pos="720"/>
        </w:tabs>
      </w:pPr>
      <w:r>
        <w:rPr>
          <w:rFonts w:ascii="Arial" w:hAnsi="Arial"/>
          <w:b/>
          <w:i w:val="0"/>
          <w:color w:val="000000"/>
          <w:sz w:val="26"/>
        </w:rPr>
        <w:t>3.0</w:t>
        <w:tab/>
        <w:t>DEFINITIONS &amp; ABBREVIATIONS</w:t>
      </w:r>
    </w:p>
    <w:p>
      <w:pPr>
        <w:spacing w:before="0" w:after="80" w:line="276" w:lineRule="auto"/>
        <w:ind w:left="720"/>
        <w:jc w:val="both"/>
      </w:pPr>
      <w:r>
        <w:rPr>
          <w:rFonts w:ascii="Arial" w:hAnsi="Arial"/>
          <w:b w:val="0"/>
          <w:i w:val="0"/>
          <w:color w:val="3B3838"/>
          <w:sz w:val="21"/>
        </w:rPr>
        <w:t>Medical Surveillance: The systematic, continuous collection, analysis, and clinical evaluation of health data to identify adverse health effects resulting from occupational exposures.</w:t>
      </w:r>
    </w:p>
    <w:p>
      <w:pPr>
        <w:spacing w:before="0" w:after="80" w:line="276" w:lineRule="auto"/>
        <w:ind w:left="720"/>
        <w:jc w:val="both"/>
      </w:pPr>
      <w:r>
        <w:rPr>
          <w:rFonts w:ascii="Arial" w:hAnsi="Arial"/>
          <w:b w:val="0"/>
          <w:i w:val="0"/>
          <w:color w:val="3B3838"/>
          <w:sz w:val="21"/>
        </w:rPr>
        <w:t>Fit for Duty (FFD): A formal clinical determination that an individual is physically and psychologically capable of performing their specific job tasks safely.</w:t>
      </w:r>
    </w:p>
    <w:p>
      <w:pPr>
        <w:spacing w:before="0" w:after="80" w:line="276" w:lineRule="auto"/>
        <w:ind w:left="720"/>
        <w:jc w:val="both"/>
      </w:pPr>
      <w:r>
        <w:rPr>
          <w:rFonts w:ascii="Arial" w:hAnsi="Arial"/>
          <w:b w:val="0"/>
          <w:i w:val="0"/>
          <w:color w:val="3B3838"/>
          <w:sz w:val="21"/>
        </w:rPr>
        <w:t>Certified Examining Physician (Dokter Pemeriksa): A licensed medical practitioner who has completed certification in Occupational Health and is officially appointed by the Ministry of Manpower.</w:t>
      </w:r>
    </w:p>
    <w:p>
      <w:pPr>
        <w:spacing w:before="0" w:after="80" w:line="276" w:lineRule="auto"/>
        <w:ind w:left="720"/>
        <w:jc w:val="both"/>
      </w:pPr>
      <w:r>
        <w:rPr>
          <w:rFonts w:ascii="Arial" w:hAnsi="Arial"/>
          <w:b w:val="0"/>
          <w:i w:val="0"/>
          <w:color w:val="3B3838"/>
          <w:sz w:val="21"/>
        </w:rPr>
        <w:t>Special Medical Examination: Targeted diagnostic testing conducted on workers exposed to specific occupational hazards (e.g., audiometry for noise &gt; 85 dBA, spirometry for respirable silica/fumes, biological toxin markers).</w:t>
      </w:r>
    </w:p>
    <w:p>
      <w:pPr>
        <w:spacing w:before="0" w:after="80" w:line="276" w:lineRule="auto"/>
        <w:ind w:left="720"/>
        <w:jc w:val="both"/>
      </w:pPr>
      <w:r>
        <w:rPr>
          <w:rFonts w:ascii="Arial" w:hAnsi="Arial"/>
          <w:b w:val="0"/>
          <w:i w:val="0"/>
          <w:color w:val="3B3838"/>
          <w:sz w:val="21"/>
        </w:rPr>
        <w:t>Temporarily Unfit: A medical condition that temporarily prevents an employee from performing specific work duties, but is treatable and subject to re-evaluation upon full recovery.</w:t>
      </w:r>
    </w:p>
    <w:p>
      <w:pPr>
        <w:spacing w:before="240" w:after="80" w:line="276" w:lineRule="auto"/>
        <w:ind w:left="0"/>
        <w:tabs>
          <w:tab w:val="left" w:pos="720"/>
        </w:tabs>
      </w:pPr>
      <w:r>
        <w:rPr>
          <w:rFonts w:ascii="Arial" w:hAnsi="Arial"/>
          <w:b/>
          <w:i w:val="0"/>
          <w:color w:val="000000"/>
          <w:sz w:val="26"/>
        </w:rPr>
        <w:t>4.0</w:t>
        <w:tab/>
        <w:t>RESPONSIBILITIES</w:t>
      </w:r>
    </w:p>
    <w:p>
      <w:pPr>
        <w:spacing w:before="0" w:after="80" w:line="276" w:lineRule="auto"/>
        <w:ind w:left="720"/>
        <w:jc w:val="both"/>
      </w:pPr>
      <w:r>
        <w:rPr>
          <w:rFonts w:ascii="Arial" w:hAnsi="Arial"/>
          <w:b w:val="0"/>
          <w:i w:val="0"/>
          <w:color w:val="3B3838"/>
          <w:sz w:val="21"/>
        </w:rPr>
        <w:t>Director of Operations &amp; Technology / CTO: Ensures operational supervisors mandate medical clearance prior to deploying crews to high-risk industrial, rig, or offshore sites.</w:t>
      </w:r>
    </w:p>
    <w:p>
      <w:pPr>
        <w:spacing w:before="0" w:after="80" w:line="276" w:lineRule="auto"/>
        <w:ind w:left="720"/>
        <w:jc w:val="both"/>
      </w:pPr>
      <w:r>
        <w:rPr>
          <w:rFonts w:ascii="Arial" w:hAnsi="Arial"/>
          <w:b w:val="0"/>
          <w:i w:val="0"/>
          <w:color w:val="3B3838"/>
          <w:sz w:val="21"/>
        </w:rPr>
        <w:t>Director of Finance &amp; Human Resources / CFO: Oversees healthcare budgets, arranges medical service provider contracts, and coordinates with HR on employee leaves and placement adjustments.</w:t>
      </w:r>
    </w:p>
    <w:p>
      <w:pPr>
        <w:spacing w:before="0" w:after="80" w:line="276" w:lineRule="auto"/>
        <w:ind w:left="720"/>
        <w:jc w:val="both"/>
      </w:pPr>
      <w:r>
        <w:rPr>
          <w:rFonts w:ascii="Arial" w:hAnsi="Arial"/>
          <w:b w:val="0"/>
          <w:i w:val="0"/>
          <w:color w:val="3B3838"/>
          <w:sz w:val="21"/>
        </w:rPr>
        <w:t>Company Medical Doctor / HSE Coordinator: Maintains the Register of High-Risk Activities, tracks employee surveillance schedules, analyzes clinical trend reports, and oversees medical data confidentiality.</w:t>
      </w:r>
    </w:p>
    <w:p>
      <w:pPr>
        <w:spacing w:before="0" w:after="80" w:line="276" w:lineRule="auto"/>
        <w:ind w:left="720"/>
        <w:jc w:val="both"/>
      </w:pPr>
      <w:r>
        <w:rPr>
          <w:rFonts w:ascii="Arial" w:hAnsi="Arial"/>
          <w:b w:val="0"/>
          <w:i w:val="0"/>
          <w:color w:val="3B3838"/>
          <w:sz w:val="21"/>
        </w:rPr>
        <w:t>Department Managers / Supervisors: Ensure 100% of designated workers attend their scheduled health examinations and implement recommended ergonomic and operational work restrictions.</w:t>
      </w:r>
    </w:p>
    <w:p>
      <w:pPr>
        <w:spacing w:before="0" w:after="80" w:line="276" w:lineRule="auto"/>
        <w:ind w:left="720"/>
        <w:jc w:val="both"/>
      </w:pPr>
      <w:r>
        <w:rPr>
          <w:rFonts w:ascii="Arial" w:hAnsi="Arial"/>
          <w:b w:val="0"/>
          <w:i w:val="0"/>
          <w:color w:val="3B3838"/>
          <w:sz w:val="21"/>
        </w:rPr>
        <w:t>All Employees: Attend scheduled medical appointments punctually, provide truthful medical history information, and comply with medical recommendations and prescribed treatment plans.</w:t>
      </w:r>
    </w:p>
    <w:p>
      <w:pPr>
        <w:spacing w:before="240" w:after="80" w:line="276" w:lineRule="auto"/>
        <w:ind w:left="0"/>
        <w:tabs>
          <w:tab w:val="left" w:pos="720"/>
        </w:tabs>
      </w:pPr>
      <w:r>
        <w:rPr>
          <w:rFonts w:ascii="Arial" w:hAnsi="Arial"/>
          <w:b/>
          <w:i w:val="0"/>
          <w:color w:val="000000"/>
          <w:sz w:val="26"/>
        </w:rPr>
        <w:t>5.0</w:t>
        <w:tab/>
        <w:t>PROCEDURE STEPS</w:t>
      </w:r>
    </w:p>
    <w:p>
      <w:pPr>
        <w:spacing w:before="160" w:after="60" w:line="276" w:lineRule="auto"/>
        <w:ind w:left="0"/>
        <w:tabs>
          <w:tab w:val="left" w:pos="720"/>
        </w:tabs>
      </w:pPr>
      <w:r>
        <w:rPr>
          <w:rFonts w:ascii="Arial" w:hAnsi="Arial"/>
          <w:b/>
          <w:i w:val="0"/>
          <w:color w:val="000000"/>
          <w:sz w:val="22"/>
        </w:rPr>
        <w:t>5.1</w:t>
        <w:tab/>
        <w:t>Pre-Employment Medical Examination Protocol</w:t>
      </w:r>
    </w:p>
    <w:p>
      <w:pPr>
        <w:spacing w:before="0" w:after="80" w:line="276" w:lineRule="auto"/>
        <w:ind w:left="720"/>
        <w:jc w:val="both"/>
      </w:pPr>
      <w:r>
        <w:rPr>
          <w:rFonts w:ascii="Arial" w:hAnsi="Arial"/>
          <w:b w:val="0"/>
          <w:i w:val="0"/>
          <w:color w:val="3B3838"/>
          <w:sz w:val="21"/>
        </w:rPr>
        <w:t>Every candidate selected for employment or transfer shall undergo a comprehensive pre-employment medical examination prior to formal contracting and mobilization.</w:t>
      </w:r>
    </w:p>
    <w:p>
      <w:pPr>
        <w:spacing w:before="0" w:after="80" w:line="276" w:lineRule="auto"/>
        <w:ind w:left="720"/>
        <w:jc w:val="both"/>
      </w:pPr>
      <w:r>
        <w:rPr>
          <w:rFonts w:ascii="Arial" w:hAnsi="Arial"/>
          <w:b w:val="0"/>
          <w:i w:val="0"/>
          <w:color w:val="3B3838"/>
          <w:sz w:val="21"/>
        </w:rPr>
        <w:t>The standard pre-employment diagnostic battery includes complete clinical history, physical examination, visual acuity and color perception, resting 12-lead ECG, digital chest X-ray, complete blood count (CBC), liver and kidney function tests, fasting blood glucose, lipid profile, routine urinalysis, and mandatory 6-panel drug and alcohol toxicology screening.</w:t>
      </w:r>
    </w:p>
    <w:p>
      <w:pPr>
        <w:spacing w:before="160" w:after="60" w:line="276" w:lineRule="auto"/>
        <w:ind w:left="0"/>
        <w:tabs>
          <w:tab w:val="left" w:pos="720"/>
        </w:tabs>
      </w:pPr>
      <w:r>
        <w:rPr>
          <w:rFonts w:ascii="Arial" w:hAnsi="Arial"/>
          <w:b/>
          <w:i w:val="0"/>
          <w:color w:val="000000"/>
          <w:sz w:val="22"/>
        </w:rPr>
        <w:t>5.2</w:t>
        <w:tab/>
        <w:t>Periodic Annual Health Examinations</w:t>
      </w:r>
    </w:p>
    <w:p>
      <w:pPr>
        <w:spacing w:before="0" w:after="80" w:line="276" w:lineRule="auto"/>
        <w:ind w:left="720"/>
        <w:jc w:val="both"/>
      </w:pPr>
      <w:r>
        <w:rPr>
          <w:rFonts w:ascii="Arial" w:hAnsi="Arial"/>
          <w:b w:val="0"/>
          <w:i w:val="0"/>
          <w:color w:val="3B3838"/>
          <w:sz w:val="21"/>
        </w:rPr>
        <w:t>All permanent and direct contract employees shall undergo periodic health screening at least once every twelve (12) months. The HSE Coordinator and HR Department shall formulate the annual examination timetable in Q1 of each calendar year.</w:t>
      </w:r>
    </w:p>
    <w:p>
      <w:pPr>
        <w:spacing w:before="0" w:after="80" w:line="276" w:lineRule="auto"/>
        <w:ind w:left="720"/>
        <w:jc w:val="both"/>
      </w:pPr>
      <w:r>
        <w:rPr>
          <w:rFonts w:ascii="Arial" w:hAnsi="Arial"/>
          <w:b w:val="0"/>
          <w:i w:val="0"/>
          <w:color w:val="3B3838"/>
          <w:sz w:val="21"/>
        </w:rPr>
        <w:t>Periodic examinations track longitudinal physiological parameters, cardiovascular risk indices, metabolic markers, and general health metrics to guide preventive occupational wellness programs.</w:t>
      </w:r>
    </w:p>
    <w:p>
      <w:pPr>
        <w:spacing w:before="160" w:after="60" w:line="276" w:lineRule="auto"/>
        <w:ind w:left="0"/>
        <w:tabs>
          <w:tab w:val="left" w:pos="720"/>
        </w:tabs>
      </w:pPr>
      <w:r>
        <w:rPr>
          <w:rFonts w:ascii="Arial" w:hAnsi="Arial"/>
          <w:b/>
          <w:i w:val="0"/>
          <w:color w:val="000000"/>
          <w:sz w:val="22"/>
        </w:rPr>
        <w:t>5.3</w:t>
        <w:tab/>
        <w:t>Special Medical Examination Protocol</w:t>
      </w:r>
    </w:p>
    <w:p>
      <w:pPr>
        <w:spacing w:before="0" w:after="80" w:line="276" w:lineRule="auto"/>
        <w:ind w:left="720"/>
        <w:jc w:val="both"/>
      </w:pPr>
      <w:r>
        <w:rPr>
          <w:rFonts w:ascii="Arial" w:hAnsi="Arial"/>
          <w:b w:val="0"/>
          <w:i w:val="0"/>
          <w:color w:val="3B3838"/>
          <w:sz w:val="21"/>
        </w:rPr>
        <w:t>The Company Medical Doctor and HSE Coordinator shall evaluate all operational tasks across fabrication shops and field projects to compile the Register of High-Risk Activities Requiring Special Permit (Form 0001-FOR-MED-COO-X-2026).</w:t>
      </w:r>
    </w:p>
    <w:p>
      <w:pPr>
        <w:spacing w:before="0" w:after="80" w:line="276" w:lineRule="auto"/>
        <w:ind w:left="720"/>
        <w:jc w:val="both"/>
      </w:pPr>
      <w:r>
        <w:rPr>
          <w:rFonts w:ascii="Arial" w:hAnsi="Arial"/>
          <w:b w:val="0"/>
          <w:i w:val="0"/>
          <w:color w:val="3B3838"/>
          <w:sz w:val="21"/>
        </w:rPr>
        <w:t>Workers assigned to activities involving specific hazards shall be enrolled in targeted surveillance on the Register of Employees Requiring Special Medical Examination (Form 0002-FOR-MED-COO-X-2026), undergoing specialized diagnostic batteries:</w:t>
      </w:r>
    </w:p>
    <w:p>
      <w:pPr>
        <w:pStyle w:val="ListParagraph"/>
        <w:spacing w:before="0" w:after="40" w:line="276" w:lineRule="auto"/>
        <w:jc w:val="both"/>
        <w:numPr>
          <w:ilvl w:val="0"/>
          <w:numId w:val="2"/>
        </w:numPr>
        <w:ind w:left="1134"/>
      </w:pPr>
      <w:r>
        <w:rPr>
          <w:rFonts w:ascii="Arial" w:hAnsi="Arial"/>
          <w:b w:val="0"/>
          <w:i w:val="0"/>
          <w:color w:val="3B3838"/>
          <w:sz w:val="21"/>
        </w:rPr>
        <w:t>High Noise Exposure (&gt; 85 dBA 8-hr TWA): Baseline and semi-annual pure-tone Audiometry testing to detect Standard Threshold Shifts (STS).</w:t>
      </w:r>
    </w:p>
    <w:p>
      <w:pPr>
        <w:pStyle w:val="ListParagraph"/>
        <w:spacing w:before="0" w:after="40" w:line="276" w:lineRule="auto"/>
        <w:jc w:val="both"/>
        <w:numPr>
          <w:ilvl w:val="0"/>
          <w:numId w:val="2"/>
        </w:numPr>
        <w:ind w:left="1134"/>
      </w:pPr>
      <w:r>
        <w:rPr>
          <w:rFonts w:ascii="Arial" w:hAnsi="Arial"/>
          <w:b w:val="0"/>
          <w:i w:val="0"/>
          <w:color w:val="3B3838"/>
          <w:sz w:val="21"/>
        </w:rPr>
        <w:t>Respirable Dusts, Chemical Fumes, or Welding Aerosols: Spirometry (Pulmonary Function Testing - FEV1/FVC) and targeted chest imaging.</w:t>
      </w:r>
    </w:p>
    <w:p>
      <w:pPr>
        <w:pStyle w:val="ListParagraph"/>
        <w:spacing w:before="0" w:after="40" w:line="276" w:lineRule="auto"/>
        <w:jc w:val="both"/>
        <w:numPr>
          <w:ilvl w:val="0"/>
          <w:numId w:val="2"/>
        </w:numPr>
        <w:ind w:left="1134"/>
      </w:pPr>
      <w:r>
        <w:rPr>
          <w:rFonts w:ascii="Arial" w:hAnsi="Arial"/>
          <w:b w:val="0"/>
          <w:i w:val="0"/>
          <w:color w:val="3B3838"/>
          <w:sz w:val="21"/>
        </w:rPr>
        <w:t>Chemical &amp; Heavy Metal Handlers: Biological monitoring including urinary metabolites, blood lead levels, and specialized liver/renal panels.</w:t>
      </w:r>
    </w:p>
    <w:p>
      <w:pPr>
        <w:pStyle w:val="ListParagraph"/>
        <w:spacing w:before="0" w:after="40" w:line="276" w:lineRule="auto"/>
        <w:jc w:val="both"/>
        <w:numPr>
          <w:ilvl w:val="0"/>
          <w:numId w:val="2"/>
        </w:numPr>
        <w:ind w:left="1134"/>
      </w:pPr>
      <w:r>
        <w:rPr>
          <w:rFonts w:ascii="Arial" w:hAnsi="Arial"/>
          <w:b w:val="0"/>
          <w:i w:val="0"/>
          <w:color w:val="3B3838"/>
          <w:sz w:val="21"/>
        </w:rPr>
        <w:t>Work at Heights / Scaffolding Crews: Vestibular balance testing, neurological screening, and cardiovascular stress evaluation.</w:t>
      </w:r>
    </w:p>
    <w:p>
      <w:pPr>
        <w:spacing w:before="160" w:after="60" w:line="276" w:lineRule="auto"/>
        <w:ind w:left="0"/>
        <w:tabs>
          <w:tab w:val="left" w:pos="720"/>
        </w:tabs>
      </w:pPr>
      <w:r>
        <w:rPr>
          <w:rFonts w:ascii="Arial" w:hAnsi="Arial"/>
          <w:b/>
          <w:i w:val="0"/>
          <w:color w:val="000000"/>
          <w:sz w:val="22"/>
        </w:rPr>
        <w:t>5.4</w:t>
        <w:tab/>
        <w:t>Medical Fit-for-Duty Categorization</w:t>
      </w:r>
    </w:p>
    <w:p>
      <w:pPr>
        <w:spacing w:before="0" w:after="80" w:line="276" w:lineRule="auto"/>
        <w:ind w:left="720"/>
        <w:jc w:val="both"/>
      </w:pPr>
      <w:r>
        <w:rPr>
          <w:rFonts w:ascii="Arial" w:hAnsi="Arial"/>
          <w:b w:val="0"/>
          <w:i w:val="0"/>
          <w:color w:val="3B3838"/>
          <w:sz w:val="21"/>
        </w:rPr>
        <w:t>Following examination, the Certified Examining Physician shall categorize the employee into one of four formal Fit-for-Duty classifications:</w:t>
      </w:r>
    </w:p>
    <w:p>
      <w:pPr>
        <w:pStyle w:val="ListParagraph"/>
        <w:spacing w:before="0" w:after="40" w:line="276" w:lineRule="auto"/>
        <w:jc w:val="both"/>
        <w:numPr>
          <w:ilvl w:val="0"/>
          <w:numId w:val="2"/>
        </w:numPr>
        <w:ind w:left="1134"/>
      </w:pPr>
      <w:r>
        <w:rPr>
          <w:rFonts w:ascii="Arial" w:hAnsi="Arial"/>
          <w:b w:val="0"/>
          <w:i w:val="0"/>
          <w:color w:val="3B3838"/>
          <w:sz w:val="21"/>
        </w:rPr>
        <w:t>Fit to Work (Class 1): Fully qualified to perform all regular occupational tasks without medical restrictions.</w:t>
      </w:r>
    </w:p>
    <w:p>
      <w:pPr>
        <w:pStyle w:val="ListParagraph"/>
        <w:spacing w:before="0" w:after="40" w:line="276" w:lineRule="auto"/>
        <w:jc w:val="both"/>
        <w:numPr>
          <w:ilvl w:val="0"/>
          <w:numId w:val="2"/>
        </w:numPr>
        <w:ind w:left="1134"/>
      </w:pPr>
      <w:r>
        <w:rPr>
          <w:rFonts w:ascii="Arial" w:hAnsi="Arial"/>
          <w:b w:val="0"/>
          <w:i w:val="0"/>
          <w:color w:val="3B3838"/>
          <w:sz w:val="21"/>
        </w:rPr>
        <w:t>Fit with Work Restrictions (Class 2): Medically fit to work subject to specific limitations (e.g., no heavy lifting &gt; 15 kg, no work at heights, strict hearing protection mandates).</w:t>
      </w:r>
    </w:p>
    <w:p>
      <w:pPr>
        <w:pStyle w:val="ListParagraph"/>
        <w:spacing w:before="0" w:after="40" w:line="276" w:lineRule="auto"/>
        <w:jc w:val="both"/>
        <w:numPr>
          <w:ilvl w:val="0"/>
          <w:numId w:val="2"/>
        </w:numPr>
        <w:ind w:left="1134"/>
      </w:pPr>
      <w:r>
        <w:rPr>
          <w:rFonts w:ascii="Arial" w:hAnsi="Arial"/>
          <w:b w:val="0"/>
          <w:i w:val="0"/>
          <w:color w:val="3B3838"/>
          <w:sz w:val="21"/>
        </w:rPr>
        <w:t>Temporarily Unfit (Class 3): Temporarily suspended from occupational tasks pending treatment, stabilization, or specialist medical clearance.</w:t>
      </w:r>
    </w:p>
    <w:p>
      <w:pPr>
        <w:pStyle w:val="ListParagraph"/>
        <w:spacing w:before="0" w:after="40" w:line="276" w:lineRule="auto"/>
        <w:jc w:val="both"/>
        <w:numPr>
          <w:ilvl w:val="0"/>
          <w:numId w:val="2"/>
        </w:numPr>
        <w:ind w:left="1134"/>
      </w:pPr>
      <w:r>
        <w:rPr>
          <w:rFonts w:ascii="Arial" w:hAnsi="Arial"/>
          <w:b w:val="0"/>
          <w:i w:val="0"/>
          <w:color w:val="3B3838"/>
          <w:sz w:val="21"/>
        </w:rPr>
        <w:t>Permanently Unfit (Class 4): Permanent disability or medical condition precluding safe execution of occupational duties.</w:t>
      </w:r>
    </w:p>
    <w:p>
      <w:pPr>
        <w:spacing w:before="160" w:after="60" w:line="276" w:lineRule="auto"/>
        <w:ind w:left="0"/>
        <w:tabs>
          <w:tab w:val="left" w:pos="720"/>
        </w:tabs>
      </w:pPr>
      <w:r>
        <w:rPr>
          <w:rFonts w:ascii="Arial" w:hAnsi="Arial"/>
          <w:b/>
          <w:i w:val="0"/>
          <w:color w:val="000000"/>
          <w:sz w:val="22"/>
        </w:rPr>
        <w:t>5.5</w:t>
        <w:tab/>
        <w:t>Confidentiality and Archiving of Medical Records</w:t>
      </w:r>
    </w:p>
    <w:p>
      <w:pPr>
        <w:spacing w:before="0" w:after="80" w:line="276" w:lineRule="auto"/>
        <w:ind w:left="720"/>
        <w:jc w:val="both"/>
      </w:pPr>
      <w:r>
        <w:rPr>
          <w:rFonts w:ascii="Arial" w:hAnsi="Arial"/>
          <w:b w:val="0"/>
          <w:i w:val="0"/>
          <w:color w:val="3B3838"/>
          <w:sz w:val="21"/>
        </w:rPr>
        <w:t>All employee medical records, diagnostic test results, and clinical files are privileged, confidential medical data. Medical records shall be secured in locked archives or encrypted electronic folders accessible exclusively to the Company Medical Doctor and designated healthcare staff.</w:t>
      </w:r>
    </w:p>
    <w:p>
      <w:pPr>
        <w:spacing w:before="0" w:after="80" w:line="276" w:lineRule="auto"/>
        <w:ind w:left="720"/>
        <w:jc w:val="both"/>
      </w:pPr>
      <w:r>
        <w:rPr>
          <w:rFonts w:ascii="Arial" w:hAnsi="Arial"/>
          <w:b w:val="0"/>
          <w:i w:val="0"/>
          <w:color w:val="3B3838"/>
          <w:sz w:val="21"/>
        </w:rPr>
        <w:t>Employee medical files shall be retained for a mandatory minimum period of thirty (30) years following termination of employment, in strict adherence to statutory occupational health standards.</w:t>
      </w:r>
    </w:p>
    <w:p>
      <w:pPr>
        <w:spacing w:before="160" w:after="60" w:line="276" w:lineRule="auto"/>
        <w:ind w:left="0"/>
        <w:tabs>
          <w:tab w:val="left" w:pos="720"/>
        </w:tabs>
      </w:pPr>
      <w:r>
        <w:rPr>
          <w:rFonts w:ascii="Arial" w:hAnsi="Arial"/>
          <w:b/>
          <w:i w:val="0"/>
          <w:color w:val="000000"/>
          <w:sz w:val="22"/>
        </w:rPr>
        <w:t>5.6</w:t>
        <w:tab/>
        <w:t>Statutory Reporting to Ministry of Manpower</w:t>
      </w:r>
    </w:p>
    <w:p>
      <w:pPr>
        <w:spacing w:before="0" w:after="80" w:line="276" w:lineRule="auto"/>
        <w:ind w:left="720"/>
        <w:jc w:val="both"/>
      </w:pPr>
      <w:r>
        <w:rPr>
          <w:rFonts w:ascii="Arial" w:hAnsi="Arial"/>
          <w:b w:val="0"/>
          <w:i w:val="0"/>
          <w:color w:val="3B3838"/>
          <w:sz w:val="21"/>
        </w:rPr>
        <w:t>The Company Medical Doctor shall compile an annual statistical report summarizing employee health examination results and occupational health trends, submitting the formal statutory filing to the local Ministry of Manpower Office (Disnaker) as legally required.</w:t>
      </w:r>
    </w:p>
    <w:p>
      <w:pPr>
        <w:spacing w:before="240" w:after="80" w:line="276" w:lineRule="auto"/>
        <w:ind w:left="0"/>
        <w:tabs>
          <w:tab w:val="left" w:pos="720"/>
        </w:tabs>
      </w:pPr>
      <w:r>
        <w:rPr>
          <w:rFonts w:ascii="Arial" w:hAnsi="Arial"/>
          <w:b/>
          <w:i w:val="0"/>
          <w:color w:val="000000"/>
          <w:sz w:val="26"/>
        </w:rPr>
        <w:t>6.0</w:t>
        <w:tab/>
        <w:t>PERFORMANCE INDICATORS &amp; AUDIT</w:t>
      </w:r>
    </w:p>
    <w:p>
      <w:pPr>
        <w:spacing w:before="0" w:after="80" w:line="276" w:lineRule="auto"/>
        <w:ind w:left="720"/>
        <w:jc w:val="both"/>
      </w:pPr>
      <w:r>
        <w:rPr>
          <w:rFonts w:ascii="Arial" w:hAnsi="Arial"/>
          <w:b w:val="0"/>
          <w:i w:val="0"/>
          <w:color w:val="3B3838"/>
          <w:sz w:val="21"/>
        </w:rPr>
        <w:t>The performance of the medical surveillance system shall be audited against:</w:t>
      </w:r>
    </w:p>
    <w:p>
      <w:pPr>
        <w:pStyle w:val="ListParagraph"/>
        <w:spacing w:before="0" w:after="40" w:line="276" w:lineRule="auto"/>
        <w:jc w:val="both"/>
        <w:numPr>
          <w:ilvl w:val="0"/>
          <w:numId w:val="2"/>
        </w:numPr>
        <w:ind w:left="1134"/>
      </w:pPr>
      <w:r>
        <w:rPr>
          <w:rFonts w:ascii="Arial" w:hAnsi="Arial"/>
          <w:b w:val="0"/>
          <w:i w:val="0"/>
          <w:color w:val="3B3838"/>
          <w:sz w:val="21"/>
        </w:rPr>
        <w:t>100% pre-employment medical clearance verified prior to issuing job contracts or site mobilization.</w:t>
      </w:r>
    </w:p>
    <w:p>
      <w:pPr>
        <w:pStyle w:val="ListParagraph"/>
        <w:spacing w:before="0" w:after="40" w:line="276" w:lineRule="auto"/>
        <w:jc w:val="both"/>
        <w:numPr>
          <w:ilvl w:val="0"/>
          <w:numId w:val="2"/>
        </w:numPr>
        <w:ind w:left="1134"/>
      </w:pPr>
      <w:r>
        <w:rPr>
          <w:rFonts w:ascii="Arial" w:hAnsi="Arial"/>
          <w:b w:val="0"/>
          <w:i w:val="0"/>
          <w:color w:val="3B3838"/>
          <w:sz w:val="21"/>
        </w:rPr>
        <w:t>Minimum 95% attendance rate for periodic and special health surveillance cycles.</w:t>
      </w:r>
    </w:p>
    <w:p>
      <w:pPr>
        <w:pStyle w:val="ListParagraph"/>
        <w:spacing w:before="0" w:after="40" w:line="276" w:lineRule="auto"/>
        <w:jc w:val="both"/>
        <w:numPr>
          <w:ilvl w:val="0"/>
          <w:numId w:val="2"/>
        </w:numPr>
        <w:ind w:left="1134"/>
      </w:pPr>
      <w:r>
        <w:rPr>
          <w:rFonts w:ascii="Arial" w:hAnsi="Arial"/>
          <w:b w:val="0"/>
          <w:i w:val="0"/>
          <w:color w:val="3B3838"/>
          <w:sz w:val="21"/>
        </w:rPr>
        <w:t>100% compliance with workplace restriction recommendations for Class 2 personnel.</w:t>
      </w:r>
    </w:p>
    <w:p>
      <w:pPr>
        <w:spacing w:before="240" w:after="80" w:line="276" w:lineRule="auto"/>
        <w:ind w:left="0"/>
        <w:tabs>
          <w:tab w:val="left" w:pos="720"/>
        </w:tabs>
      </w:pPr>
      <w:r>
        <w:rPr>
          <w:rFonts w:ascii="Arial" w:hAnsi="Arial"/>
          <w:b/>
          <w:i w:val="0"/>
          <w:color w:val="000000"/>
          <w:sz w:val="26"/>
        </w:rPr>
        <w:t>7.0</w:t>
        <w:tab/>
        <w:t>REFERENCED DOCUMENTS</w:t>
      </w:r>
    </w:p>
    <w:p>
      <w:pPr>
        <w:spacing w:before="0" w:after="80" w:line="276" w:lineRule="auto"/>
        <w:ind w:left="720"/>
        <w:jc w:val="both"/>
      </w:pPr>
      <w:r>
        <w:rPr>
          <w:rFonts w:ascii="Arial" w:hAnsi="Arial"/>
          <w:b w:val="0"/>
          <w:i w:val="0"/>
          <w:color w:val="3B3838"/>
          <w:sz w:val="21"/>
        </w:rPr>
        <w:t>Law No. 1 of 1970 regarding Occupational Safety</w:t>
      </w:r>
    </w:p>
    <w:p>
      <w:pPr>
        <w:spacing w:before="0" w:after="80" w:line="276" w:lineRule="auto"/>
        <w:ind w:left="720"/>
        <w:jc w:val="both"/>
      </w:pPr>
      <w:r>
        <w:rPr>
          <w:rFonts w:ascii="Arial" w:hAnsi="Arial"/>
          <w:b w:val="0"/>
          <w:i w:val="0"/>
          <w:color w:val="3B3838"/>
          <w:sz w:val="21"/>
        </w:rPr>
        <w:t>Minister of Manpower and Transmigration Regulation No. Per.02/MEN/1980 regarding Employee Health Examinations</w:t>
      </w:r>
    </w:p>
    <w:p>
      <w:pPr>
        <w:spacing w:before="0" w:after="80" w:line="276" w:lineRule="auto"/>
        <w:ind w:left="720"/>
        <w:jc w:val="both"/>
      </w:pPr>
      <w:r>
        <w:rPr>
          <w:rFonts w:ascii="Arial" w:hAnsi="Arial"/>
          <w:b w:val="0"/>
          <w:i w:val="0"/>
          <w:color w:val="3B3838"/>
          <w:sz w:val="21"/>
        </w:rPr>
        <w:t>Minister of Manpower and Transmigration Regulation No. Per.03/MEN/1982 regarding Occupational Health Services</w:t>
      </w:r>
    </w:p>
    <w:p>
      <w:pPr>
        <w:spacing w:before="0" w:after="80" w:line="276" w:lineRule="auto"/>
        <w:ind w:left="720"/>
        <w:jc w:val="both"/>
      </w:pPr>
      <w:r>
        <w:rPr>
          <w:rFonts w:ascii="Arial" w:hAnsi="Arial"/>
          <w:b w:val="0"/>
          <w:i w:val="0"/>
          <w:color w:val="3B3838"/>
          <w:sz w:val="21"/>
        </w:rPr>
        <w:t>ISO 45001:2018 Occupational Health and Safety Management Systems - Clause 8.1</w:t>
      </w:r>
    </w:p>
    <w:p>
      <w:pPr>
        <w:spacing w:before="0" w:after="80" w:line="276" w:lineRule="auto"/>
        <w:ind w:left="720"/>
        <w:jc w:val="both"/>
      </w:pPr>
      <w:r>
        <w:rPr>
          <w:rFonts w:ascii="Arial" w:hAnsi="Arial"/>
          <w:b w:val="0"/>
          <w:i w:val="0"/>
          <w:color w:val="3B3838"/>
          <w:sz w:val="21"/>
        </w:rPr>
        <w:t>0006-SOP-HSE-COO-X-2026: Occupational Disease Reporting and Investigation Procedure</w:t>
      </w:r>
    </w:p>
    <w:p>
      <w:pPr>
        <w:spacing w:before="240" w:after="80" w:line="276" w:lineRule="auto"/>
        <w:ind w:left="0"/>
        <w:tabs>
          <w:tab w:val="left" w:pos="720"/>
        </w:tabs>
      </w:pPr>
      <w:r>
        <w:rPr>
          <w:rFonts w:ascii="Arial" w:hAnsi="Arial"/>
          <w:b/>
          <w:i w:val="0"/>
          <w:color w:val="000000"/>
          <w:sz w:val="26"/>
        </w:rPr>
        <w:t>8.0</w:t>
        <w:tab/>
        <w:t>ATTACHMENTS &amp; ASSOCIATED FORMS</w:t>
      </w:r>
    </w:p>
    <w:p>
      <w:pPr>
        <w:spacing w:before="0" w:after="80" w:line="276" w:lineRule="auto"/>
        <w:ind w:left="720"/>
        <w:jc w:val="both"/>
      </w:pPr>
      <w:r>
        <w:rPr>
          <w:rFonts w:ascii="Arial" w:hAnsi="Arial"/>
          <w:b w:val="0"/>
          <w:i w:val="0"/>
          <w:color w:val="3B3838"/>
          <w:sz w:val="21"/>
        </w:rPr>
        <w:t>0001-FOR-MED-COO-X-2026: Register of High-Risk Activities Requiring Special Permit Form</w:t>
      </w:r>
    </w:p>
    <w:p>
      <w:pPr>
        <w:spacing w:before="0" w:after="80" w:line="276" w:lineRule="auto"/>
        <w:ind w:left="720"/>
        <w:jc w:val="both"/>
      </w:pPr>
      <w:r>
        <w:rPr>
          <w:rFonts w:ascii="Arial" w:hAnsi="Arial"/>
          <w:b w:val="0"/>
          <w:i w:val="0"/>
          <w:color w:val="3B3838"/>
          <w:sz w:val="21"/>
        </w:rPr>
        <w:t>0002-FOR-MED-COO-X-2026: Register of Employees Requiring Special Medical Examination Form</w:t>
      </w:r>
    </w:p>
    <w:sectPr w:rsidR="00FC693F" w:rsidRPr="0006063C" w:rsidSect="00034616">
      <w:headerReference w:type="default" r:id="rId9"/>
      <w:footerReference w:type="default" r:id="rId10"/>
      <w:pgSz w:w="11909" w:h="16834"/>
      <w:pgMar w:top="1134" w:right="1134" w:bottom="1134" w:left="124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000000"/>
        <w:sz w:val="18"/>
      </w:rPr>
      <w:t xml:space="preserve">Page </w:t>
    </w:r>
    <w:fldSimple w:instr="PAGE"/>
    <w:r>
      <w:rPr>
        <w:rFonts w:ascii="Arial" w:hAnsi="Arial"/>
        <w:b/>
        <w:i w:val="0"/>
        <w:color w:val="00000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340"/>
      <w:gridCol w:w="2340"/>
      <w:gridCol w:w="2340"/>
      <w:gridCol w:w="2340"/>
    </w:tblGrid>
    <w:tr>
      <w:tc>
        <w:tcPr>
          <w:tcW w:type="dxa" w:w="2232"/>
          <w:vMerge w:val="restart"/>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drawing>
              <wp:inline xmlns:a="http://schemas.openxmlformats.org/drawingml/2006/main" xmlns:pic="http://schemas.openxmlformats.org/drawingml/2006/picture">
                <wp:extent cx="1051560" cy="499491"/>
                <wp:docPr id="1" name="Picture 1"/>
                <wp:cNvGraphicFramePr>
                  <a:graphicFrameLocks noChangeAspect="1"/>
                </wp:cNvGraphicFramePr>
                <a:graphic>
                  <a:graphicData uri="http://schemas.openxmlformats.org/drawingml/2006/picture">
                    <pic:pic>
                      <pic:nvPicPr>
                        <pic:cNvPr id="0" name="logo_header_hq.png"/>
                        <pic:cNvPicPr/>
                      </pic:nvPicPr>
                      <pic:blipFill>
                        <a:blip r:embed="rId1"/>
                        <a:stretch>
                          <a:fillRect/>
                        </a:stretch>
                      </pic:blipFill>
                      <pic:spPr>
                        <a:xfrm>
                          <a:off x="0" y="0"/>
                          <a:ext cx="1051560" cy="499491"/>
                        </a:xfrm>
                        <a:prstGeom prst="rect"/>
                      </pic:spPr>
                    </pic:pic>
                  </a:graphicData>
                </a:graphic>
              </wp:inline>
            </w:drawing>
          </w: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Integrated Management Systems</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Procedure</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20"/>
            </w:rPr>
            <w:t>EMPLOYEE MEDICAL SURVEILLANCE AND HEALTH EXAMINATION PROCEDURE</w:t>
          </w:r>
        </w:p>
      </w:tc>
    </w:tr>
    <w:tr>
      <w:tc>
        <w:tcPr>
          <w:tcW w:type="dxa" w:w="2340"/>
          <w:vMerge/>
        </w:tcP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6"/>
            </w:rPr>
            <w:t>Revision: 0</w:t>
          </w:r>
        </w:p>
      </w:tc>
      <w:tc>
        <w:tcPr>
          <w:tcW w:type="dxa" w:w="3672"/>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6"/>
            </w:rPr>
            <w:t>Number: 0007-SOP-HSE-COO-X-2026</w:t>
          </w: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6"/>
            </w:rPr>
            <w:t>Revised: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