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INTERNAL AUDIT CHECKLIST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0002-FOR-AUD-CEO-X-2026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0008-SOP-IMS-CEO-X-2026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Audited Department / Unit: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Operations &amp; Engineering Division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Reference Number: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AUD-NBE-2026-001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 Date &amp; Time: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 | 08:30 - 16:30 WIB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Audited Procedure: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0001-SOP-GNR-CEO-IX-2026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Lead Auditor / Auditor: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Dennis Raditya / Lead Auditor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Auditee Representative: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Field Operations Superintendent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57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374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Audit Verification Question &amp; Clause</w:t>
            </w:r>
          </w:p>
        </w:tc>
        <w:tc>
          <w:tcPr>
            <w:tcW w:type="dxa" w:w="2880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Objective Evidence / Observation</w:t>
            </w:r>
          </w:p>
        </w:tc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720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965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NC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74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Are authorized current procedures available at active workstations? (Clause 7.5.3)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Verified current SOP revisions accessible at workshop office.</w:t>
            </w:r>
          </w:p>
        </w:tc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V ]</w:t>
            </w:r>
          </w:p>
        </w:tc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Are obsolete documents promptly withdrawn and archived? (Clause 7.5.3)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One superseded cutting form noted in tool crib. Issued NCR-001.</w:t>
            </w:r>
          </w:p>
        </w:tc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V ]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374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Are quality and safety records legible, signed, and retrievable? (Clause 7.5.3)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Sampled 10 equipment inspection logs; all signed and complete.</w:t>
            </w:r>
          </w:p>
        </w:tc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V ]</w:t>
            </w:r>
          </w:p>
        </w:tc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374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Are personnel performing high-risk tasks qualified and certified? (Clause 7.2)</w:t>
            </w:r>
          </w:p>
        </w:tc>
        <w:tc>
          <w:tcPr>
            <w:tcW w:type="dxa" w:w="288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SIO licenses for 2 forklift drivers verified current.</w:t>
            </w:r>
          </w:p>
        </w:tc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V ]</w:t>
            </w:r>
          </w:p>
        </w:tc>
        <w:tc>
          <w:tcPr>
            <w:tcW w:type="dxa" w:w="720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374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Are corrective actions from previous audit cycles closed effectively? (Clause 10.2)</w:t>
            </w:r>
          </w:p>
        </w:tc>
        <w:tc>
          <w:tcPr>
            <w:tcW w:type="dxa" w:w="288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Previous NCR actions verified; zero recurrence observed.</w:t>
            </w:r>
          </w:p>
        </w:tc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V ]</w:t>
            </w:r>
          </w:p>
        </w:tc>
        <w:tc>
          <w:tcPr>
            <w:tcW w:type="dxa" w:w="720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[   ]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Compiled By / Auditor: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Lead Auditor: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Executive Authority: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(Auditor)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(Lead Auditor)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Bima Satryo Hartanto</w:t>
              <w:br/>
              <w:t>(President Director / CEO)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