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HSE WORKPLACE INSPECTION AND SAFETY WALKTHROUGH PROCEDURE</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October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(0007-SOP-HSE-CEO-X-2026)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procedure is to establish an uncompromised, systematic regime of routine, scheduled, and executive management safety inspections across all premises, operational facilities, and temporary worksites of PT NIRWANA BHUMI ENERGY, ensuring proactive identification and resolution of physical unsafe conditions and substandard acts.</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procedure applies mandatorily to all physical installations operated by PT NIRWANA BHUMI ENERGY, including corporate offices, fabrication workshops, logistics yards, active client drilling/production job sites, contractor staging depots, and equipment testing pads.</w:t>
      </w:r>
    </w:p>
    <w:p>
      <w:pPr>
        <w:spacing w:before="240" w:after="80" w:line="276" w:lineRule="auto"/>
        <w:ind w:left="0"/>
        <w:tabs>
          <w:tab w:val="left" w:pos="720"/>
        </w:tabs>
      </w:pPr>
      <w:r>
        <w:rPr>
          <w:rFonts w:ascii="Arial" w:hAnsi="Arial"/>
          <w:b/>
          <w:i w:val="0"/>
          <w:color w:val="000000"/>
          <w:sz w:val="26"/>
        </w:rPr>
        <w:t>3.0</w:t>
        <w:tab/>
        <w:t>RESPONSIBILITY AND AUTHORITY</w:t>
      </w:r>
    </w:p>
    <w:p>
      <w:pPr>
        <w:spacing w:before="0" w:after="80" w:line="276" w:lineRule="auto"/>
        <w:ind w:left="720"/>
        <w:jc w:val="both"/>
      </w:pPr>
      <w:r>
        <w:rPr>
          <w:rFonts w:ascii="Arial" w:hAnsi="Arial"/>
          <w:b w:val="0"/>
          <w:i w:val="0"/>
          <w:color w:val="3B3838"/>
          <w:sz w:val="21"/>
        </w:rPr>
        <w:t>Obligations governing workplace safety inspections are allocated as follows:</w:t>
      </w:r>
    </w:p>
    <w:tbl>
      <w:tblPr>
        <w:tblW w:type="auto" w:w="0"/>
        <w:jc w:val="center"/>
        <w:tblLook w:firstColumn="1" w:firstRow="1" w:lastColumn="0" w:lastRow="0" w:noHBand="0" w:noVBand="1" w:val="04A0"/>
      </w:tblPr>
      <w:tblGrid>
        <w:gridCol w:w="3176"/>
        <w:gridCol w:w="3176"/>
        <w:gridCol w:w="3176"/>
      </w:tblGrid>
      <w:tr>
        <w:tc>
          <w:tcPr>
            <w:tcW w:type="dxa" w:w="2592"/>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Role / Title</w:t>
            </w:r>
          </w:p>
        </w:tc>
        <w:tc>
          <w:tcPr>
            <w:tcW w:type="dxa" w:w="2448"/>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Designation</w:t>
            </w:r>
          </w:p>
        </w:tc>
        <w:tc>
          <w:tcPr>
            <w:tcW w:type="dxa" w:w="4320"/>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Core Responsibilities in Inspection Regime</w:t>
            </w:r>
          </w:p>
        </w:tc>
      </w:tr>
      <w:tr>
        <w:trPr>
          <w:cantSplit/>
        </w:trPr>
        <w:tc>
          <w:tcPr>
            <w:tcW w:type="dxa" w:w="259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President Director (CEO)</w:t>
            </w:r>
          </w:p>
        </w:tc>
        <w:tc>
          <w:tcPr>
            <w:tcW w:type="dxa" w:w="244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Executive Oversight</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 Participates in quarterly Executive Management Safety Walkthroughs (MSW).</w:t>
              <w:br/>
              <w:t>• Approves emergency capital expenditures for urgent hazard rectification.</w:t>
            </w:r>
          </w:p>
        </w:tc>
      </w:tr>
      <w:tr>
        <w:trPr>
          <w:cantSplit/>
        </w:trPr>
        <w:tc>
          <w:tcPr>
            <w:tcW w:type="dxa" w:w="259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Director of Operations &amp; Technology (CTO)</w:t>
            </w:r>
          </w:p>
        </w:tc>
        <w:tc>
          <w:tcPr>
            <w:tcW w:type="dxa" w:w="244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Operational Authority</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 Mandates monthly departmental inspections led by technical superintendents.</w:t>
              <w:br/>
              <w:t>• Ensures engineering defects identified in inspections are prioritized in work orders.</w:t>
            </w:r>
          </w:p>
        </w:tc>
      </w:tr>
      <w:tr>
        <w:trPr>
          <w:cantSplit/>
        </w:trPr>
        <w:tc>
          <w:tcPr>
            <w:tcW w:type="dxa" w:w="259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HSE Coordinator</w:t>
            </w:r>
          </w:p>
        </w:tc>
        <w:tc>
          <w:tcPr>
            <w:tcW w:type="dxa" w:w="244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Inspection Facilitator</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 Develops and maintains the Annual Workplace Inspection Schedule.</w:t>
              <w:br/>
              <w:t>• Issues formal Corrective Action Requests (CAR) for all identified non-conformances.</w:t>
            </w:r>
          </w:p>
        </w:tc>
      </w:tr>
    </w:tbl>
    <w:p>
      <w:pPr>
        <w:spacing w:before="80" w:after="80"/>
      </w:pPr>
    </w:p>
    <w:p>
      <w:pPr>
        <w:spacing w:before="240" w:after="80" w:line="276" w:lineRule="auto"/>
        <w:ind w:left="0"/>
        <w:tabs>
          <w:tab w:val="left" w:pos="720"/>
        </w:tabs>
      </w:pPr>
      <w:r>
        <w:rPr>
          <w:rFonts w:ascii="Arial" w:hAnsi="Arial"/>
          <w:b/>
          <w:i w:val="0"/>
          <w:color w:val="000000"/>
          <w:sz w:val="26"/>
        </w:rPr>
        <w:t>4.0</w:t>
        <w:tab/>
        <w:t>DEFINITIONS AND ABBREVIATIONS</w:t>
      </w:r>
    </w:p>
    <w:p>
      <w:pPr>
        <w:spacing w:before="0" w:after="80" w:line="276" w:lineRule="auto"/>
        <w:ind w:left="720"/>
        <w:jc w:val="both"/>
      </w:pPr>
      <w:r>
        <w:rPr>
          <w:rFonts w:ascii="Arial" w:hAnsi="Arial"/>
          <w:b w:val="0"/>
          <w:i w:val="0"/>
          <w:color w:val="3B3838"/>
          <w:sz w:val="21"/>
        </w:rPr>
        <w:t>Standard designations within the inspection governance framework include:</w:t>
      </w:r>
    </w:p>
    <w:tbl>
      <w:tblPr>
        <w:tblW w:type="auto" w:w="0"/>
        <w:jc w:val="center"/>
        <w:tblLook w:firstColumn="1" w:firstRow="1" w:lastColumn="0" w:lastRow="0" w:noHBand="0" w:noVBand="1" w:val="04A0"/>
      </w:tblPr>
      <w:tblGrid>
        <w:gridCol w:w="3176"/>
        <w:gridCol w:w="3176"/>
        <w:gridCol w:w="3176"/>
      </w:tblGrid>
      <w:tr>
        <w:tc>
          <w:tcPr>
            <w:tcW w:type="dxa" w:w="2304"/>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Term / Acronym</w:t>
            </w:r>
          </w:p>
        </w:tc>
        <w:tc>
          <w:tcPr>
            <w:tcW w:type="dxa" w:w="2880"/>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Full Designation</w:t>
            </w:r>
          </w:p>
        </w:tc>
        <w:tc>
          <w:tcPr>
            <w:tcW w:type="dxa" w:w="4176"/>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Operational Definition</w:t>
            </w:r>
          </w:p>
        </w:tc>
      </w:tr>
      <w:tr>
        <w:tc>
          <w:tcPr>
            <w:tcW w:type="dxa" w:w="2304"/>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MSW</w:t>
            </w:r>
          </w:p>
        </w:tc>
        <w:tc>
          <w:tcPr>
            <w:tcW w:type="dxa" w:w="288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Management Safety Walkthrough</w:t>
            </w:r>
          </w:p>
        </w:tc>
        <w:tc>
          <w:tcPr>
            <w:tcW w:type="dxa" w:w="417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High-visibility leadership inspection conducted by senior executive directors demonstrating corporate commitment to safety culture.</w:t>
            </w:r>
          </w:p>
        </w:tc>
      </w:tr>
      <w:tr>
        <w:tc>
          <w:tcPr>
            <w:tcW w:type="dxa" w:w="2304"/>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CAR / LKS-PTK</w:t>
            </w:r>
          </w:p>
        </w:tc>
        <w:tc>
          <w:tcPr>
            <w:tcW w:type="dxa" w:w="288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Corrective Action Request</w:t>
            </w:r>
          </w:p>
        </w:tc>
        <w:tc>
          <w:tcPr>
            <w:tcW w:type="dxa" w:w="417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A formal non-conformance notice mandating root cause rectification within a strictly enforced calendar timeframe.</w:t>
            </w:r>
          </w:p>
        </w:tc>
      </w:tr>
      <w:tr>
        <w:tc>
          <w:tcPr>
            <w:tcW w:type="dxa" w:w="2304"/>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APAR</w:t>
            </w:r>
          </w:p>
        </w:tc>
        <w:tc>
          <w:tcPr>
            <w:tcW w:type="dxa" w:w="288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Alat Pemadam Api Ringan</w:t>
            </w:r>
          </w:p>
        </w:tc>
        <w:tc>
          <w:tcPr>
            <w:tcW w:type="dxa" w:w="417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Portable fire extinguishers subject to mandatory monthly visual and mechanical inspection per Permenaker 04/1980.</w:t>
            </w:r>
          </w:p>
        </w:tc>
      </w:tr>
    </w:tbl>
    <w:p>
      <w:pPr>
        <w:spacing w:before="80" w:after="80"/>
      </w:pPr>
    </w:p>
    <w:p>
      <w:pPr>
        <w:spacing w:before="240" w:after="80" w:line="276" w:lineRule="auto"/>
        <w:ind w:left="0"/>
        <w:tabs>
          <w:tab w:val="left" w:pos="720"/>
        </w:tabs>
      </w:pPr>
      <w:r>
        <w:rPr>
          <w:rFonts w:ascii="Arial" w:hAnsi="Arial"/>
          <w:b/>
          <w:i w:val="0"/>
          <w:color w:val="000000"/>
          <w:sz w:val="26"/>
        </w:rPr>
        <w:t>5.0</w:t>
        <w:tab/>
        <w:t>DETAILED PROCEDURE</w:t>
      </w:r>
    </w:p>
    <w:p>
      <w:pPr>
        <w:spacing w:before="160" w:after="60" w:line="276" w:lineRule="auto"/>
        <w:ind w:left="0"/>
        <w:tabs>
          <w:tab w:val="left" w:pos="720"/>
        </w:tabs>
      </w:pPr>
      <w:r>
        <w:rPr>
          <w:rFonts w:ascii="Arial" w:hAnsi="Arial"/>
          <w:b/>
          <w:i w:val="0"/>
          <w:color w:val="000000"/>
          <w:sz w:val="22"/>
        </w:rPr>
        <w:t>5.1</w:t>
        <w:tab/>
        <w:t>Inspection Typologies and Frequency Schedule</w:t>
      </w:r>
    </w:p>
    <w:p>
      <w:pPr>
        <w:spacing w:before="0" w:after="80" w:line="276" w:lineRule="auto"/>
        <w:ind w:left="720"/>
        <w:jc w:val="both"/>
      </w:pPr>
      <w:r>
        <w:rPr>
          <w:rFonts w:ascii="Arial" w:hAnsi="Arial"/>
          <w:b w:val="0"/>
          <w:i w:val="0"/>
          <w:color w:val="3B3838"/>
          <w:sz w:val="21"/>
        </w:rPr>
        <w:t>Safety inspections are categorized into: (a) Daily Pre-Shift Walkthroughs (supervisors); (b) Weekly Area HSE Audits (HSE officers); (c) Monthly Specialized Equipment Inspections (APAR, Hydrant, Electrical, First Aid); and (d) Quarterly Executive Management Walkthroughs.</w:t>
      </w:r>
    </w:p>
    <w:p>
      <w:pPr>
        <w:spacing w:before="160" w:after="60" w:line="276" w:lineRule="auto"/>
        <w:ind w:left="0"/>
        <w:tabs>
          <w:tab w:val="left" w:pos="720"/>
        </w:tabs>
      </w:pPr>
      <w:r>
        <w:rPr>
          <w:rFonts w:ascii="Arial" w:hAnsi="Arial"/>
          <w:b/>
          <w:i w:val="0"/>
          <w:color w:val="000000"/>
          <w:sz w:val="22"/>
        </w:rPr>
        <w:t>5.2</w:t>
        <w:tab/>
        <w:t>Preparation and Inspection Checklist Deployment</w:t>
      </w:r>
    </w:p>
    <w:p>
      <w:pPr>
        <w:spacing w:before="0" w:after="80" w:line="276" w:lineRule="auto"/>
        <w:ind w:left="720"/>
        <w:jc w:val="both"/>
      </w:pPr>
      <w:r>
        <w:rPr>
          <w:rFonts w:ascii="Arial" w:hAnsi="Arial"/>
          <w:b w:val="0"/>
          <w:i w:val="0"/>
          <w:color w:val="3B3838"/>
          <w:sz w:val="21"/>
        </w:rPr>
        <w:t>Inspections must be conducted using official standardized checklists to ensure comprehensive coverage of physical guards, chemical storage, fire systems, emergency exits, and housekeeping.</w:t>
      </w:r>
    </w:p>
    <w:p>
      <w:pPr>
        <w:spacing w:before="160" w:after="60" w:line="276" w:lineRule="auto"/>
        <w:ind w:left="0"/>
        <w:tabs>
          <w:tab w:val="left" w:pos="720"/>
        </w:tabs>
      </w:pPr>
      <w:r>
        <w:rPr>
          <w:rFonts w:ascii="Arial" w:hAnsi="Arial"/>
          <w:b/>
          <w:i w:val="0"/>
          <w:color w:val="000000"/>
          <w:sz w:val="22"/>
        </w:rPr>
        <w:t>5.3</w:t>
        <w:tab/>
        <w:t>Field Execution and Immediate Hazard Intervention</w:t>
      </w:r>
    </w:p>
    <w:p>
      <w:pPr>
        <w:spacing w:before="0" w:after="80" w:line="276" w:lineRule="auto"/>
        <w:ind w:left="720"/>
        <w:jc w:val="both"/>
      </w:pPr>
      <w:r>
        <w:rPr>
          <w:rFonts w:ascii="Arial" w:hAnsi="Arial"/>
          <w:b w:val="0"/>
          <w:i w:val="0"/>
          <w:color w:val="3B3838"/>
          <w:sz w:val="21"/>
        </w:rPr>
        <w:t>Inspectors must immediately intervene and exercise Stop Work Authority upon encountering any condition presenting imminent danger to human life or asset integrity.</w:t>
      </w:r>
    </w:p>
    <w:p>
      <w:pPr>
        <w:spacing w:before="160" w:after="60" w:line="276" w:lineRule="auto"/>
        <w:ind w:left="0"/>
        <w:tabs>
          <w:tab w:val="left" w:pos="720"/>
        </w:tabs>
      </w:pPr>
      <w:r>
        <w:rPr>
          <w:rFonts w:ascii="Arial" w:hAnsi="Arial"/>
          <w:b/>
          <w:i w:val="0"/>
          <w:color w:val="000000"/>
          <w:sz w:val="22"/>
        </w:rPr>
        <w:t>5.4</w:t>
        <w:tab/>
        <w:t>Issuance of Corrective Action Requests (CAR)</w:t>
      </w:r>
    </w:p>
    <w:p>
      <w:pPr>
        <w:spacing w:before="0" w:after="80" w:line="276" w:lineRule="auto"/>
        <w:ind w:left="720"/>
        <w:jc w:val="both"/>
      </w:pPr>
      <w:r>
        <w:rPr>
          <w:rFonts w:ascii="Arial" w:hAnsi="Arial"/>
          <w:b w:val="0"/>
          <w:i w:val="0"/>
          <w:color w:val="3B3838"/>
          <w:sz w:val="21"/>
        </w:rPr>
        <w:t>Every non-conformance is assigned a risk priority and documented on a formal CAR (FORM-HSE-013). Resolution timeframes are: Priority 1 (Imminent Danger) &lt; 24 Hours; Priority 2 (Medium Risk) &lt; 7 Days; Priority 3 (Low Risk) &lt; 14 Days.</w:t>
      </w:r>
    </w:p>
    <w:p>
      <w:pPr>
        <w:spacing w:before="160" w:after="60" w:line="276" w:lineRule="auto"/>
        <w:ind w:left="0"/>
        <w:tabs>
          <w:tab w:val="left" w:pos="720"/>
        </w:tabs>
      </w:pPr>
      <w:r>
        <w:rPr>
          <w:rFonts w:ascii="Arial" w:hAnsi="Arial"/>
          <w:b/>
          <w:i w:val="0"/>
          <w:color w:val="000000"/>
          <w:sz w:val="22"/>
        </w:rPr>
        <w:t>5.5</w:t>
        <w:tab/>
        <w:t>Follow-up Verification and Defect Close-Out</w:t>
      </w:r>
    </w:p>
    <w:p>
      <w:pPr>
        <w:spacing w:before="0" w:after="80" w:line="276" w:lineRule="auto"/>
        <w:ind w:left="720"/>
        <w:jc w:val="both"/>
      </w:pPr>
      <w:r>
        <w:rPr>
          <w:rFonts w:ascii="Arial" w:hAnsi="Arial"/>
          <w:b w:val="0"/>
          <w:i w:val="0"/>
          <w:color w:val="3B3838"/>
          <w:sz w:val="21"/>
        </w:rPr>
        <w:t>The HSE Coordinator physically verifies completed corrective actions on-site prior to signing off the close-out section of the CAR.</w:t>
      </w:r>
    </w:p>
    <w:p>
      <w:pPr>
        <w:spacing w:before="160" w:after="60" w:line="276" w:lineRule="auto"/>
        <w:ind w:left="0"/>
        <w:tabs>
          <w:tab w:val="left" w:pos="720"/>
        </w:tabs>
      </w:pPr>
      <w:r>
        <w:rPr>
          <w:rFonts w:ascii="Arial" w:hAnsi="Arial"/>
          <w:b/>
          <w:i w:val="0"/>
          <w:color w:val="000000"/>
          <w:sz w:val="22"/>
        </w:rPr>
        <w:t>5.6</w:t>
        <w:tab/>
        <w:t>Executive Reporting and Trend Analysis</w:t>
      </w:r>
    </w:p>
    <w:p>
      <w:pPr>
        <w:spacing w:before="0" w:after="80" w:line="276" w:lineRule="auto"/>
        <w:ind w:left="720"/>
        <w:jc w:val="both"/>
      </w:pPr>
      <w:r>
        <w:rPr>
          <w:rFonts w:ascii="Arial" w:hAnsi="Arial"/>
          <w:b w:val="0"/>
          <w:i w:val="0"/>
          <w:color w:val="3B3838"/>
          <w:sz w:val="21"/>
        </w:rPr>
        <w:t>Monthly inspection findings, recurring trends, and CAR closure ratios are presented directly in the P2K3 Safety Committee and Management Review meetings.</w:t>
      </w:r>
    </w:p>
    <w:p>
      <w:pPr>
        <w:spacing w:before="240" w:after="80" w:line="276" w:lineRule="auto"/>
        <w:ind w:left="0"/>
        <w:tabs>
          <w:tab w:val="left" w:pos="720"/>
        </w:tabs>
      </w:pPr>
      <w:r>
        <w:rPr>
          <w:rFonts w:ascii="Arial" w:hAnsi="Arial"/>
          <w:b/>
          <w:i w:val="0"/>
          <w:color w:val="000000"/>
          <w:sz w:val="26"/>
        </w:rPr>
        <w:t>6.0</w:t>
        <w:tab/>
        <w:t>INSPECTION PROCESS WORKFLOW MATRIX</w:t>
      </w:r>
    </w:p>
    <w:p>
      <w:pPr>
        <w:spacing w:before="0" w:after="80" w:line="276" w:lineRule="auto"/>
        <w:ind w:left="720"/>
        <w:jc w:val="both"/>
      </w:pPr>
      <w:r>
        <w:rPr>
          <w:rFonts w:ascii="Arial" w:hAnsi="Arial"/>
          <w:b w:val="0"/>
          <w:i w:val="0"/>
          <w:color w:val="3B3838"/>
          <w:sz w:val="21"/>
        </w:rPr>
        <w:t>The lifecycle of workplace safety inspections is summarized below:</w:t>
      </w:r>
    </w:p>
    <w:tbl>
      <w:tblPr>
        <w:tblW w:type="auto" w:w="0"/>
        <w:jc w:val="center"/>
        <w:tblLook w:firstColumn="1" w:firstRow="1" w:lastColumn="0" w:lastRow="0" w:noHBand="0" w:noVBand="1" w:val="04A0"/>
      </w:tblPr>
      <w:tblGrid>
        <w:gridCol w:w="2382"/>
        <w:gridCol w:w="2382"/>
        <w:gridCol w:w="2382"/>
        <w:gridCol w:w="2382"/>
      </w:tblGrid>
      <w:tr>
        <w:tc>
          <w:tcPr>
            <w:tcW w:type="dxa" w:w="1728"/>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Phase</w:t>
            </w:r>
          </w:p>
        </w:tc>
        <w:tc>
          <w:tcPr>
            <w:tcW w:type="dxa" w:w="3168"/>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Action Item</w:t>
            </w:r>
          </w:p>
        </w:tc>
        <w:tc>
          <w:tcPr>
            <w:tcW w:type="dxa" w:w="2304"/>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Responsible Lead</w:t>
            </w:r>
          </w:p>
        </w:tc>
        <w:tc>
          <w:tcPr>
            <w:tcW w:type="dxa" w:w="2160"/>
            <w:shd w:fill="D9E1F2"/>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8"/>
              </w:rPr>
              <w:t>Deliverable Output</w:t>
            </w:r>
          </w:p>
        </w:tc>
      </w:tr>
      <w:tr>
        <w:trPr>
          <w:cantSplit/>
        </w:trPr>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1. Scheduling</w:t>
            </w:r>
          </w:p>
        </w:tc>
        <w:tc>
          <w:tcPr>
            <w:tcW w:type="dxa" w:w="316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Issue annual and monthly inspection rosters</w:t>
            </w:r>
          </w:p>
        </w:tc>
        <w:tc>
          <w:tcPr>
            <w:tcW w:type="dxa" w:w="2304"/>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HSE Coordinator</w:t>
            </w:r>
          </w:p>
        </w:tc>
        <w:tc>
          <w:tcPr>
            <w:tcW w:type="dxa" w:w="216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FORM-HSE-012 Schedule</w:t>
            </w:r>
          </w:p>
        </w:tc>
      </w:tr>
      <w:tr>
        <w:trPr>
          <w:cantSplit/>
        </w:trPr>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2. Execution</w:t>
            </w:r>
          </w:p>
        </w:tc>
        <w:tc>
          <w:tcPr>
            <w:tcW w:type="dxa" w:w="316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Conduct on-site inspection using standardized checklists</w:t>
            </w:r>
          </w:p>
        </w:tc>
        <w:tc>
          <w:tcPr>
            <w:tcW w:type="dxa" w:w="2304"/>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Inspectors &amp; Supervisors</w:t>
            </w:r>
          </w:p>
        </w:tc>
        <w:tc>
          <w:tcPr>
            <w:tcW w:type="dxa" w:w="216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Completed Checklist</w:t>
            </w:r>
          </w:p>
        </w:tc>
      </w:tr>
      <w:tr>
        <w:trPr>
          <w:cantSplit/>
        </w:trPr>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3. CAR Issuance</w:t>
            </w:r>
          </w:p>
        </w:tc>
        <w:tc>
          <w:tcPr>
            <w:tcW w:type="dxa" w:w="316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Log findings, assign risk priority, and issue formal CAR</w:t>
            </w:r>
          </w:p>
        </w:tc>
        <w:tc>
          <w:tcPr>
            <w:tcW w:type="dxa" w:w="2304"/>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HSE Officer</w:t>
            </w:r>
          </w:p>
        </w:tc>
        <w:tc>
          <w:tcPr>
            <w:tcW w:type="dxa" w:w="216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FORM-HSE-013 CAR</w:t>
            </w:r>
          </w:p>
        </w:tc>
      </w:tr>
      <w:tr>
        <w:trPr>
          <w:cantSplit/>
        </w:trPr>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4. Close-Out</w:t>
            </w:r>
          </w:p>
        </w:tc>
        <w:tc>
          <w:tcPr>
            <w:tcW w:type="dxa" w:w="316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Perform on-site verification and sign off resolution</w:t>
            </w:r>
          </w:p>
        </w:tc>
        <w:tc>
          <w:tcPr>
            <w:tcW w:type="dxa" w:w="2304"/>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HSE Coordinator &amp; CTO</w:t>
            </w:r>
          </w:p>
        </w:tc>
        <w:tc>
          <w:tcPr>
            <w:tcW w:type="dxa" w:w="216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Closed-out CAR Dossier</w:t>
            </w:r>
          </w:p>
        </w:tc>
      </w:tr>
    </w:tbl>
    <w:p>
      <w:pPr>
        <w:spacing w:before="80" w:after="80"/>
      </w:pPr>
    </w:p>
    <w:p>
      <w:pPr>
        <w:spacing w:before="240" w:after="80" w:line="276" w:lineRule="auto"/>
        <w:ind w:left="0"/>
        <w:tabs>
          <w:tab w:val="left" w:pos="720"/>
        </w:tabs>
      </w:pPr>
      <w:r>
        <w:rPr>
          <w:rFonts w:ascii="Arial" w:hAnsi="Arial"/>
          <w:b/>
          <w:i w:val="0"/>
          <w:color w:val="000000"/>
          <w:sz w:val="26"/>
        </w:rPr>
        <w:t>7.0</w:t>
        <w:tab/>
        <w:t>REFERENCED CODES AND STATUTORY GOVERNANCE</w:t>
      </w:r>
    </w:p>
    <w:p>
      <w:pPr>
        <w:pStyle w:val="ListParagraph"/>
        <w:spacing w:before="0" w:after="40" w:line="276" w:lineRule="auto"/>
        <w:jc w:val="both"/>
        <w:numPr>
          <w:ilvl w:val="0"/>
          <w:numId w:val="2"/>
        </w:numPr>
        <w:ind w:left="1134"/>
      </w:pPr>
      <w:r>
        <w:rPr>
          <w:rFonts w:ascii="Arial" w:hAnsi="Arial"/>
          <w:b w:val="0"/>
          <w:i w:val="0"/>
          <w:color w:val="3B3838"/>
          <w:sz w:val="21"/>
        </w:rPr>
        <w:t>Law No. 1 of 1970 regarding Occupational Safety</w:t>
      </w:r>
    </w:p>
    <w:p>
      <w:pPr>
        <w:pStyle w:val="ListParagraph"/>
        <w:spacing w:before="0" w:after="40" w:line="276" w:lineRule="auto"/>
        <w:jc w:val="both"/>
        <w:numPr>
          <w:ilvl w:val="0"/>
          <w:numId w:val="2"/>
        </w:numPr>
        <w:ind w:left="1134"/>
      </w:pPr>
      <w:r>
        <w:rPr>
          <w:rFonts w:ascii="Arial" w:hAnsi="Arial"/>
          <w:b w:val="0"/>
          <w:i w:val="0"/>
          <w:color w:val="3B3838"/>
          <w:sz w:val="21"/>
        </w:rPr>
        <w:t>Government Regulation PP No. 50 of 2012 regarding Implementation of SMK3</w:t>
      </w:r>
    </w:p>
    <w:p>
      <w:pPr>
        <w:pStyle w:val="ListParagraph"/>
        <w:spacing w:before="0" w:after="40" w:line="276" w:lineRule="auto"/>
        <w:jc w:val="both"/>
        <w:numPr>
          <w:ilvl w:val="0"/>
          <w:numId w:val="2"/>
        </w:numPr>
        <w:ind w:left="1134"/>
      </w:pPr>
      <w:r>
        <w:rPr>
          <w:rFonts w:ascii="Arial" w:hAnsi="Arial"/>
          <w:b w:val="0"/>
          <w:i w:val="0"/>
          <w:color w:val="3B3838"/>
          <w:sz w:val="21"/>
        </w:rPr>
        <w:t>Minister of Manpower Regulation Permenaker No. 04/MEN/1980 regarding APAR Maintenance</w:t>
      </w:r>
    </w:p>
    <w:p>
      <w:pPr>
        <w:pStyle w:val="ListParagraph"/>
        <w:spacing w:before="0" w:after="40" w:line="276" w:lineRule="auto"/>
        <w:jc w:val="both"/>
        <w:numPr>
          <w:ilvl w:val="0"/>
          <w:numId w:val="2"/>
        </w:numPr>
        <w:ind w:left="1134"/>
      </w:pPr>
      <w:r>
        <w:rPr>
          <w:rFonts w:ascii="Arial" w:hAnsi="Arial"/>
          <w:b w:val="0"/>
          <w:i w:val="0"/>
          <w:color w:val="3B3838"/>
          <w:sz w:val="21"/>
        </w:rPr>
        <w:t>ISO 45001:2018 Clause 9.1 Monitoring, Measurement, Analysis and Performance Evaluation</w:t>
      </w:r>
    </w:p>
    <w:p>
      <w:pPr>
        <w:pStyle w:val="ListParagraph"/>
        <w:spacing w:before="0" w:after="40" w:line="276" w:lineRule="auto"/>
        <w:jc w:val="both"/>
        <w:numPr>
          <w:ilvl w:val="0"/>
          <w:numId w:val="2"/>
        </w:numPr>
        <w:ind w:left="1134"/>
      </w:pPr>
      <w:r>
        <w:rPr>
          <w:rFonts w:ascii="Arial" w:hAnsi="Arial"/>
          <w:b w:val="0"/>
          <w:i w:val="0"/>
          <w:color w:val="3B3838"/>
          <w:sz w:val="21"/>
        </w:rPr>
        <w:t>0001-SOP-GNR-CEO-IX-2026: Document and Records Control Procedure</w:t>
      </w:r>
    </w:p>
    <w:p>
      <w:pPr>
        <w:spacing w:before="240" w:after="80" w:line="276" w:lineRule="auto"/>
        <w:ind w:left="0"/>
        <w:tabs>
          <w:tab w:val="left" w:pos="720"/>
        </w:tabs>
      </w:pPr>
      <w:r>
        <w:rPr>
          <w:rFonts w:ascii="Arial" w:hAnsi="Arial"/>
          <w:b/>
          <w:i w:val="0"/>
          <w:color w:val="000000"/>
          <w:sz w:val="26"/>
        </w:rPr>
        <w:t>8.0</w:t>
        <w:tab/>
        <w:t>ATTACHMENTS AND STANDARD FORMS</w:t>
      </w:r>
    </w:p>
    <w:p>
      <w:pPr>
        <w:pStyle w:val="ListParagraph"/>
        <w:spacing w:before="0" w:after="40" w:line="276" w:lineRule="auto"/>
        <w:jc w:val="both"/>
        <w:numPr>
          <w:ilvl w:val="0"/>
          <w:numId w:val="2"/>
        </w:numPr>
        <w:ind w:left="1134"/>
      </w:pPr>
      <w:r>
        <w:rPr>
          <w:rFonts w:ascii="Arial" w:hAnsi="Arial"/>
          <w:b w:val="0"/>
          <w:i w:val="0"/>
          <w:color w:val="3B3838"/>
          <w:sz w:val="21"/>
        </w:rPr>
        <w:t>FORM-HSE-012: Annual &amp; Monthly Workplace Safety Inspection Schedule</w:t>
      </w:r>
    </w:p>
    <w:p>
      <w:pPr>
        <w:pStyle w:val="ListParagraph"/>
        <w:spacing w:before="0" w:after="40" w:line="276" w:lineRule="auto"/>
        <w:jc w:val="both"/>
        <w:numPr>
          <w:ilvl w:val="0"/>
          <w:numId w:val="2"/>
        </w:numPr>
        <w:ind w:left="1134"/>
      </w:pPr>
      <w:r>
        <w:rPr>
          <w:rFonts w:ascii="Arial" w:hAnsi="Arial"/>
          <w:b w:val="0"/>
          <w:i w:val="0"/>
          <w:color w:val="3B3838"/>
          <w:sz w:val="21"/>
        </w:rPr>
        <w:t>FORM-HSE-013: Workplace Inspection Checklist &amp; Corrective Action Request (CAR)</w:t>
      </w:r>
    </w:p>
    <w:p>
      <w:pPr>
        <w:pStyle w:val="ListParagraph"/>
        <w:spacing w:before="0" w:after="40" w:line="276" w:lineRule="auto"/>
        <w:jc w:val="both"/>
        <w:numPr>
          <w:ilvl w:val="0"/>
          <w:numId w:val="2"/>
        </w:numPr>
        <w:ind w:left="1134"/>
      </w:pPr>
      <w:r>
        <w:rPr>
          <w:rFonts w:ascii="Arial" w:hAnsi="Arial"/>
          <w:b w:val="0"/>
          <w:i w:val="0"/>
          <w:color w:val="3B3838"/>
          <w:sz w:val="21"/>
        </w:rPr>
        <w:t>Executive Management Safety Walkthrough Protocol &amp; Finding Register</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Procedure</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HSE WORKPLACE INSPECTION AND SAFETY WALKTHROUGH PROCEDURE</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0007-SOP-HSE-CEO-X-2026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