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drawing>
          <wp:inline xmlns:a="http://schemas.openxmlformats.org/drawingml/2006/main" xmlns:pic="http://schemas.openxmlformats.org/drawingml/2006/picture">
            <wp:extent cx="2926080" cy="652372"/>
            <wp:docPr id="1" name="Picture 1"/>
            <wp:cNvGraphicFramePr>
              <a:graphicFrameLocks noChangeAspect="1"/>
            </wp:cNvGraphicFramePr>
            <a:graphic>
              <a:graphicData uri="http://schemas.openxmlformats.org/drawingml/2006/picture">
                <pic:pic>
                  <pic:nvPicPr>
                    <pic:cNvPr id="0" name="logo_cover_hq.png"/>
                    <pic:cNvPicPr/>
                  </pic:nvPicPr>
                  <pic:blipFill>
                    <a:blip r:embed="rId11"/>
                    <a:stretch>
                      <a:fillRect/>
                    </a:stretch>
                  </pic:blipFill>
                  <pic:spPr>
                    <a:xfrm>
                      <a:off x="0" y="0"/>
                      <a:ext cx="2926080" cy="652372"/>
                    </a:xfrm>
                    <a:prstGeom prst="rect"/>
                  </pic:spPr>
                </pic:pic>
              </a:graphicData>
            </a:graphic>
          </wp:inline>
        </w:drawing>
      </w:r>
    </w:p>
    <w:p>
      <w:pPr>
        <w:spacing w:after="240"/>
      </w:pPr>
    </w:p>
    <w:p>
      <w:pPr>
        <w:spacing w:after="320"/>
        <w:jc w:val="center"/>
      </w:pPr>
      <w:r>
        <w:rPr>
          <w:rFonts w:ascii="Arial" w:hAnsi="Arial"/>
          <w:b/>
          <w:i w:val="0"/>
          <w:color w:val="000000"/>
          <w:sz w:val="36"/>
        </w:rPr>
        <w:t>PT Nirwana Bhumi Energy</w:t>
      </w:r>
    </w:p>
    <w:p>
      <w:pPr>
        <w:spacing w:after="160"/>
      </w:pPr>
    </w:p>
    <w:p>
      <w:pPr>
        <w:spacing w:after="120" w:line="288" w:lineRule="auto"/>
        <w:jc w:val="center"/>
      </w:pPr>
      <w:r>
        <w:rPr>
          <w:rFonts w:ascii="Arial" w:hAnsi="Arial"/>
          <w:b/>
          <w:i w:val="0"/>
          <w:color w:val="000000"/>
          <w:sz w:val="36"/>
        </w:rPr>
        <w:t>VISITOR AND CONTRACTOR SAFETY BRIEFING PROCEDURE</w:t>
      </w:r>
    </w:p>
    <w:p>
      <w:pPr>
        <w:spacing w:after="240"/>
      </w:pPr>
    </w:p>
    <w:p>
      <w:pPr>
        <w:spacing w:after="240"/>
      </w:pPr>
    </w:p>
    <w:p>
      <w:pPr>
        <w:spacing w:after="240"/>
      </w:pPr>
    </w:p>
    <w:p>
      <w:pPr>
        <w:spacing w:after="240"/>
      </w:pPr>
    </w:p>
    <w:p>
      <w:pPr>
        <w:spacing w:after="240"/>
      </w:pPr>
    </w:p>
    <w:tbl>
      <w:tblPr>
        <w:tblW w:type="auto" w:w="0"/>
        <w:jc w:val="left"/>
        <w:tblLook w:firstColumn="1" w:firstRow="1" w:lastColumn="0" w:lastRow="0" w:noHBand="0" w:noVBand="1" w:val="04A0"/>
        <w:tblInd w:w="4464" w:type="dxa"/>
        <w:tblBorders>
          <w:top w:val="none"/>
          <w:left w:val="none"/>
          <w:bottom w:val="none"/>
          <w:right w:val="none"/>
          <w:insideH w:val="none"/>
          <w:insideV w:val="none"/>
        </w:tblBorders>
      </w:tblPr>
      <w:tblGrid>
        <w:gridCol w:w="4764"/>
        <w:gridCol w:w="4764"/>
      </w:tblGrid>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Approved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Bima Satryo Hartanto</w:t>
              <w:br/>
              <w:t xml:space="preserve">   (President Director / CEO)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Verified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Dennis Raditya (Director of</w:t>
              <w:br/>
              <w:t xml:space="preserve">   Operations &amp; Technology / CTO)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Created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Abdul Qodir Al Jailani</w:t>
              <w:br/>
              <w:t xml:space="preserve">   (Commissioner / IMS Team Lead)</w:t>
            </w:r>
          </w:p>
        </w:tc>
      </w:tr>
    </w:tbl>
    <w:p>
      <w:r>
        <w:br w:type="page"/>
      </w:r>
    </w:p>
    <w:p>
      <w:pPr>
        <w:spacing w:before="320" w:after="280"/>
        <w:jc w:val="center"/>
      </w:pPr>
      <w:r>
        <w:rPr>
          <w:rFonts w:ascii="Arial" w:hAnsi="Arial"/>
          <w:b/>
          <w:i w:val="0"/>
          <w:color w:val="000000"/>
          <w:sz w:val="26"/>
        </w:rPr>
        <w:t>REVISION INDEX</w:t>
      </w:r>
    </w:p>
    <w:tbl>
      <w:tblPr>
        <w:tblW w:type="auto" w:w="0"/>
        <w:jc w:val="center"/>
        <w:tblLook w:firstColumn="1" w:firstRow="1" w:lastColumn="0" w:lastRow="0" w:noHBand="0" w:noVBand="1" w:val="04A0"/>
      </w:tblPr>
      <w:tblGrid>
        <w:gridCol w:w="2382"/>
        <w:gridCol w:w="2382"/>
        <w:gridCol w:w="2382"/>
        <w:gridCol w:w="2382"/>
      </w:tblGrid>
      <w:tr>
        <w:tc>
          <w:tcPr>
            <w:tcW w:type="dxa" w:w="129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Revision</w:t>
            </w:r>
          </w:p>
        </w:tc>
        <w:tc>
          <w:tcPr>
            <w:tcW w:type="dxa" w:w="1728"/>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Date</w:t>
            </w:r>
          </w:p>
        </w:tc>
        <w:tc>
          <w:tcPr>
            <w:tcW w:type="dxa" w:w="4320"/>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Description of Changes</w:t>
            </w:r>
          </w:p>
        </w:tc>
        <w:tc>
          <w:tcPr>
            <w:tcW w:type="dxa" w:w="201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Revised By</w:t>
            </w:r>
          </w:p>
        </w:tc>
      </w:tr>
      <w:t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0</w:t>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October 2026</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Initial Issue - Standard CSMS Procedure for PT Nirwana Bhumi Energy (0009-SOP-HSE-COO-X-2026)</w:t>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IMS &amp; HSE Team</w:t>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bl>
    <w:p>
      <w:r>
        <w:br w:type="page"/>
      </w:r>
    </w:p>
    <w:p>
      <w:pPr>
        <w:spacing w:before="320" w:after="320"/>
        <w:jc w:val="center"/>
      </w:pPr>
      <w:r>
        <w:rPr>
          <w:rFonts w:ascii="Arial" w:hAnsi="Arial"/>
          <w:b/>
          <w:i w:val="0"/>
          <w:color w:val="000000"/>
          <w:sz w:val="26"/>
        </w:rPr>
        <w:t>TABLE OF CONTENTS</w:t>
      </w:r>
    </w:p>
    <w:p>
      <w:pPr>
        <w:spacing w:before="0" w:after="60"/>
        <w:ind w:left="720"/>
        <w:tabs>
          <w:tab w:val="left" w:pos="1080"/>
        </w:tabs>
      </w:pPr>
      <w:r>
        <w:rPr>
          <w:rFonts w:ascii="Arial" w:hAnsi="Arial"/>
          <w:b/>
          <w:i w:val="0"/>
          <w:color w:val="000000"/>
          <w:sz w:val="20"/>
        </w:rPr>
        <w:t>1.0</w:t>
        <w:tab/>
        <w:t>OBJECTIVE</w:t>
      </w:r>
    </w:p>
    <w:p>
      <w:pPr>
        <w:spacing w:before="0" w:after="60"/>
        <w:ind w:left="720"/>
        <w:tabs>
          <w:tab w:val="left" w:pos="1080"/>
        </w:tabs>
      </w:pPr>
      <w:r>
        <w:rPr>
          <w:rFonts w:ascii="Arial" w:hAnsi="Arial"/>
          <w:b/>
          <w:i w:val="0"/>
          <w:color w:val="000000"/>
          <w:sz w:val="20"/>
        </w:rPr>
        <w:t>2.0</w:t>
        <w:tab/>
        <w:t>SCOPE</w:t>
      </w:r>
    </w:p>
    <w:p>
      <w:pPr>
        <w:spacing w:before="0" w:after="60"/>
        <w:ind w:left="720"/>
        <w:tabs>
          <w:tab w:val="left" w:pos="1080"/>
        </w:tabs>
      </w:pPr>
      <w:r>
        <w:rPr>
          <w:rFonts w:ascii="Arial" w:hAnsi="Arial"/>
          <w:b/>
          <w:i w:val="0"/>
          <w:color w:val="000000"/>
          <w:sz w:val="20"/>
        </w:rPr>
        <w:t>3.0</w:t>
        <w:tab/>
        <w:t>DEFINITIONS &amp; ABBREVIATIONS</w:t>
      </w:r>
    </w:p>
    <w:p>
      <w:pPr>
        <w:spacing w:before="0" w:after="60"/>
        <w:ind w:left="720"/>
        <w:tabs>
          <w:tab w:val="left" w:pos="1080"/>
        </w:tabs>
      </w:pPr>
      <w:r>
        <w:rPr>
          <w:rFonts w:ascii="Arial" w:hAnsi="Arial"/>
          <w:b/>
          <w:i w:val="0"/>
          <w:color w:val="000000"/>
          <w:sz w:val="20"/>
        </w:rPr>
        <w:t>4.0</w:t>
        <w:tab/>
        <w:t>RESPONSIBILITIES</w:t>
      </w:r>
    </w:p>
    <w:p>
      <w:pPr>
        <w:spacing w:before="0" w:after="60"/>
        <w:ind w:left="720"/>
        <w:tabs>
          <w:tab w:val="left" w:pos="1080"/>
        </w:tabs>
      </w:pPr>
      <w:r>
        <w:rPr>
          <w:rFonts w:ascii="Arial" w:hAnsi="Arial"/>
          <w:b/>
          <w:i w:val="0"/>
          <w:color w:val="000000"/>
          <w:sz w:val="20"/>
        </w:rPr>
        <w:t>5.0</w:t>
        <w:tab/>
        <w:t>PROCEDURE STEPS</w:t>
      </w:r>
    </w:p>
    <w:p>
      <w:pPr>
        <w:spacing w:before="0" w:after="60"/>
        <w:ind w:left="720"/>
        <w:tabs>
          <w:tab w:val="left" w:pos="1080"/>
        </w:tabs>
      </w:pPr>
      <w:r>
        <w:rPr>
          <w:rFonts w:ascii="Arial" w:hAnsi="Arial"/>
          <w:b/>
          <w:i w:val="0"/>
          <w:color w:val="000000"/>
          <w:sz w:val="20"/>
        </w:rPr>
        <w:t>6.0</w:t>
        <w:tab/>
        <w:t>PERFORMANCE INDICATORS &amp; AUDIT</w:t>
      </w:r>
    </w:p>
    <w:p>
      <w:pPr>
        <w:spacing w:before="0" w:after="60"/>
        <w:ind w:left="720"/>
        <w:tabs>
          <w:tab w:val="left" w:pos="1080"/>
        </w:tabs>
      </w:pPr>
      <w:r>
        <w:rPr>
          <w:rFonts w:ascii="Arial" w:hAnsi="Arial"/>
          <w:b/>
          <w:i w:val="0"/>
          <w:color w:val="000000"/>
          <w:sz w:val="20"/>
        </w:rPr>
        <w:t>7.0</w:t>
        <w:tab/>
        <w:t>REFERENCED DOCUMENTS</w:t>
      </w:r>
    </w:p>
    <w:p>
      <w:pPr>
        <w:spacing w:before="0" w:after="60"/>
        <w:ind w:left="720"/>
        <w:tabs>
          <w:tab w:val="left" w:pos="1080"/>
        </w:tabs>
      </w:pPr>
      <w:r>
        <w:rPr>
          <w:rFonts w:ascii="Arial" w:hAnsi="Arial"/>
          <w:b/>
          <w:i w:val="0"/>
          <w:color w:val="000000"/>
          <w:sz w:val="20"/>
        </w:rPr>
        <w:t>8.0</w:t>
        <w:tab/>
        <w:t>ATTACHMENTS &amp; ASSOCIATED FORMS</w:t>
      </w:r>
    </w:p>
    <w:p>
      <w:r>
        <w:br w:type="page"/>
      </w:r>
    </w:p>
    <w:p>
      <w:pPr>
        <w:spacing w:before="240" w:after="80" w:line="276" w:lineRule="auto"/>
        <w:ind w:left="0"/>
        <w:tabs>
          <w:tab w:val="left" w:pos="720"/>
        </w:tabs>
      </w:pPr>
      <w:r>
        <w:rPr>
          <w:rFonts w:ascii="Arial" w:hAnsi="Arial"/>
          <w:b/>
          <w:i w:val="0"/>
          <w:color w:val="000000"/>
          <w:sz w:val="26"/>
        </w:rPr>
        <w:t>1.0</w:t>
        <w:tab/>
        <w:t>OBJECTIVE</w:t>
      </w:r>
    </w:p>
    <w:p>
      <w:pPr>
        <w:spacing w:before="0" w:after="80" w:line="276" w:lineRule="auto"/>
        <w:ind w:left="720"/>
        <w:jc w:val="both"/>
      </w:pPr>
      <w:r>
        <w:rPr>
          <w:rFonts w:ascii="Arial" w:hAnsi="Arial"/>
          <w:b w:val="0"/>
          <w:i w:val="0"/>
          <w:color w:val="3B3838"/>
          <w:sz w:val="21"/>
        </w:rPr>
        <w:t>The objective of this procedure is to establish strict, standardized safety induction and briefing protocols for all visitors, guests, clients, contractors, vendors, and third-party personnel entering PT Nirwana Bhumi Energy facilities, corporate offices, fabrication workshops, and operational project sites.</w:t>
      </w:r>
    </w:p>
    <w:p>
      <w:pPr>
        <w:spacing w:before="0" w:after="80" w:line="276" w:lineRule="auto"/>
        <w:ind w:left="720"/>
        <w:jc w:val="both"/>
      </w:pPr>
      <w:r>
        <w:rPr>
          <w:rFonts w:ascii="Arial" w:hAnsi="Arial"/>
          <w:b w:val="0"/>
          <w:i w:val="0"/>
          <w:color w:val="3B3838"/>
          <w:sz w:val="21"/>
        </w:rPr>
        <w:t>Specifically, this procedure guarantees that:</w:t>
      </w:r>
    </w:p>
    <w:p>
      <w:pPr>
        <w:pStyle w:val="ListParagraph"/>
        <w:spacing w:before="0" w:after="40" w:line="276" w:lineRule="auto"/>
        <w:jc w:val="both"/>
        <w:numPr>
          <w:ilvl w:val="0"/>
          <w:numId w:val="2"/>
        </w:numPr>
        <w:ind w:left="1134"/>
      </w:pPr>
      <w:r>
        <w:rPr>
          <w:rFonts w:ascii="Arial" w:hAnsi="Arial"/>
          <w:b w:val="0"/>
          <w:i w:val="0"/>
          <w:color w:val="3B3838"/>
          <w:sz w:val="21"/>
        </w:rPr>
        <w:t>All external personnel are fully informed of corporate Health, Safety, and Environmental (HSE) policies, site-specific hazards, and emergency response procedures prior to entering premises.</w:t>
      </w:r>
    </w:p>
    <w:p>
      <w:pPr>
        <w:pStyle w:val="ListParagraph"/>
        <w:spacing w:before="0" w:after="40" w:line="276" w:lineRule="auto"/>
        <w:jc w:val="both"/>
        <w:numPr>
          <w:ilvl w:val="0"/>
          <w:numId w:val="2"/>
        </w:numPr>
        <w:ind w:left="1134"/>
      </w:pPr>
      <w:r>
        <w:rPr>
          <w:rFonts w:ascii="Arial" w:hAnsi="Arial"/>
          <w:b w:val="0"/>
          <w:i w:val="0"/>
          <w:color w:val="3B3838"/>
          <w:sz w:val="21"/>
        </w:rPr>
        <w:t>Mandatory safety controls, security verifications, access restrictions, and Personal Protective Equipment (PPE) standards are rigorously enforced at all entry checkpoints.</w:t>
      </w:r>
    </w:p>
    <w:p>
      <w:pPr>
        <w:pStyle w:val="ListParagraph"/>
        <w:spacing w:before="0" w:after="40" w:line="276" w:lineRule="auto"/>
        <w:jc w:val="both"/>
        <w:numPr>
          <w:ilvl w:val="0"/>
          <w:numId w:val="2"/>
        </w:numPr>
        <w:ind w:left="1134"/>
      </w:pPr>
      <w:r>
        <w:rPr>
          <w:rFonts w:ascii="Arial" w:hAnsi="Arial"/>
          <w:b w:val="0"/>
          <w:i w:val="0"/>
          <w:color w:val="3B3838"/>
          <w:sz w:val="21"/>
        </w:rPr>
        <w:t>Visitor movements within active operational and workshop areas are strictly supervised to prevent accidents, unauthorized access, and disruption of industrial operations.</w:t>
      </w:r>
    </w:p>
    <w:p>
      <w:pPr>
        <w:spacing w:before="240" w:after="80" w:line="276" w:lineRule="auto"/>
        <w:ind w:left="0"/>
        <w:tabs>
          <w:tab w:val="left" w:pos="720"/>
        </w:tabs>
      </w:pPr>
      <w:r>
        <w:rPr>
          <w:rFonts w:ascii="Arial" w:hAnsi="Arial"/>
          <w:b/>
          <w:i w:val="0"/>
          <w:color w:val="000000"/>
          <w:sz w:val="26"/>
        </w:rPr>
        <w:t>2.0</w:t>
        <w:tab/>
        <w:t>SCOPE</w:t>
      </w:r>
    </w:p>
    <w:p>
      <w:pPr>
        <w:spacing w:before="0" w:after="80" w:line="276" w:lineRule="auto"/>
        <w:ind w:left="720"/>
        <w:jc w:val="both"/>
      </w:pPr>
      <w:r>
        <w:rPr>
          <w:rFonts w:ascii="Arial" w:hAnsi="Arial"/>
          <w:b w:val="0"/>
          <w:i w:val="0"/>
          <w:color w:val="3B3838"/>
          <w:sz w:val="21"/>
        </w:rPr>
        <w:t>This procedure applies to all corporate offices, warehousing facilities, fabrication workshops, supply depots, rig sites, and field operations operated by or under the management control of PT Nirwana Bhumi Energy.</w:t>
      </w:r>
    </w:p>
    <w:p>
      <w:pPr>
        <w:spacing w:before="0" w:after="80" w:line="276" w:lineRule="auto"/>
        <w:ind w:left="720"/>
        <w:jc w:val="both"/>
      </w:pPr>
      <w:r>
        <w:rPr>
          <w:rFonts w:ascii="Arial" w:hAnsi="Arial"/>
          <w:b w:val="0"/>
          <w:i w:val="0"/>
          <w:color w:val="3B3838"/>
          <w:sz w:val="21"/>
        </w:rPr>
        <w:t>The scope covers:</w:t>
      </w:r>
    </w:p>
    <w:p>
      <w:pPr>
        <w:pStyle w:val="ListParagraph"/>
        <w:spacing w:before="0" w:after="40" w:line="276" w:lineRule="auto"/>
        <w:jc w:val="both"/>
        <w:numPr>
          <w:ilvl w:val="0"/>
          <w:numId w:val="2"/>
        </w:numPr>
        <w:ind w:left="1134"/>
      </w:pPr>
      <w:r>
        <w:rPr>
          <w:rFonts w:ascii="Arial" w:hAnsi="Arial"/>
          <w:b w:val="0"/>
          <w:i w:val="0"/>
          <w:color w:val="3B3838"/>
          <w:sz w:val="21"/>
        </w:rPr>
        <w:t>Official guests, government inspectors, client auditors, and corporate visitors.</w:t>
      </w:r>
    </w:p>
    <w:p>
      <w:pPr>
        <w:pStyle w:val="ListParagraph"/>
        <w:spacing w:before="0" w:after="40" w:line="276" w:lineRule="auto"/>
        <w:jc w:val="both"/>
        <w:numPr>
          <w:ilvl w:val="0"/>
          <w:numId w:val="2"/>
        </w:numPr>
        <w:ind w:left="1134"/>
      </w:pPr>
      <w:r>
        <w:rPr>
          <w:rFonts w:ascii="Arial" w:hAnsi="Arial"/>
          <w:b w:val="0"/>
          <w:i w:val="0"/>
          <w:color w:val="3B3838"/>
          <w:sz w:val="21"/>
        </w:rPr>
        <w:t>Contractors, sub-contractors, equipment service technicians, and technical consultants.</w:t>
      </w:r>
    </w:p>
    <w:p>
      <w:pPr>
        <w:pStyle w:val="ListParagraph"/>
        <w:spacing w:before="0" w:after="40" w:line="276" w:lineRule="auto"/>
        <w:jc w:val="both"/>
        <w:numPr>
          <w:ilvl w:val="0"/>
          <w:numId w:val="2"/>
        </w:numPr>
        <w:ind w:left="1134"/>
      </w:pPr>
      <w:r>
        <w:rPr>
          <w:rFonts w:ascii="Arial" w:hAnsi="Arial"/>
          <w:b w:val="0"/>
          <w:i w:val="0"/>
          <w:color w:val="3B3838"/>
          <w:sz w:val="21"/>
        </w:rPr>
        <w:t>Delivery drivers, logistics couriers, and industrial transport personnel.</w:t>
      </w:r>
    </w:p>
    <w:p>
      <w:pPr>
        <w:pStyle w:val="ListParagraph"/>
        <w:spacing w:before="0" w:after="40" w:line="276" w:lineRule="auto"/>
        <w:jc w:val="both"/>
        <w:numPr>
          <w:ilvl w:val="0"/>
          <w:numId w:val="2"/>
        </w:numPr>
        <w:ind w:left="1134"/>
      </w:pPr>
      <w:r>
        <w:rPr>
          <w:rFonts w:ascii="Arial" w:hAnsi="Arial"/>
          <w:b w:val="0"/>
          <w:i w:val="0"/>
          <w:color w:val="3B3838"/>
          <w:sz w:val="21"/>
        </w:rPr>
        <w:t>Students, interns, and temporary work-placement personnel.</w:t>
      </w:r>
    </w:p>
    <w:p>
      <w:pPr>
        <w:spacing w:before="240" w:after="80" w:line="276" w:lineRule="auto"/>
        <w:ind w:left="0"/>
        <w:tabs>
          <w:tab w:val="left" w:pos="720"/>
        </w:tabs>
      </w:pPr>
      <w:r>
        <w:rPr>
          <w:rFonts w:ascii="Arial" w:hAnsi="Arial"/>
          <w:b/>
          <w:i w:val="0"/>
          <w:color w:val="000000"/>
          <w:sz w:val="26"/>
        </w:rPr>
        <w:t>3.0</w:t>
        <w:tab/>
        <w:t>DEFINITIONS &amp; ABBREVIATIONS</w:t>
      </w:r>
    </w:p>
    <w:p>
      <w:pPr>
        <w:spacing w:before="0" w:after="80" w:line="276" w:lineRule="auto"/>
        <w:ind w:left="720"/>
        <w:jc w:val="both"/>
      </w:pPr>
      <w:r>
        <w:rPr>
          <w:rFonts w:ascii="Arial" w:hAnsi="Arial"/>
          <w:b w:val="0"/>
          <w:i w:val="0"/>
          <w:color w:val="3B3838"/>
          <w:sz w:val="21"/>
        </w:rPr>
        <w:t>Safety Briefing: A formal verbal and visual orientation providing essential instructions regarding occupational health, safety hazards, environmental rules, and emergency evacuation protocols.</w:t>
      </w:r>
    </w:p>
    <w:p>
      <w:pPr>
        <w:spacing w:before="0" w:after="80" w:line="276" w:lineRule="auto"/>
        <w:ind w:left="720"/>
        <w:jc w:val="both"/>
      </w:pPr>
      <w:r>
        <w:rPr>
          <w:rFonts w:ascii="Arial" w:hAnsi="Arial"/>
          <w:b w:val="0"/>
          <w:i w:val="0"/>
          <w:color w:val="3B3838"/>
          <w:sz w:val="21"/>
        </w:rPr>
        <w:t>Visitor: Any individual not bound by permanent employment with PT Nirwana Bhumi Energy who enters company premises upon invitation, for official business, inspection, or delivery.</w:t>
      </w:r>
    </w:p>
    <w:p>
      <w:pPr>
        <w:spacing w:before="0" w:after="80" w:line="276" w:lineRule="auto"/>
        <w:ind w:left="720"/>
        <w:jc w:val="both"/>
      </w:pPr>
      <w:r>
        <w:rPr>
          <w:rFonts w:ascii="Arial" w:hAnsi="Arial"/>
          <w:b w:val="0"/>
          <w:i w:val="0"/>
          <w:color w:val="3B3838"/>
          <w:sz w:val="21"/>
        </w:rPr>
        <w:t>Contractor / Third Party: An entity or person bound by contractual agreement with PT Nirwana Bhumi Energy to deliver services, materials, construction, or technical maintenance.</w:t>
      </w:r>
    </w:p>
    <w:p>
      <w:pPr>
        <w:spacing w:before="0" w:after="80" w:line="276" w:lineRule="auto"/>
        <w:ind w:left="720"/>
        <w:jc w:val="both"/>
      </w:pPr>
      <w:r>
        <w:rPr>
          <w:rFonts w:ascii="Arial" w:hAnsi="Arial"/>
          <w:b w:val="0"/>
          <w:i w:val="0"/>
          <w:color w:val="3B3838"/>
          <w:sz w:val="21"/>
        </w:rPr>
        <w:t>Security Post / Access Control: The primary designated security gate checkpoint responsible for perimeter access control, badge issuance, and visitor logging.</w:t>
      </w:r>
    </w:p>
    <w:p>
      <w:pPr>
        <w:spacing w:before="0" w:after="80" w:line="276" w:lineRule="auto"/>
        <w:ind w:left="720"/>
        <w:jc w:val="both"/>
      </w:pPr>
      <w:r>
        <w:rPr>
          <w:rFonts w:ascii="Arial" w:hAnsi="Arial"/>
          <w:b w:val="0"/>
          <w:i w:val="0"/>
          <w:color w:val="3B3838"/>
          <w:sz w:val="21"/>
        </w:rPr>
        <w:t>Muster Point / Assembly Area: A designated safe outdoor location where all personnel must immediately assemble in the event of an emergency evacuation alarm.</w:t>
      </w:r>
    </w:p>
    <w:p>
      <w:pPr>
        <w:spacing w:before="0" w:after="80" w:line="276" w:lineRule="auto"/>
        <w:ind w:left="720"/>
        <w:jc w:val="both"/>
      </w:pPr>
      <w:r>
        <w:rPr>
          <w:rFonts w:ascii="Arial" w:hAnsi="Arial"/>
          <w:b w:val="0"/>
          <w:i w:val="0"/>
          <w:color w:val="3B3838"/>
          <w:sz w:val="21"/>
        </w:rPr>
        <w:t>Personal Protective Equipment (PPE): Specialized protective gear including safety helmets, steel-toe footwear, high-visibility vests, eye protection, and hearing protection.</w:t>
      </w:r>
    </w:p>
    <w:p>
      <w:pPr>
        <w:spacing w:before="240" w:after="80" w:line="276" w:lineRule="auto"/>
        <w:ind w:left="0"/>
        <w:tabs>
          <w:tab w:val="left" w:pos="720"/>
        </w:tabs>
      </w:pPr>
      <w:r>
        <w:rPr>
          <w:rFonts w:ascii="Arial" w:hAnsi="Arial"/>
          <w:b/>
          <w:i w:val="0"/>
          <w:color w:val="000000"/>
          <w:sz w:val="26"/>
        </w:rPr>
        <w:t>4.0</w:t>
        <w:tab/>
        <w:t>RESPONSIBILITIES</w:t>
      </w:r>
    </w:p>
    <w:p>
      <w:pPr>
        <w:spacing w:before="0" w:after="80" w:line="276" w:lineRule="auto"/>
        <w:ind w:left="720"/>
        <w:jc w:val="both"/>
      </w:pPr>
      <w:r>
        <w:rPr>
          <w:rFonts w:ascii="Arial" w:hAnsi="Arial"/>
          <w:b w:val="0"/>
          <w:i w:val="0"/>
          <w:color w:val="3B3838"/>
          <w:sz w:val="21"/>
        </w:rPr>
        <w:t>Director of Operations &amp; Technology / CTO: Maintains executive accountability for physical security, access control enforcement, and operational safety compliance across all company facilities.</w:t>
      </w:r>
    </w:p>
    <w:p>
      <w:pPr>
        <w:spacing w:before="0" w:after="80" w:line="276" w:lineRule="auto"/>
        <w:ind w:left="720"/>
        <w:jc w:val="both"/>
      </w:pPr>
      <w:r>
        <w:rPr>
          <w:rFonts w:ascii="Arial" w:hAnsi="Arial"/>
          <w:b w:val="0"/>
          <w:i w:val="0"/>
          <w:color w:val="3B3838"/>
          <w:sz w:val="21"/>
        </w:rPr>
        <w:t>HSE Coordinator / Safety Officer: Develops standardized briefing materials, conducts comprehensive orientations for high-risk field visitors, and audits gate compliance.</w:t>
      </w:r>
    </w:p>
    <w:p>
      <w:pPr>
        <w:spacing w:before="0" w:after="80" w:line="276" w:lineRule="auto"/>
        <w:ind w:left="720"/>
        <w:jc w:val="both"/>
      </w:pPr>
      <w:r>
        <w:rPr>
          <w:rFonts w:ascii="Arial" w:hAnsi="Arial"/>
          <w:b w:val="0"/>
          <w:i w:val="0"/>
          <w:color w:val="3B3838"/>
          <w:sz w:val="21"/>
        </w:rPr>
        <w:t>Security Personnel (Satpam): Manages access control gates, verifies visitor identities, conducts baggage security screening, logs entry/exit times, issues Visitor Badges, and delivers the initial Safety Briefing Card.</w:t>
      </w:r>
    </w:p>
    <w:p>
      <w:pPr>
        <w:spacing w:before="0" w:after="80" w:line="276" w:lineRule="auto"/>
        <w:ind w:left="720"/>
        <w:jc w:val="both"/>
      </w:pPr>
      <w:r>
        <w:rPr>
          <w:rFonts w:ascii="Arial" w:hAnsi="Arial"/>
          <w:b w:val="0"/>
          <w:i w:val="0"/>
          <w:color w:val="3B3838"/>
          <w:sz w:val="21"/>
        </w:rPr>
        <w:t>Receiving Host / Employee in Charge: Meets the visitor at the security gate, escorts them continuously while on premises, and ensures that the visitor strictly obeys all safety instructions and boundaries.</w:t>
      </w:r>
    </w:p>
    <w:p>
      <w:pPr>
        <w:spacing w:before="0" w:after="80" w:line="276" w:lineRule="auto"/>
        <w:ind w:left="720"/>
        <w:jc w:val="both"/>
      </w:pPr>
      <w:r>
        <w:rPr>
          <w:rFonts w:ascii="Arial" w:hAnsi="Arial"/>
          <w:b w:val="0"/>
          <w:i w:val="0"/>
          <w:color w:val="3B3838"/>
          <w:sz w:val="21"/>
        </w:rPr>
        <w:t>Visitors &amp; Contractors: Comply fully with all safety guidelines, wear prescribed PPE, refrain from entering restricted areas without authorization, and immediately report any unsafe conditions.</w:t>
      </w:r>
    </w:p>
    <w:p>
      <w:pPr>
        <w:spacing w:before="240" w:after="80" w:line="276" w:lineRule="auto"/>
        <w:ind w:left="0"/>
        <w:tabs>
          <w:tab w:val="left" w:pos="720"/>
        </w:tabs>
      </w:pPr>
      <w:r>
        <w:rPr>
          <w:rFonts w:ascii="Arial" w:hAnsi="Arial"/>
          <w:b/>
          <w:i w:val="0"/>
          <w:color w:val="000000"/>
          <w:sz w:val="26"/>
        </w:rPr>
        <w:t>5.0</w:t>
        <w:tab/>
        <w:t>PROCEDURE STEPS</w:t>
      </w:r>
    </w:p>
    <w:p>
      <w:pPr>
        <w:spacing w:before="160" w:after="60" w:line="276" w:lineRule="auto"/>
        <w:ind w:left="0"/>
        <w:tabs>
          <w:tab w:val="left" w:pos="720"/>
        </w:tabs>
      </w:pPr>
      <w:r>
        <w:rPr>
          <w:rFonts w:ascii="Arial" w:hAnsi="Arial"/>
          <w:b/>
          <w:i w:val="0"/>
          <w:color w:val="000000"/>
          <w:sz w:val="22"/>
        </w:rPr>
        <w:t>5.1</w:t>
        <w:tab/>
        <w:t>Arrival and Security Registration</w:t>
      </w:r>
    </w:p>
    <w:p>
      <w:pPr>
        <w:spacing w:before="0" w:after="80" w:line="276" w:lineRule="auto"/>
        <w:ind w:left="720"/>
        <w:jc w:val="both"/>
      </w:pPr>
      <w:r>
        <w:rPr>
          <w:rFonts w:ascii="Arial" w:hAnsi="Arial"/>
          <w:b w:val="0"/>
          <w:i w:val="0"/>
          <w:color w:val="3B3838"/>
          <w:sz w:val="21"/>
        </w:rPr>
        <w:t>All external personnel arriving at PT Nirwana Bhumi Energy premises must immediately report to the Security Post before crossing the perimeter gate. Entering through unauthorized points is strictly prohibited.</w:t>
      </w:r>
    </w:p>
    <w:p>
      <w:pPr>
        <w:spacing w:before="0" w:after="80" w:line="276" w:lineRule="auto"/>
        <w:ind w:left="720"/>
        <w:jc w:val="both"/>
      </w:pPr>
      <w:r>
        <w:rPr>
          <w:rFonts w:ascii="Arial" w:hAnsi="Arial"/>
          <w:b w:val="0"/>
          <w:i w:val="0"/>
          <w:color w:val="3B3838"/>
          <w:sz w:val="21"/>
        </w:rPr>
        <w:t>Security personnel shall verify valid government-issued photographic identification (KTP, SIM, or Passport), record the visitor's full details in the official Visitor Logbook, and contact the receiving host.</w:t>
      </w:r>
    </w:p>
    <w:p>
      <w:pPr>
        <w:spacing w:before="160" w:after="60" w:line="276" w:lineRule="auto"/>
        <w:ind w:left="0"/>
        <w:tabs>
          <w:tab w:val="left" w:pos="720"/>
        </w:tabs>
      </w:pPr>
      <w:r>
        <w:rPr>
          <w:rFonts w:ascii="Arial" w:hAnsi="Arial"/>
          <w:b/>
          <w:i w:val="0"/>
          <w:color w:val="000000"/>
          <w:sz w:val="22"/>
        </w:rPr>
        <w:t>5.2</w:t>
        <w:tab/>
        <w:t>Baggage and Vehicle Screening</w:t>
      </w:r>
    </w:p>
    <w:p>
      <w:pPr>
        <w:spacing w:before="0" w:after="80" w:line="276" w:lineRule="auto"/>
        <w:ind w:left="720"/>
        <w:jc w:val="both"/>
      </w:pPr>
      <w:r>
        <w:rPr>
          <w:rFonts w:ascii="Arial" w:hAnsi="Arial"/>
          <w:b w:val="0"/>
          <w:i w:val="0"/>
          <w:color w:val="3B3838"/>
          <w:sz w:val="21"/>
        </w:rPr>
        <w:t>Security officers shall inspect all vehicles and luggage entering the premises. The following items are strictly prohibited:</w:t>
      </w:r>
    </w:p>
    <w:p>
      <w:pPr>
        <w:pStyle w:val="ListParagraph"/>
        <w:spacing w:before="0" w:after="40" w:line="276" w:lineRule="auto"/>
        <w:jc w:val="both"/>
        <w:numPr>
          <w:ilvl w:val="0"/>
          <w:numId w:val="2"/>
        </w:numPr>
        <w:ind w:left="1134"/>
      </w:pPr>
      <w:r>
        <w:rPr>
          <w:rFonts w:ascii="Arial" w:hAnsi="Arial"/>
          <w:b w:val="0"/>
          <w:i w:val="0"/>
          <w:color w:val="3B3838"/>
          <w:sz w:val="21"/>
        </w:rPr>
        <w:t>Firearms, explosives, weapons, or incendiary devices.</w:t>
      </w:r>
    </w:p>
    <w:p>
      <w:pPr>
        <w:pStyle w:val="ListParagraph"/>
        <w:spacing w:before="0" w:after="40" w:line="276" w:lineRule="auto"/>
        <w:jc w:val="both"/>
        <w:numPr>
          <w:ilvl w:val="0"/>
          <w:numId w:val="2"/>
        </w:numPr>
        <w:ind w:left="1134"/>
      </w:pPr>
      <w:r>
        <w:rPr>
          <w:rFonts w:ascii="Arial" w:hAnsi="Arial"/>
          <w:b w:val="0"/>
          <w:i w:val="0"/>
          <w:color w:val="3B3838"/>
          <w:sz w:val="21"/>
        </w:rPr>
        <w:t>Alcoholic beverages, narcotics, and unauthorized controlled substances.</w:t>
      </w:r>
    </w:p>
    <w:p>
      <w:pPr>
        <w:pStyle w:val="ListParagraph"/>
        <w:spacing w:before="0" w:after="40" w:line="276" w:lineRule="auto"/>
        <w:jc w:val="both"/>
        <w:numPr>
          <w:ilvl w:val="0"/>
          <w:numId w:val="2"/>
        </w:numPr>
        <w:ind w:left="1134"/>
      </w:pPr>
      <w:r>
        <w:rPr>
          <w:rFonts w:ascii="Arial" w:hAnsi="Arial"/>
          <w:b w:val="0"/>
          <w:i w:val="0"/>
          <w:color w:val="3B3838"/>
          <w:sz w:val="21"/>
        </w:rPr>
        <w:t>Non-intrinsically safe cameras, mobile phones, or ignition sources in ATEX / hazardous designated zones.</w:t>
      </w:r>
    </w:p>
    <w:p>
      <w:pPr>
        <w:spacing w:before="160" w:after="60" w:line="276" w:lineRule="auto"/>
        <w:ind w:left="0"/>
        <w:tabs>
          <w:tab w:val="left" w:pos="720"/>
        </w:tabs>
      </w:pPr>
      <w:r>
        <w:rPr>
          <w:rFonts w:ascii="Arial" w:hAnsi="Arial"/>
          <w:b/>
          <w:i w:val="0"/>
          <w:color w:val="000000"/>
          <w:sz w:val="22"/>
        </w:rPr>
        <w:t>5.3</w:t>
        <w:tab/>
        <w:t>Mandatory Safety Briefing Delivery</w:t>
      </w:r>
    </w:p>
    <w:p>
      <w:pPr>
        <w:spacing w:before="0" w:after="80" w:line="276" w:lineRule="auto"/>
        <w:ind w:left="720"/>
        <w:jc w:val="both"/>
      </w:pPr>
      <w:r>
        <w:rPr>
          <w:rFonts w:ascii="Arial" w:hAnsi="Arial"/>
          <w:b w:val="0"/>
          <w:i w:val="0"/>
          <w:color w:val="3B3838"/>
          <w:sz w:val="21"/>
        </w:rPr>
        <w:t>Prior to granting entry clearance, security officers or the receiving host shall deliver a mandatory Safety Briefing covering:</w:t>
      </w:r>
    </w:p>
    <w:p>
      <w:pPr>
        <w:pStyle w:val="ListParagraph"/>
        <w:spacing w:before="0" w:after="40" w:line="276" w:lineRule="auto"/>
        <w:jc w:val="both"/>
        <w:numPr>
          <w:ilvl w:val="0"/>
          <w:numId w:val="2"/>
        </w:numPr>
        <w:ind w:left="1134"/>
      </w:pPr>
      <w:r>
        <w:rPr>
          <w:rFonts w:ascii="Arial" w:hAnsi="Arial"/>
          <w:b w:val="0"/>
          <w:i w:val="0"/>
          <w:color w:val="3B3838"/>
          <w:sz w:val="21"/>
        </w:rPr>
        <w:t>General plant layout, designated pedestrian walkways, and restricted zones.</w:t>
      </w:r>
    </w:p>
    <w:p>
      <w:pPr>
        <w:pStyle w:val="ListParagraph"/>
        <w:spacing w:before="0" w:after="40" w:line="276" w:lineRule="auto"/>
        <w:jc w:val="both"/>
        <w:numPr>
          <w:ilvl w:val="0"/>
          <w:numId w:val="2"/>
        </w:numPr>
        <w:ind w:left="1134"/>
      </w:pPr>
      <w:r>
        <w:rPr>
          <w:rFonts w:ascii="Arial" w:hAnsi="Arial"/>
          <w:b w:val="0"/>
          <w:i w:val="0"/>
          <w:color w:val="3B3838"/>
          <w:sz w:val="21"/>
        </w:rPr>
        <w:t>Emergency alarm signals (continuous siren for fire/gas leak, intermittent siren for alert).</w:t>
      </w:r>
    </w:p>
    <w:p>
      <w:pPr>
        <w:pStyle w:val="ListParagraph"/>
        <w:spacing w:before="0" w:after="40" w:line="276" w:lineRule="auto"/>
        <w:jc w:val="both"/>
        <w:numPr>
          <w:ilvl w:val="0"/>
          <w:numId w:val="2"/>
        </w:numPr>
        <w:ind w:left="1134"/>
      </w:pPr>
      <w:r>
        <w:rPr>
          <w:rFonts w:ascii="Arial" w:hAnsi="Arial"/>
          <w:b w:val="0"/>
          <w:i w:val="0"/>
          <w:color w:val="3B3838"/>
          <w:sz w:val="21"/>
        </w:rPr>
        <w:t>Primary and secondary emergency evacuation routes leading directly to designated Muster Points.</w:t>
      </w:r>
    </w:p>
    <w:p>
      <w:pPr>
        <w:pStyle w:val="ListParagraph"/>
        <w:spacing w:before="0" w:after="40" w:line="276" w:lineRule="auto"/>
        <w:jc w:val="both"/>
        <w:numPr>
          <w:ilvl w:val="0"/>
          <w:numId w:val="2"/>
        </w:numPr>
        <w:ind w:left="1134"/>
      </w:pPr>
      <w:r>
        <w:rPr>
          <w:rFonts w:ascii="Arial" w:hAnsi="Arial"/>
          <w:b w:val="0"/>
          <w:i w:val="0"/>
          <w:color w:val="3B3838"/>
          <w:sz w:val="21"/>
        </w:rPr>
        <w:t>Mandatory minimum PPE requirements (safety helmet, high-visibility vest, safety boots, and safety glasses in active workshop/rig areas).</w:t>
      </w:r>
    </w:p>
    <w:p>
      <w:pPr>
        <w:pStyle w:val="ListParagraph"/>
        <w:spacing w:before="0" w:after="40" w:line="276" w:lineRule="auto"/>
        <w:jc w:val="both"/>
        <w:numPr>
          <w:ilvl w:val="0"/>
          <w:numId w:val="2"/>
        </w:numPr>
        <w:ind w:left="1134"/>
      </w:pPr>
      <w:r>
        <w:rPr>
          <w:rFonts w:ascii="Arial" w:hAnsi="Arial"/>
          <w:b w:val="0"/>
          <w:i w:val="0"/>
          <w:color w:val="3B3838"/>
          <w:sz w:val="21"/>
        </w:rPr>
        <w:t>Strict prohibition of smoking outside designated, spark-arrested smoking shelters.</w:t>
      </w:r>
    </w:p>
    <w:p>
      <w:pPr>
        <w:spacing w:before="160" w:after="60" w:line="276" w:lineRule="auto"/>
        <w:ind w:left="0"/>
        <w:tabs>
          <w:tab w:val="left" w:pos="720"/>
        </w:tabs>
      </w:pPr>
      <w:r>
        <w:rPr>
          <w:rFonts w:ascii="Arial" w:hAnsi="Arial"/>
          <w:b/>
          <w:i w:val="0"/>
          <w:color w:val="000000"/>
          <w:sz w:val="22"/>
        </w:rPr>
        <w:t>5.4</w:t>
        <w:tab/>
        <w:t>Visitor Badge Issuance and Escort Protocol</w:t>
      </w:r>
    </w:p>
    <w:p>
      <w:pPr>
        <w:spacing w:before="0" w:after="80" w:line="276" w:lineRule="auto"/>
        <w:ind w:left="720"/>
        <w:jc w:val="both"/>
      </w:pPr>
      <w:r>
        <w:rPr>
          <w:rFonts w:ascii="Arial" w:hAnsi="Arial"/>
          <w:b w:val="0"/>
          <w:i w:val="0"/>
          <w:color w:val="3B3838"/>
          <w:sz w:val="21"/>
        </w:rPr>
        <w:t>Upon completion of the safety briefing, the visitor shall be issued a color-coded Visitor Badge that must be worn visibly on the chest throughout their stay.</w:t>
      </w:r>
    </w:p>
    <w:p>
      <w:pPr>
        <w:spacing w:before="0" w:after="80" w:line="276" w:lineRule="auto"/>
        <w:ind w:left="720"/>
        <w:jc w:val="both"/>
      </w:pPr>
      <w:r>
        <w:rPr>
          <w:rFonts w:ascii="Arial" w:hAnsi="Arial"/>
          <w:b w:val="0"/>
          <w:i w:val="0"/>
          <w:color w:val="3B3838"/>
          <w:sz w:val="21"/>
        </w:rPr>
        <w:t>Visitors must remain under the direct physical supervision of their receiving host at all times. Visitors are strictly prohibited from touching operational machinery, operating electrical switches, or wandering unescorted.</w:t>
      </w:r>
    </w:p>
    <w:p>
      <w:pPr>
        <w:spacing w:before="160" w:after="60" w:line="276" w:lineRule="auto"/>
        <w:ind w:left="0"/>
        <w:tabs>
          <w:tab w:val="left" w:pos="720"/>
        </w:tabs>
      </w:pPr>
      <w:r>
        <w:rPr>
          <w:rFonts w:ascii="Arial" w:hAnsi="Arial"/>
          <w:b/>
          <w:i w:val="0"/>
          <w:color w:val="000000"/>
          <w:sz w:val="22"/>
        </w:rPr>
        <w:t>5.5</w:t>
        <w:tab/>
        <w:t>Contractor Work Permit Verification</w:t>
      </w:r>
    </w:p>
    <w:p>
      <w:pPr>
        <w:spacing w:before="0" w:after="80" w:line="276" w:lineRule="auto"/>
        <w:ind w:left="720"/>
        <w:jc w:val="both"/>
      </w:pPr>
      <w:r>
        <w:rPr>
          <w:rFonts w:ascii="Arial" w:hAnsi="Arial"/>
          <w:b w:val="0"/>
          <w:i w:val="0"/>
          <w:color w:val="3B3838"/>
          <w:sz w:val="21"/>
        </w:rPr>
        <w:t>If the visitor is a contractor arriving to perform physical labor, hot work, confined space entry, or electrical work, they shall not be permitted to commence work until an approved Permit to Work (PTW) and Job Safety Analysis (JSA) have been verified by the HSE Officer.</w:t>
      </w:r>
    </w:p>
    <w:p>
      <w:pPr>
        <w:spacing w:before="160" w:after="60" w:line="276" w:lineRule="auto"/>
        <w:ind w:left="0"/>
        <w:tabs>
          <w:tab w:val="left" w:pos="720"/>
        </w:tabs>
      </w:pPr>
      <w:r>
        <w:rPr>
          <w:rFonts w:ascii="Arial" w:hAnsi="Arial"/>
          <w:b/>
          <w:i w:val="0"/>
          <w:color w:val="000000"/>
          <w:sz w:val="22"/>
        </w:rPr>
        <w:t>5.6</w:t>
        <w:tab/>
        <w:t>De-Briefing and Departure Protocol</w:t>
      </w:r>
    </w:p>
    <w:p>
      <w:pPr>
        <w:spacing w:before="0" w:after="80" w:line="276" w:lineRule="auto"/>
        <w:ind w:left="720"/>
        <w:jc w:val="both"/>
      </w:pPr>
      <w:r>
        <w:rPr>
          <w:rFonts w:ascii="Arial" w:hAnsi="Arial"/>
          <w:b w:val="0"/>
          <w:i w:val="0"/>
          <w:color w:val="3B3838"/>
          <w:sz w:val="21"/>
        </w:rPr>
        <w:t>Upon completion of the visit, the receiving host shall escort the visitor back to the Security Post. The visitor shall return their Visitor Badge, sign out in the Visitor Logbook recording departure time, and report any observations or safety concerns.</w:t>
      </w:r>
    </w:p>
    <w:p>
      <w:pPr>
        <w:spacing w:before="240" w:after="80" w:line="276" w:lineRule="auto"/>
        <w:ind w:left="0"/>
        <w:tabs>
          <w:tab w:val="left" w:pos="720"/>
        </w:tabs>
      </w:pPr>
      <w:r>
        <w:rPr>
          <w:rFonts w:ascii="Arial" w:hAnsi="Arial"/>
          <w:b/>
          <w:i w:val="0"/>
          <w:color w:val="000000"/>
          <w:sz w:val="26"/>
        </w:rPr>
        <w:t>6.0</w:t>
        <w:tab/>
        <w:t>PERFORMANCE INDICATORS &amp; AUDIT</w:t>
      </w:r>
    </w:p>
    <w:p>
      <w:pPr>
        <w:spacing w:before="0" w:after="80" w:line="276" w:lineRule="auto"/>
        <w:ind w:left="720"/>
        <w:jc w:val="both"/>
      </w:pPr>
      <w:r>
        <w:rPr>
          <w:rFonts w:ascii="Arial" w:hAnsi="Arial"/>
          <w:b w:val="0"/>
          <w:i w:val="0"/>
          <w:color w:val="3B3838"/>
          <w:sz w:val="21"/>
        </w:rPr>
        <w:t>The effectiveness of this briefing procedure shall be verified through:</w:t>
      </w:r>
    </w:p>
    <w:p>
      <w:pPr>
        <w:pStyle w:val="ListParagraph"/>
        <w:spacing w:before="0" w:after="40" w:line="276" w:lineRule="auto"/>
        <w:jc w:val="both"/>
        <w:numPr>
          <w:ilvl w:val="0"/>
          <w:numId w:val="2"/>
        </w:numPr>
        <w:ind w:left="1134"/>
      </w:pPr>
      <w:r>
        <w:rPr>
          <w:rFonts w:ascii="Arial" w:hAnsi="Arial"/>
          <w:b w:val="0"/>
          <w:i w:val="0"/>
          <w:color w:val="3B3838"/>
          <w:sz w:val="21"/>
        </w:rPr>
        <w:t>100% of external visitors recorded in the Visitor Logbook with verified briefing acknowledgment.</w:t>
      </w:r>
    </w:p>
    <w:p>
      <w:pPr>
        <w:pStyle w:val="ListParagraph"/>
        <w:spacing w:before="0" w:after="40" w:line="276" w:lineRule="auto"/>
        <w:jc w:val="both"/>
        <w:numPr>
          <w:ilvl w:val="0"/>
          <w:numId w:val="2"/>
        </w:numPr>
        <w:ind w:left="1134"/>
      </w:pPr>
      <w:r>
        <w:rPr>
          <w:rFonts w:ascii="Arial" w:hAnsi="Arial"/>
          <w:b w:val="0"/>
          <w:i w:val="0"/>
          <w:color w:val="3B3838"/>
          <w:sz w:val="21"/>
        </w:rPr>
        <w:t>Zero visitor access violations or unescorted visitor incidents in restricted operational zones.</w:t>
      </w:r>
    </w:p>
    <w:p>
      <w:pPr>
        <w:pStyle w:val="ListParagraph"/>
        <w:spacing w:before="0" w:after="40" w:line="276" w:lineRule="auto"/>
        <w:jc w:val="both"/>
        <w:numPr>
          <w:ilvl w:val="0"/>
          <w:numId w:val="2"/>
        </w:numPr>
        <w:ind w:left="1134"/>
      </w:pPr>
      <w:r>
        <w:rPr>
          <w:rFonts w:ascii="Arial" w:hAnsi="Arial"/>
          <w:b w:val="0"/>
          <w:i w:val="0"/>
          <w:color w:val="3B3838"/>
          <w:sz w:val="21"/>
        </w:rPr>
        <w:t>Zero occupational injuries or health incidents involving external visitors or contractors.</w:t>
      </w:r>
    </w:p>
    <w:p>
      <w:pPr>
        <w:spacing w:before="240" w:after="80" w:line="276" w:lineRule="auto"/>
        <w:ind w:left="0"/>
        <w:tabs>
          <w:tab w:val="left" w:pos="720"/>
        </w:tabs>
      </w:pPr>
      <w:r>
        <w:rPr>
          <w:rFonts w:ascii="Arial" w:hAnsi="Arial"/>
          <w:b/>
          <w:i w:val="0"/>
          <w:color w:val="000000"/>
          <w:sz w:val="26"/>
        </w:rPr>
        <w:t>7.0</w:t>
        <w:tab/>
        <w:t>REFERENCED DOCUMENTS</w:t>
      </w:r>
    </w:p>
    <w:p>
      <w:pPr>
        <w:spacing w:before="0" w:after="80" w:line="276" w:lineRule="auto"/>
        <w:ind w:left="720"/>
        <w:jc w:val="both"/>
      </w:pPr>
      <w:r>
        <w:rPr>
          <w:rFonts w:ascii="Arial" w:hAnsi="Arial"/>
          <w:b w:val="0"/>
          <w:i w:val="0"/>
          <w:color w:val="3B3838"/>
          <w:sz w:val="21"/>
        </w:rPr>
        <w:t>Law No. 1 of 1970 regarding Occupational Safety</w:t>
      </w:r>
    </w:p>
    <w:p>
      <w:pPr>
        <w:spacing w:before="0" w:after="80" w:line="276" w:lineRule="auto"/>
        <w:ind w:left="720"/>
        <w:jc w:val="both"/>
      </w:pPr>
      <w:r>
        <w:rPr>
          <w:rFonts w:ascii="Arial" w:hAnsi="Arial"/>
          <w:b w:val="0"/>
          <w:i w:val="0"/>
          <w:color w:val="3B3838"/>
          <w:sz w:val="21"/>
        </w:rPr>
        <w:t>Minister of Manpower Regulation No. 05/MEN/1996 regarding OHS Management System (SMK3) Sub-element 12.4</w:t>
      </w:r>
    </w:p>
    <w:p>
      <w:pPr>
        <w:spacing w:before="0" w:after="80" w:line="276" w:lineRule="auto"/>
        <w:ind w:left="720"/>
        <w:jc w:val="both"/>
      </w:pPr>
      <w:r>
        <w:rPr>
          <w:rFonts w:ascii="Arial" w:hAnsi="Arial"/>
          <w:b w:val="0"/>
          <w:i w:val="0"/>
          <w:color w:val="3B3838"/>
          <w:sz w:val="21"/>
        </w:rPr>
        <w:t>ISO 45001:2018 Occupational Health and Safety Management Systems - Clause 8.1 Operational Planning and Control</w:t>
      </w:r>
    </w:p>
    <w:p>
      <w:pPr>
        <w:spacing w:before="0" w:after="80" w:line="276" w:lineRule="auto"/>
        <w:ind w:left="720"/>
        <w:jc w:val="both"/>
      </w:pPr>
      <w:r>
        <w:rPr>
          <w:rFonts w:ascii="Arial" w:hAnsi="Arial"/>
          <w:b w:val="0"/>
          <w:i w:val="0"/>
          <w:color w:val="3B3838"/>
          <w:sz w:val="21"/>
        </w:rPr>
        <w:t>0001-SOP-GNR-CEO-IX-2026: Document and Records Control Procedure</w:t>
      </w:r>
    </w:p>
    <w:p>
      <w:pPr>
        <w:spacing w:before="0" w:after="80" w:line="276" w:lineRule="auto"/>
        <w:ind w:left="720"/>
        <w:jc w:val="both"/>
      </w:pPr>
      <w:r>
        <w:rPr>
          <w:rFonts w:ascii="Arial" w:hAnsi="Arial"/>
          <w:b w:val="0"/>
          <w:i w:val="0"/>
          <w:color w:val="3B3838"/>
          <w:sz w:val="21"/>
        </w:rPr>
        <w:t>0004-SOP-HSE-COO-X-2026: Personnel HSE Induction Procedure</w:t>
      </w:r>
    </w:p>
    <w:p>
      <w:pPr>
        <w:spacing w:before="240" w:after="80" w:line="276" w:lineRule="auto"/>
        <w:ind w:left="0"/>
        <w:tabs>
          <w:tab w:val="left" w:pos="720"/>
        </w:tabs>
      </w:pPr>
      <w:r>
        <w:rPr>
          <w:rFonts w:ascii="Arial" w:hAnsi="Arial"/>
          <w:b/>
          <w:i w:val="0"/>
          <w:color w:val="000000"/>
          <w:sz w:val="26"/>
        </w:rPr>
        <w:t>8.0</w:t>
        <w:tab/>
        <w:t>ATTACHMENTS &amp; ASSOCIATED FORMS</w:t>
      </w:r>
    </w:p>
    <w:p>
      <w:pPr>
        <w:spacing w:before="0" w:after="80" w:line="276" w:lineRule="auto"/>
        <w:ind w:left="720"/>
        <w:jc w:val="both"/>
      </w:pPr>
      <w:r>
        <w:rPr>
          <w:rFonts w:ascii="Arial" w:hAnsi="Arial"/>
          <w:b w:val="0"/>
          <w:i w:val="0"/>
          <w:color w:val="3B3838"/>
          <w:sz w:val="21"/>
        </w:rPr>
        <w:t>Visitor Registration and Gate Logbook</w:t>
      </w:r>
    </w:p>
    <w:p>
      <w:pPr>
        <w:spacing w:before="0" w:after="80" w:line="276" w:lineRule="auto"/>
        <w:ind w:left="720"/>
        <w:jc w:val="both"/>
      </w:pPr>
      <w:r>
        <w:rPr>
          <w:rFonts w:ascii="Arial" w:hAnsi="Arial"/>
          <w:b w:val="0"/>
          <w:i w:val="0"/>
          <w:color w:val="3B3838"/>
          <w:sz w:val="21"/>
        </w:rPr>
        <w:t>Standard Visitor HSE Briefing Pocket Card</w:t>
      </w:r>
    </w:p>
    <w:sectPr w:rsidR="00FC693F" w:rsidRPr="0006063C" w:rsidSect="00034616">
      <w:headerReference w:type="default" r:id="rId9"/>
      <w:footerReference w:type="default" r:id="rId10"/>
      <w:pgSz w:w="11909" w:h="16834"/>
      <w:pgMar w:top="1134" w:right="1134" w:bottom="1134" w:left="124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000000"/>
        <w:sz w:val="18"/>
      </w:rPr>
      <w:t xml:space="preserve">Page </w:t>
    </w:r>
    <w:fldSimple w:instr="PAGE"/>
    <w:r>
      <w:rPr>
        <w:rFonts w:ascii="Arial" w:hAnsi="Arial"/>
        <w:b/>
        <w:i w:val="0"/>
        <w:color w:val="00000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340"/>
      <w:gridCol w:w="2340"/>
      <w:gridCol w:w="2340"/>
      <w:gridCol w:w="2340"/>
    </w:tblGrid>
    <w:tr>
      <w:tc>
        <w:tcPr>
          <w:tcW w:type="dxa" w:w="2232"/>
          <w:vMerge w:val="restart"/>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drawing>
              <wp:inline xmlns:a="http://schemas.openxmlformats.org/drawingml/2006/main" xmlns:pic="http://schemas.openxmlformats.org/drawingml/2006/picture">
                <wp:extent cx="1051560" cy="499491"/>
                <wp:docPr id="1" name="Picture 1"/>
                <wp:cNvGraphicFramePr>
                  <a:graphicFrameLocks noChangeAspect="1"/>
                </wp:cNvGraphicFramePr>
                <a:graphic>
                  <a:graphicData uri="http://schemas.openxmlformats.org/drawingml/2006/picture">
                    <pic:pic>
                      <pic:nvPicPr>
                        <pic:cNvPr id="0" name="logo_header_hq.png"/>
                        <pic:cNvPicPr/>
                      </pic:nvPicPr>
                      <pic:blipFill>
                        <a:blip r:embed="rId1"/>
                        <a:stretch>
                          <a:fillRect/>
                        </a:stretch>
                      </pic:blipFill>
                      <pic:spPr>
                        <a:xfrm>
                          <a:off x="0" y="0"/>
                          <a:ext cx="1051560" cy="499491"/>
                        </a:xfrm>
                        <a:prstGeom prst="rect"/>
                      </pic:spPr>
                    </pic:pic>
                  </a:graphicData>
                </a:graphic>
              </wp:inline>
            </w:drawing>
          </w: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Integrated Management Systems</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Procedure</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20"/>
            </w:rPr>
            <w:t>VISITOR AND CONTRACTOR SAFETY BRIEFING PROCEDURE</w:t>
          </w:r>
        </w:p>
      </w:tc>
    </w:tr>
    <w:tr>
      <w:tc>
        <w:tcPr>
          <w:tcW w:type="dxa" w:w="2340"/>
          <w:vMerge/>
        </w:tcP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6"/>
            </w:rPr>
            <w:t>Revision: 0</w:t>
          </w:r>
        </w:p>
      </w:tc>
      <w:tc>
        <w:tcPr>
          <w:tcW w:type="dxa" w:w="3672"/>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6"/>
            </w:rPr>
            <w:t>Number: 0009-SOP-HSE-COO-X-2026</w:t>
          </w: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6"/>
            </w:rPr>
            <w:t>Revised: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