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drawing>
          <wp:inline xmlns:a="http://schemas.openxmlformats.org/drawingml/2006/main" xmlns:pic="http://schemas.openxmlformats.org/drawingml/2006/picture">
            <wp:extent cx="2926080" cy="652372"/>
            <wp:docPr id="1" name="Picture 1"/>
            <wp:cNvGraphicFramePr>
              <a:graphicFrameLocks noChangeAspect="1"/>
            </wp:cNvGraphicFramePr>
            <a:graphic>
              <a:graphicData uri="http://schemas.openxmlformats.org/drawingml/2006/picture">
                <pic:pic>
                  <pic:nvPicPr>
                    <pic:cNvPr id="0" name="logo_cover_hq.png"/>
                    <pic:cNvPicPr/>
                  </pic:nvPicPr>
                  <pic:blipFill>
                    <a:blip r:embed="rId11"/>
                    <a:stretch>
                      <a:fillRect/>
                    </a:stretch>
                  </pic:blipFill>
                  <pic:spPr>
                    <a:xfrm>
                      <a:off x="0" y="0"/>
                      <a:ext cx="2926080" cy="652372"/>
                    </a:xfrm>
                    <a:prstGeom prst="rect"/>
                  </pic:spPr>
                </pic:pic>
              </a:graphicData>
            </a:graphic>
          </wp:inline>
        </w:drawing>
      </w:r>
    </w:p>
    <w:p>
      <w:pPr>
        <w:spacing w:after="240"/>
      </w:pPr>
    </w:p>
    <w:p>
      <w:pPr>
        <w:spacing w:after="320"/>
        <w:jc w:val="center"/>
      </w:pPr>
      <w:r>
        <w:rPr>
          <w:rFonts w:ascii="Arial" w:hAnsi="Arial"/>
          <w:b/>
          <w:i w:val="0"/>
          <w:color w:val="000000"/>
          <w:sz w:val="36"/>
        </w:rPr>
        <w:t>PT Nirwana Bhumi Energy</w:t>
      </w:r>
    </w:p>
    <w:p>
      <w:pPr>
        <w:spacing w:after="160"/>
      </w:pPr>
    </w:p>
    <w:p>
      <w:pPr>
        <w:spacing w:after="120" w:line="288" w:lineRule="auto"/>
        <w:jc w:val="center"/>
      </w:pPr>
      <w:r>
        <w:rPr>
          <w:rFonts w:ascii="Arial" w:hAnsi="Arial"/>
          <w:b/>
          <w:i w:val="0"/>
          <w:color w:val="000000"/>
          <w:sz w:val="36"/>
        </w:rPr>
        <w:t>DOCUMENT AND RECORDS CONTROL PROCEDURE</w:t>
      </w:r>
    </w:p>
    <w:p>
      <w:pPr>
        <w:spacing w:after="240"/>
      </w:pPr>
    </w:p>
    <w:p>
      <w:pPr>
        <w:spacing w:after="240"/>
      </w:pPr>
    </w:p>
    <w:p>
      <w:pPr>
        <w:spacing w:after="240"/>
      </w:pPr>
    </w:p>
    <w:p>
      <w:pPr>
        <w:spacing w:after="240"/>
      </w:pPr>
    </w:p>
    <w:p>
      <w:pPr>
        <w:spacing w:after="240"/>
      </w:pPr>
    </w:p>
    <w:tbl>
      <w:tblPr>
        <w:tblW w:type="auto" w:w="0"/>
        <w:jc w:val="left"/>
        <w:tblLook w:firstColumn="1" w:firstRow="1" w:lastColumn="0" w:lastRow="0" w:noHBand="0" w:noVBand="1" w:val="04A0"/>
        <w:tblInd w:w="4464" w:type="dxa"/>
        <w:tblBorders>
          <w:top w:val="none"/>
          <w:left w:val="none"/>
          <w:bottom w:val="none"/>
          <w:right w:val="none"/>
          <w:insideH w:val="none"/>
          <w:insideV w:val="none"/>
        </w:tblBorders>
      </w:tblPr>
      <w:tblGrid>
        <w:gridCol w:w="4764"/>
        <w:gridCol w:w="4764"/>
      </w:tblGrid>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Approved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Bima Satryo Hartanto</w:t>
              <w:br/>
              <w:t xml:space="preserve">   (President Director / CEO)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Verified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Dennis Raditya (Director of</w:t>
              <w:br/>
              <w:t xml:space="preserve">   Operations &amp; Technology / CTO)</w:t>
            </w:r>
          </w:p>
        </w:tc>
      </w:tr>
      <w:tr>
        <w:trPr>
          <w:cantSplit/>
        </w:trPr>
        <w:tc>
          <w:tcPr>
            <w:tcW w:type="dxa" w:w="1584"/>
            <w:vAlign w:val="center"/>
            <w:tcMar>
              <w:top w:w="30" w:type="dxa"/>
              <w:bottom w:w="30" w:type="dxa"/>
              <w:left w:w="40" w:type="dxa"/>
              <w:right w:w="40" w:type="dxa"/>
            </w:tcMar>
          </w:tcPr>
          <w:p>
            <w:pPr>
              <w:jc w:val="left"/>
            </w:pPr>
            <w:r>
              <w:rPr>
                <w:rFonts w:ascii="Arial" w:hAnsi="Arial"/>
                <w:b w:val="0"/>
                <w:i w:val="0"/>
                <w:color w:val="000000"/>
                <w:sz w:val="19"/>
              </w:rPr>
              <w:t>Created By</w:t>
            </w:r>
          </w:p>
        </w:tc>
        <w:tc>
          <w:tcPr>
            <w:tcW w:type="dxa" w:w="3312"/>
            <w:vAlign w:val="center"/>
            <w:tcMar>
              <w:top w:w="30" w:type="dxa"/>
              <w:bottom w:w="30" w:type="dxa"/>
              <w:left w:w="40" w:type="dxa"/>
              <w:right w:w="40" w:type="dxa"/>
            </w:tcMar>
          </w:tcPr>
          <w:p>
            <w:pPr>
              <w:jc w:val="left"/>
            </w:pPr>
            <w:r>
              <w:rPr>
                <w:rFonts w:ascii="Arial" w:hAnsi="Arial"/>
                <w:b w:val="0"/>
                <w:i w:val="0"/>
                <w:color w:val="000000"/>
                <w:sz w:val="19"/>
              </w:rPr>
              <w:t>:  Abdul Qodir Al Jailani</w:t>
              <w:br/>
              <w:t xml:space="preserve">   (Commissioner / IMS Team Lead)</w:t>
            </w:r>
          </w:p>
        </w:tc>
      </w:tr>
    </w:tbl>
    <w:p>
      <w:r>
        <w:br w:type="page"/>
      </w:r>
    </w:p>
    <w:p>
      <w:pPr>
        <w:spacing w:before="320" w:after="280"/>
        <w:jc w:val="center"/>
      </w:pPr>
      <w:r>
        <w:rPr>
          <w:rFonts w:ascii="Arial" w:hAnsi="Arial"/>
          <w:b/>
          <w:i w:val="0"/>
          <w:color w:val="000000"/>
          <w:sz w:val="26"/>
        </w:rPr>
        <w:t>REVISION INDEX</w:t>
      </w:r>
    </w:p>
    <w:tbl>
      <w:tblPr>
        <w:tblW w:type="auto" w:w="0"/>
        <w:jc w:val="center"/>
        <w:tblLook w:firstColumn="1" w:firstRow="1" w:lastColumn="0" w:lastRow="0" w:noHBand="0" w:noVBand="1" w:val="04A0"/>
      </w:tblPr>
      <w:tblGrid>
        <w:gridCol w:w="2382"/>
        <w:gridCol w:w="2382"/>
        <w:gridCol w:w="2382"/>
        <w:gridCol w:w="2382"/>
      </w:tblGrid>
      <w:tr>
        <w:tc>
          <w:tcPr>
            <w:tcW w:type="dxa" w:w="129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Revision</w:t>
            </w:r>
          </w:p>
        </w:tc>
        <w:tc>
          <w:tcPr>
            <w:tcW w:type="dxa" w:w="1728"/>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Date</w:t>
            </w:r>
          </w:p>
        </w:tc>
        <w:tc>
          <w:tcPr>
            <w:tcW w:type="dxa" w:w="4320"/>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Description of Changes</w:t>
            </w:r>
          </w:p>
        </w:tc>
        <w:tc>
          <w:tcPr>
            <w:tcW w:type="dxa" w:w="2016"/>
            <w:shd w:fill="D9E1F2"/>
            <w:vAlign w:val="center"/>
            <w:tcMar>
              <w:top w:w="80" w:type="dxa"/>
              <w:bottom w:w="8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9"/>
              </w:rPr>
              <w:t>Revised By</w:t>
            </w:r>
          </w:p>
        </w:tc>
      </w:tr>
      <w:t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0</w:t>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September 2026</w:t>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7"/>
              </w:rPr>
              <w:t>Initial Issue - Standard CSMS Procedure for PT Nirwana Bhumi Energy (0001-SOP-GNR-CEO-IX-2026)</w:t>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7"/>
              </w:rPr>
              <w:t>IMS &amp; HSE Team</w:t>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r>
        <w:trPr>
          <w:cantSplit/>
        </w:trPr>
        <w:tc>
          <w:tcPr>
            <w:tcW w:type="dxa" w:w="129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1728"/>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4320"/>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c>
          <w:tcPr>
            <w:tcW w:type="dxa" w:w="2016"/>
            <w:vAlign w:val="center"/>
            <w:tcMar>
              <w:top w:w="60" w:type="dxa"/>
              <w:bottom w:w="60" w:type="dxa"/>
              <w:left w:w="80" w:type="dxa"/>
              <w:right w:w="80" w:type="dxa"/>
            </w:tcMar>
            <w:tcBorders>
              <w:top w:val="single" w:sz="4" w:space="0" w:color="000000"/>
              <w:bottom w:val="single" w:sz="4" w:space="0" w:color="000000"/>
              <w:left w:val="single" w:sz="4" w:space="0" w:color="000000"/>
              <w:right w:val="single" w:sz="4" w:space="0" w:color="000000"/>
            </w:tcBorders>
          </w:tcPr>
          <w:p>
            <w:r/>
          </w:p>
        </w:tc>
      </w:tr>
    </w:tbl>
    <w:p>
      <w:r>
        <w:br w:type="page"/>
      </w:r>
    </w:p>
    <w:p>
      <w:pPr>
        <w:spacing w:before="320" w:after="320"/>
        <w:jc w:val="center"/>
      </w:pPr>
      <w:r>
        <w:rPr>
          <w:rFonts w:ascii="Arial" w:hAnsi="Arial"/>
          <w:b/>
          <w:i w:val="0"/>
          <w:color w:val="000000"/>
          <w:sz w:val="26"/>
        </w:rPr>
        <w:t>TABLE OF CONTENTS</w:t>
      </w:r>
    </w:p>
    <w:p>
      <w:pPr>
        <w:spacing w:before="0" w:after="60"/>
        <w:ind w:left="720"/>
        <w:tabs>
          <w:tab w:val="left" w:pos="1080"/>
        </w:tabs>
      </w:pPr>
      <w:r>
        <w:rPr>
          <w:rFonts w:ascii="Arial" w:hAnsi="Arial"/>
          <w:b/>
          <w:i w:val="0"/>
          <w:color w:val="000000"/>
          <w:sz w:val="20"/>
        </w:rPr>
        <w:t>1.0</w:t>
        <w:tab/>
        <w:t>OBJECTIVE</w:t>
      </w:r>
    </w:p>
    <w:p>
      <w:pPr>
        <w:spacing w:before="0" w:after="60"/>
        <w:ind w:left="720"/>
        <w:tabs>
          <w:tab w:val="left" w:pos="1080"/>
        </w:tabs>
      </w:pPr>
      <w:r>
        <w:rPr>
          <w:rFonts w:ascii="Arial" w:hAnsi="Arial"/>
          <w:b/>
          <w:i w:val="0"/>
          <w:color w:val="000000"/>
          <w:sz w:val="20"/>
        </w:rPr>
        <w:t>2.0</w:t>
        <w:tab/>
        <w:t>SCOPE</w:t>
      </w:r>
    </w:p>
    <w:p>
      <w:pPr>
        <w:spacing w:before="0" w:after="60"/>
        <w:ind w:left="720"/>
        <w:tabs>
          <w:tab w:val="left" w:pos="1080"/>
        </w:tabs>
      </w:pPr>
      <w:r>
        <w:rPr>
          <w:rFonts w:ascii="Arial" w:hAnsi="Arial"/>
          <w:b/>
          <w:i w:val="0"/>
          <w:color w:val="000000"/>
          <w:sz w:val="20"/>
        </w:rPr>
        <w:t>3.0</w:t>
        <w:tab/>
        <w:t>DEFINITIONS &amp; ABBREVIATIONS</w:t>
      </w:r>
    </w:p>
    <w:p>
      <w:pPr>
        <w:spacing w:before="0" w:after="60"/>
        <w:ind w:left="720"/>
        <w:tabs>
          <w:tab w:val="left" w:pos="1080"/>
        </w:tabs>
      </w:pPr>
      <w:r>
        <w:rPr>
          <w:rFonts w:ascii="Arial" w:hAnsi="Arial"/>
          <w:b/>
          <w:i w:val="0"/>
          <w:color w:val="000000"/>
          <w:sz w:val="20"/>
        </w:rPr>
        <w:t>4.0</w:t>
        <w:tab/>
        <w:t>RESPONSIBILITIES</w:t>
      </w:r>
    </w:p>
    <w:p>
      <w:pPr>
        <w:spacing w:before="0" w:after="60"/>
        <w:ind w:left="720"/>
        <w:tabs>
          <w:tab w:val="left" w:pos="1080"/>
        </w:tabs>
      </w:pPr>
      <w:r>
        <w:rPr>
          <w:rFonts w:ascii="Arial" w:hAnsi="Arial"/>
          <w:b/>
          <w:i w:val="0"/>
          <w:color w:val="000000"/>
          <w:sz w:val="20"/>
        </w:rPr>
        <w:t>5.0</w:t>
        <w:tab/>
        <w:t>PROCEDURE STEPS</w:t>
      </w:r>
    </w:p>
    <w:p>
      <w:pPr>
        <w:spacing w:before="0" w:after="60"/>
        <w:ind w:left="720"/>
        <w:tabs>
          <w:tab w:val="left" w:pos="1080"/>
        </w:tabs>
      </w:pPr>
      <w:r>
        <w:rPr>
          <w:rFonts w:ascii="Arial" w:hAnsi="Arial"/>
          <w:b/>
          <w:i w:val="0"/>
          <w:color w:val="000000"/>
          <w:sz w:val="20"/>
        </w:rPr>
        <w:t>6.0</w:t>
        <w:tab/>
        <w:t>PERFORMANCE INDICATORS &amp; AUDIT</w:t>
      </w:r>
    </w:p>
    <w:p>
      <w:pPr>
        <w:spacing w:before="0" w:after="60"/>
        <w:ind w:left="720"/>
        <w:tabs>
          <w:tab w:val="left" w:pos="1080"/>
        </w:tabs>
      </w:pPr>
      <w:r>
        <w:rPr>
          <w:rFonts w:ascii="Arial" w:hAnsi="Arial"/>
          <w:b/>
          <w:i w:val="0"/>
          <w:color w:val="000000"/>
          <w:sz w:val="20"/>
        </w:rPr>
        <w:t>7.0</w:t>
        <w:tab/>
        <w:t>REFERENCED DOCUMENTS</w:t>
      </w:r>
    </w:p>
    <w:p>
      <w:pPr>
        <w:spacing w:before="0" w:after="60"/>
        <w:ind w:left="720"/>
        <w:tabs>
          <w:tab w:val="left" w:pos="1080"/>
        </w:tabs>
      </w:pPr>
      <w:r>
        <w:rPr>
          <w:rFonts w:ascii="Arial" w:hAnsi="Arial"/>
          <w:b/>
          <w:i w:val="0"/>
          <w:color w:val="000000"/>
          <w:sz w:val="20"/>
        </w:rPr>
        <w:t>8.0</w:t>
        <w:tab/>
        <w:t>ATTACHMENTS &amp; ASSOCIATED FORMS</w:t>
      </w:r>
    </w:p>
    <w:p>
      <w:r>
        <w:br w:type="page"/>
      </w:r>
    </w:p>
    <w:p>
      <w:pPr>
        <w:spacing w:before="240" w:after="80" w:line="276" w:lineRule="auto"/>
        <w:ind w:left="0"/>
        <w:tabs>
          <w:tab w:val="left" w:pos="720"/>
        </w:tabs>
      </w:pPr>
      <w:r>
        <w:rPr>
          <w:rFonts w:ascii="Arial" w:hAnsi="Arial"/>
          <w:b/>
          <w:i w:val="0"/>
          <w:color w:val="000000"/>
          <w:sz w:val="26"/>
        </w:rPr>
        <w:t>1.0</w:t>
        <w:tab/>
        <w:t>OBJECTIVE</w:t>
      </w:r>
    </w:p>
    <w:p>
      <w:pPr>
        <w:spacing w:before="0" w:after="80" w:line="276" w:lineRule="auto"/>
        <w:ind w:left="720"/>
        <w:jc w:val="both"/>
      </w:pPr>
      <w:r>
        <w:rPr>
          <w:rFonts w:ascii="Arial" w:hAnsi="Arial"/>
          <w:b w:val="0"/>
          <w:i w:val="0"/>
          <w:color w:val="3B3838"/>
          <w:sz w:val="21"/>
        </w:rPr>
        <w:t>The objective of this procedure is to define the mandatory requirements and rigorous operational controls for the preparation, review, authorization, distribution, revision, retention, and retirement of all documentation and records governing PT Nirwana Bhumi Energy.</w:t>
      </w:r>
    </w:p>
    <w:p>
      <w:pPr>
        <w:spacing w:before="0" w:after="80" w:line="276" w:lineRule="auto"/>
        <w:ind w:left="720"/>
        <w:jc w:val="both"/>
      </w:pPr>
      <w:r>
        <w:rPr>
          <w:rFonts w:ascii="Arial" w:hAnsi="Arial"/>
          <w:b w:val="0"/>
          <w:i w:val="0"/>
          <w:color w:val="3B3838"/>
          <w:sz w:val="21"/>
        </w:rPr>
        <w:t>Specifically, this procedure guarantees that:</w:t>
      </w:r>
    </w:p>
    <w:p>
      <w:pPr>
        <w:pStyle w:val="ListParagraph"/>
        <w:spacing w:before="0" w:after="40" w:line="276" w:lineRule="auto"/>
        <w:jc w:val="both"/>
        <w:numPr>
          <w:ilvl w:val="0"/>
          <w:numId w:val="2"/>
        </w:numPr>
        <w:ind w:left="1134"/>
      </w:pPr>
      <w:r>
        <w:rPr>
          <w:rFonts w:ascii="Arial" w:hAnsi="Arial"/>
          <w:b w:val="0"/>
          <w:i w:val="0"/>
          <w:color w:val="3B3838"/>
          <w:sz w:val="21"/>
        </w:rPr>
        <w:t>Pertinent documents and records are legible, readily identifiable, properly indexed, secure from unauthorized alteration, and retrievable across all operational sites.</w:t>
      </w:r>
    </w:p>
    <w:p>
      <w:pPr>
        <w:pStyle w:val="ListParagraph"/>
        <w:spacing w:before="0" w:after="40" w:line="276" w:lineRule="auto"/>
        <w:jc w:val="both"/>
        <w:numPr>
          <w:ilvl w:val="0"/>
          <w:numId w:val="2"/>
        </w:numPr>
        <w:ind w:left="1134"/>
      </w:pPr>
      <w:r>
        <w:rPr>
          <w:rFonts w:ascii="Arial" w:hAnsi="Arial"/>
          <w:b w:val="0"/>
          <w:i w:val="0"/>
          <w:color w:val="3B3838"/>
          <w:sz w:val="21"/>
        </w:rPr>
        <w:t>Only valid, currently authorized revisions are accessible and utilized at all points of operation, precluding the unintended use of superseded or obsolete versions.</w:t>
      </w:r>
    </w:p>
    <w:p>
      <w:pPr>
        <w:pStyle w:val="ListParagraph"/>
        <w:spacing w:before="0" w:after="40" w:line="276" w:lineRule="auto"/>
        <w:jc w:val="both"/>
        <w:numPr>
          <w:ilvl w:val="0"/>
          <w:numId w:val="2"/>
        </w:numPr>
        <w:ind w:left="1134"/>
      </w:pPr>
      <w:r>
        <w:rPr>
          <w:rFonts w:ascii="Arial" w:hAnsi="Arial"/>
          <w:b w:val="0"/>
          <w:i w:val="0"/>
          <w:color w:val="3B3838"/>
          <w:sz w:val="21"/>
        </w:rPr>
        <w:t>All documentation fully satisfies the stringent compliance mandates of ISO 9001:2015, ISO 14001:2015, ISO 45001:2018, and oil and gas / energy sector CSMS standards.</w:t>
      </w:r>
    </w:p>
    <w:p>
      <w:pPr>
        <w:spacing w:before="240" w:after="80" w:line="276" w:lineRule="auto"/>
        <w:ind w:left="0"/>
        <w:tabs>
          <w:tab w:val="left" w:pos="720"/>
        </w:tabs>
      </w:pPr>
      <w:r>
        <w:rPr>
          <w:rFonts w:ascii="Arial" w:hAnsi="Arial"/>
          <w:b/>
          <w:i w:val="0"/>
          <w:color w:val="000000"/>
          <w:sz w:val="26"/>
        </w:rPr>
        <w:t>2.0</w:t>
        <w:tab/>
        <w:t>SCOPE</w:t>
      </w:r>
    </w:p>
    <w:p>
      <w:pPr>
        <w:spacing w:before="0" w:after="80" w:line="276" w:lineRule="auto"/>
        <w:ind w:left="720"/>
        <w:jc w:val="both"/>
      </w:pPr>
      <w:r>
        <w:rPr>
          <w:rFonts w:ascii="Arial" w:hAnsi="Arial"/>
          <w:b w:val="0"/>
          <w:i w:val="0"/>
          <w:color w:val="3B3838"/>
          <w:sz w:val="21"/>
        </w:rPr>
        <w:t>This procedure applies to all internal governance documents and external reference documents used across PT Nirwana Bhumi Energy.</w:t>
      </w:r>
    </w:p>
    <w:p>
      <w:pPr>
        <w:spacing w:before="0" w:after="80" w:line="276" w:lineRule="auto"/>
        <w:ind w:left="720"/>
        <w:jc w:val="both"/>
      </w:pPr>
      <w:r>
        <w:rPr>
          <w:rFonts w:ascii="Arial" w:hAnsi="Arial"/>
          <w:b w:val="0"/>
          <w:i w:val="0"/>
          <w:color w:val="3B3838"/>
          <w:sz w:val="21"/>
        </w:rPr>
        <w:t>The scope comprises:</w:t>
      </w:r>
    </w:p>
    <w:p>
      <w:pPr>
        <w:pStyle w:val="ListParagraph"/>
        <w:spacing w:before="0" w:after="40" w:line="276" w:lineRule="auto"/>
        <w:jc w:val="both"/>
        <w:numPr>
          <w:ilvl w:val="0"/>
          <w:numId w:val="2"/>
        </w:numPr>
        <w:ind w:left="1134"/>
      </w:pPr>
      <w:r>
        <w:rPr>
          <w:rFonts w:ascii="Arial" w:hAnsi="Arial"/>
          <w:b w:val="0"/>
          <w:i w:val="0"/>
          <w:color w:val="3B3838"/>
          <w:sz w:val="21"/>
        </w:rPr>
        <w:t>Level 1: Corporate Policies (POL) and Integrated Management System Manuals (MAN).</w:t>
      </w:r>
    </w:p>
    <w:p>
      <w:pPr>
        <w:pStyle w:val="ListParagraph"/>
        <w:spacing w:before="0" w:after="40" w:line="276" w:lineRule="auto"/>
        <w:jc w:val="both"/>
        <w:numPr>
          <w:ilvl w:val="0"/>
          <w:numId w:val="2"/>
        </w:numPr>
        <w:ind w:left="1134"/>
      </w:pPr>
      <w:r>
        <w:rPr>
          <w:rFonts w:ascii="Arial" w:hAnsi="Arial"/>
          <w:b w:val="0"/>
          <w:i w:val="0"/>
          <w:color w:val="3B3838"/>
          <w:sz w:val="21"/>
        </w:rPr>
        <w:t>Level 2: Standard Operating Procedures (SOP) governing corporate and operational processes.</w:t>
      </w:r>
    </w:p>
    <w:p>
      <w:pPr>
        <w:pStyle w:val="ListParagraph"/>
        <w:spacing w:before="0" w:after="40" w:line="276" w:lineRule="auto"/>
        <w:jc w:val="both"/>
        <w:numPr>
          <w:ilvl w:val="0"/>
          <w:numId w:val="2"/>
        </w:numPr>
        <w:ind w:left="1134"/>
      </w:pPr>
      <w:r>
        <w:rPr>
          <w:rFonts w:ascii="Arial" w:hAnsi="Arial"/>
          <w:b w:val="0"/>
          <w:i w:val="0"/>
          <w:color w:val="3B3838"/>
          <w:sz w:val="21"/>
        </w:rPr>
        <w:t>Level 3: Work Instructions (WIS), Technical Guidelines, Standard Method Statements, and Specifications.</w:t>
      </w:r>
    </w:p>
    <w:p>
      <w:pPr>
        <w:pStyle w:val="ListParagraph"/>
        <w:spacing w:before="0" w:after="40" w:line="276" w:lineRule="auto"/>
        <w:jc w:val="both"/>
        <w:numPr>
          <w:ilvl w:val="0"/>
          <w:numId w:val="2"/>
        </w:numPr>
        <w:ind w:left="1134"/>
      </w:pPr>
      <w:r>
        <w:rPr>
          <w:rFonts w:ascii="Arial" w:hAnsi="Arial"/>
          <w:b w:val="0"/>
          <w:i w:val="0"/>
          <w:color w:val="3B3838"/>
          <w:sz w:val="21"/>
        </w:rPr>
        <w:t>Level 4: Quality, HSE, and Operational Records, Checklists, Certificates, and Standalone Forms (FOR).</w:t>
      </w:r>
    </w:p>
    <w:p>
      <w:pPr>
        <w:pStyle w:val="ListParagraph"/>
        <w:spacing w:before="0" w:after="40" w:line="276" w:lineRule="auto"/>
        <w:jc w:val="both"/>
        <w:numPr>
          <w:ilvl w:val="0"/>
          <w:numId w:val="2"/>
        </w:numPr>
        <w:ind w:left="1134"/>
      </w:pPr>
      <w:r>
        <w:rPr>
          <w:rFonts w:ascii="Arial" w:hAnsi="Arial"/>
          <w:b w:val="0"/>
          <w:i w:val="0"/>
          <w:color w:val="3B3838"/>
          <w:sz w:val="21"/>
        </w:rPr>
        <w:t>External documents including statutory regulations, client engineering standards, equipment manuals, and international codes.</w:t>
      </w:r>
    </w:p>
    <w:p>
      <w:pPr>
        <w:spacing w:before="240" w:after="80" w:line="276" w:lineRule="auto"/>
        <w:ind w:left="0"/>
        <w:tabs>
          <w:tab w:val="left" w:pos="720"/>
        </w:tabs>
      </w:pPr>
      <w:r>
        <w:rPr>
          <w:rFonts w:ascii="Arial" w:hAnsi="Arial"/>
          <w:b/>
          <w:i w:val="0"/>
          <w:color w:val="000000"/>
          <w:sz w:val="26"/>
        </w:rPr>
        <w:t>3.0</w:t>
        <w:tab/>
        <w:t>DEFINITIONS &amp; ABBREVIATIONS</w:t>
      </w:r>
    </w:p>
    <w:p>
      <w:pPr>
        <w:spacing w:before="0" w:after="80" w:line="276" w:lineRule="auto"/>
        <w:ind w:left="720"/>
        <w:jc w:val="both"/>
      </w:pPr>
      <w:r>
        <w:rPr>
          <w:rFonts w:ascii="Arial" w:hAnsi="Arial"/>
          <w:b w:val="0"/>
          <w:i w:val="0"/>
          <w:color w:val="3B3838"/>
          <w:sz w:val="21"/>
        </w:rPr>
        <w:t>Controlled Copy: An authorized duplicate of a master document issued to a designated custodian, tracked on the Document Distribution Matrix, and kept updated when revisions occur.</w:t>
      </w:r>
    </w:p>
    <w:p>
      <w:pPr>
        <w:spacing w:before="0" w:after="80" w:line="276" w:lineRule="auto"/>
        <w:ind w:left="720"/>
        <w:jc w:val="both"/>
      </w:pPr>
      <w:r>
        <w:rPr>
          <w:rFonts w:ascii="Arial" w:hAnsi="Arial"/>
          <w:b w:val="0"/>
          <w:i w:val="0"/>
          <w:color w:val="3B3838"/>
          <w:sz w:val="21"/>
        </w:rPr>
        <w:t>Uncontrolled Copy: A copy distributed for information, tender submission, or client review only, which is not tracked and is valid only on the date printed.</w:t>
      </w:r>
    </w:p>
    <w:p>
      <w:pPr>
        <w:spacing w:before="0" w:after="80" w:line="276" w:lineRule="auto"/>
        <w:ind w:left="720"/>
        <w:jc w:val="both"/>
      </w:pPr>
      <w:r>
        <w:rPr>
          <w:rFonts w:ascii="Arial" w:hAnsi="Arial"/>
          <w:b w:val="0"/>
          <w:i w:val="0"/>
          <w:color w:val="3B3838"/>
          <w:sz w:val="21"/>
        </w:rPr>
        <w:t>Master Document: The authoritative, signed original document held in custody by the Management Representative / Document Controller.</w:t>
      </w:r>
    </w:p>
    <w:p>
      <w:pPr>
        <w:spacing w:before="0" w:after="80" w:line="276" w:lineRule="auto"/>
        <w:ind w:left="720"/>
        <w:jc w:val="both"/>
      </w:pPr>
      <w:r>
        <w:rPr>
          <w:rFonts w:ascii="Arial" w:hAnsi="Arial"/>
          <w:b w:val="0"/>
          <w:i w:val="0"/>
          <w:color w:val="3B3838"/>
          <w:sz w:val="21"/>
        </w:rPr>
        <w:t>Document Custodian: An appointed department coordinator or lead personnel responsible for ensuring proper implementation and physical safeguarding of controlled copies.</w:t>
      </w:r>
    </w:p>
    <w:p>
      <w:pPr>
        <w:spacing w:before="0" w:after="80" w:line="276" w:lineRule="auto"/>
        <w:ind w:left="720"/>
        <w:jc w:val="both"/>
      </w:pPr>
      <w:r>
        <w:rPr>
          <w:rFonts w:ascii="Arial" w:hAnsi="Arial"/>
          <w:b w:val="0"/>
          <w:i w:val="0"/>
          <w:color w:val="3B3838"/>
          <w:sz w:val="21"/>
        </w:rPr>
        <w:t>Document Change Request (DCR): A formal written application initiating an amendment, revision, addition, or obsolescence of a controlled document.</w:t>
      </w:r>
    </w:p>
    <w:p>
      <w:pPr>
        <w:spacing w:before="0" w:after="80" w:line="276" w:lineRule="auto"/>
        <w:ind w:left="720"/>
        <w:jc w:val="both"/>
      </w:pPr>
      <w:r>
        <w:rPr>
          <w:rFonts w:ascii="Arial" w:hAnsi="Arial"/>
          <w:b w:val="0"/>
          <w:i w:val="0"/>
          <w:color w:val="3B3838"/>
          <w:sz w:val="21"/>
        </w:rPr>
        <w:t>Superseded / Obsolete Document: A document that has been replaced by a newer authorized revision or withdrawn from active service.</w:t>
      </w:r>
    </w:p>
    <w:p>
      <w:pPr>
        <w:spacing w:before="240" w:after="80" w:line="276" w:lineRule="auto"/>
        <w:ind w:left="0"/>
        <w:tabs>
          <w:tab w:val="left" w:pos="720"/>
        </w:tabs>
      </w:pPr>
      <w:r>
        <w:rPr>
          <w:rFonts w:ascii="Arial" w:hAnsi="Arial"/>
          <w:b/>
          <w:i w:val="0"/>
          <w:color w:val="000000"/>
          <w:sz w:val="26"/>
        </w:rPr>
        <w:t>4.0</w:t>
        <w:tab/>
        <w:t>RESPONSIBILITIES</w:t>
      </w:r>
    </w:p>
    <w:p>
      <w:pPr>
        <w:spacing w:before="0" w:after="80" w:line="276" w:lineRule="auto"/>
        <w:ind w:left="720"/>
        <w:jc w:val="both"/>
      </w:pPr>
      <w:r>
        <w:rPr>
          <w:rFonts w:ascii="Arial" w:hAnsi="Arial"/>
          <w:b w:val="0"/>
          <w:i w:val="0"/>
          <w:color w:val="3B3838"/>
          <w:sz w:val="21"/>
        </w:rPr>
        <w:t>President Director / CEO: Holds executive authority for approving corporate policies, company manuals, and executive governance procedures.</w:t>
      </w:r>
    </w:p>
    <w:p>
      <w:pPr>
        <w:spacing w:before="0" w:after="80" w:line="276" w:lineRule="auto"/>
        <w:ind w:left="720"/>
        <w:jc w:val="both"/>
      </w:pPr>
      <w:r>
        <w:rPr>
          <w:rFonts w:ascii="Arial" w:hAnsi="Arial"/>
          <w:b w:val="0"/>
          <w:i w:val="0"/>
          <w:color w:val="3B3838"/>
          <w:sz w:val="21"/>
        </w:rPr>
        <w:t>Director of Operations &amp; Technology / CTO: Reviews and approves engineering procedures, technical work instructions, field operational standards, and vendor technical qualifications.</w:t>
      </w:r>
    </w:p>
    <w:p>
      <w:pPr>
        <w:spacing w:before="0" w:after="80" w:line="276" w:lineRule="auto"/>
        <w:ind w:left="720"/>
        <w:jc w:val="both"/>
      </w:pPr>
      <w:r>
        <w:rPr>
          <w:rFonts w:ascii="Arial" w:hAnsi="Arial"/>
          <w:b w:val="0"/>
          <w:i w:val="0"/>
          <w:color w:val="3B3838"/>
          <w:sz w:val="21"/>
        </w:rPr>
        <w:t>Director of Finance &amp; Human Resources / CFO: Reviews and approves finance, procurement, tax, human resources, competence, and administrative procedures.</w:t>
      </w:r>
    </w:p>
    <w:p>
      <w:pPr>
        <w:spacing w:before="0" w:after="80" w:line="276" w:lineRule="auto"/>
        <w:ind w:left="720"/>
        <w:jc w:val="both"/>
      </w:pPr>
      <w:r>
        <w:rPr>
          <w:rFonts w:ascii="Arial" w:hAnsi="Arial"/>
          <w:b w:val="0"/>
          <w:i w:val="0"/>
          <w:color w:val="3B3838"/>
          <w:sz w:val="21"/>
        </w:rPr>
        <w:t>Management Representative (MR) / Document Controller: Acts as the principal custodian of the IMS document control system, maintains the Master Document Register, controls document numbering, oversees controlled distribution, and archives obsolete documents.</w:t>
      </w:r>
    </w:p>
    <w:p>
      <w:pPr>
        <w:spacing w:before="0" w:after="80" w:line="276" w:lineRule="auto"/>
        <w:ind w:left="720"/>
        <w:jc w:val="both"/>
      </w:pPr>
      <w:r>
        <w:rPr>
          <w:rFonts w:ascii="Arial" w:hAnsi="Arial"/>
          <w:b w:val="0"/>
          <w:i w:val="0"/>
          <w:color w:val="3B3838"/>
          <w:sz w:val="21"/>
        </w:rPr>
        <w:t>Department Managers / Function Heads: Identify documentation requirements within their spheres of operation, draft and update procedures, and ensure all staff utilize current revisions.</w:t>
      </w:r>
    </w:p>
    <w:p>
      <w:pPr>
        <w:spacing w:before="240" w:after="80" w:line="276" w:lineRule="auto"/>
        <w:ind w:left="0"/>
        <w:tabs>
          <w:tab w:val="left" w:pos="720"/>
        </w:tabs>
      </w:pPr>
      <w:r>
        <w:rPr>
          <w:rFonts w:ascii="Arial" w:hAnsi="Arial"/>
          <w:b/>
          <w:i w:val="0"/>
          <w:color w:val="000000"/>
          <w:sz w:val="26"/>
        </w:rPr>
        <w:t>5.0</w:t>
        <w:tab/>
        <w:t>PROCEDURE STEPS</w:t>
      </w:r>
    </w:p>
    <w:p>
      <w:pPr>
        <w:spacing w:before="160" w:after="60" w:line="276" w:lineRule="auto"/>
        <w:ind w:left="0"/>
        <w:tabs>
          <w:tab w:val="left" w:pos="720"/>
        </w:tabs>
      </w:pPr>
      <w:r>
        <w:rPr>
          <w:rFonts w:ascii="Arial" w:hAnsi="Arial"/>
          <w:b/>
          <w:i w:val="0"/>
          <w:color w:val="000000"/>
          <w:sz w:val="22"/>
        </w:rPr>
        <w:t>5.1</w:t>
        <w:tab/>
        <w:t>Document Preparation and Formatting</w:t>
      </w:r>
    </w:p>
    <w:p>
      <w:pPr>
        <w:spacing w:before="0" w:after="80" w:line="276" w:lineRule="auto"/>
        <w:ind w:left="720"/>
        <w:jc w:val="both"/>
      </w:pPr>
      <w:r>
        <w:rPr>
          <w:rFonts w:ascii="Arial" w:hAnsi="Arial"/>
          <w:b w:val="0"/>
          <w:i w:val="0"/>
          <w:color w:val="3B3838"/>
          <w:sz w:val="21"/>
        </w:rPr>
        <w:t>All new or revised procedures and standalone forms shall be drafted in strict conformance with 0002-SOP-DOC-IMS-X-2026 (Procedure Writing and Formatting Specification) and 0003-SOP-DOC-IMS-X-2026 (Document Numbering Standard).</w:t>
      </w:r>
    </w:p>
    <w:p>
      <w:pPr>
        <w:spacing w:before="0" w:after="80" w:line="276" w:lineRule="auto"/>
        <w:ind w:left="720"/>
        <w:jc w:val="both"/>
      </w:pPr>
      <w:r>
        <w:rPr>
          <w:rFonts w:ascii="Arial" w:hAnsi="Arial"/>
          <w:b w:val="0"/>
          <w:i w:val="0"/>
          <w:color w:val="3B3838"/>
          <w:sz w:val="21"/>
        </w:rPr>
        <w:t>Drafts shall be compiled utilizing the official PT Nirwana Bhumi Energy typography, geometry, zero-overflow cover architecture, and standardized header/footer structures.</w:t>
      </w:r>
    </w:p>
    <w:p>
      <w:pPr>
        <w:spacing w:before="160" w:after="60" w:line="276" w:lineRule="auto"/>
        <w:ind w:left="0"/>
        <w:tabs>
          <w:tab w:val="left" w:pos="720"/>
        </w:tabs>
      </w:pPr>
      <w:r>
        <w:rPr>
          <w:rFonts w:ascii="Arial" w:hAnsi="Arial"/>
          <w:b/>
          <w:i w:val="0"/>
          <w:color w:val="000000"/>
          <w:sz w:val="22"/>
        </w:rPr>
        <w:t>5.2</w:t>
        <w:tab/>
        <w:t>Authority for Review and Approval</w:t>
      </w:r>
    </w:p>
    <w:p>
      <w:pPr>
        <w:spacing w:before="0" w:after="80" w:line="276" w:lineRule="auto"/>
        <w:ind w:left="720"/>
        <w:jc w:val="both"/>
      </w:pPr>
      <w:r>
        <w:rPr>
          <w:rFonts w:ascii="Arial" w:hAnsi="Arial"/>
          <w:b w:val="0"/>
          <w:i w:val="0"/>
          <w:color w:val="3B3838"/>
          <w:sz w:val="21"/>
        </w:rPr>
        <w:t>The authority matrix for the review and approval of documentation is defined in the following table:</w:t>
      </w:r>
    </w:p>
    <w:tbl>
      <w:tblPr>
        <w:tblW w:type="auto" w:w="0"/>
        <w:jc w:val="center"/>
        <w:tblLook w:firstColumn="1" w:firstRow="1" w:lastColumn="0" w:lastRow="0" w:noHBand="0" w:noVBand="1" w:val="04A0"/>
      </w:tblPr>
      <w:tblGrid>
        <w:gridCol w:w="1906"/>
        <w:gridCol w:w="1906"/>
        <w:gridCol w:w="1906"/>
        <w:gridCol w:w="1906"/>
        <w:gridCol w:w="1906"/>
      </w:tblGrid>
      <w:tr>
        <w:trPr>
          <w:cantSplit/>
        </w:trPr>
        <w:tc>
          <w:tcPr>
            <w:tcW w:type="dxa" w:w="1728"/>
            <w:shd w:fill="D9E1F2"/>
            <w:vAlign w:val="center"/>
            <w:tcMar>
              <w:top w:w="80" w:type="dxa"/>
              <w:bottom w:w="8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i w:val="0"/>
                <w:color w:val="000000"/>
                <w:sz w:val="17"/>
              </w:rPr>
              <w:t>Doc Category</w:t>
            </w:r>
          </w:p>
        </w:tc>
        <w:tc>
          <w:tcPr>
            <w:tcW w:type="dxa" w:w="2592"/>
            <w:shd w:fill="D9E1F2"/>
            <w:vAlign w:val="center"/>
            <w:tcMar>
              <w:top w:w="80" w:type="dxa"/>
              <w:bottom w:w="8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i w:val="0"/>
                <w:color w:val="000000"/>
                <w:sz w:val="17"/>
              </w:rPr>
              <w:t>Description / Scope</w:t>
            </w:r>
          </w:p>
        </w:tc>
        <w:tc>
          <w:tcPr>
            <w:tcW w:type="dxa" w:w="1584"/>
            <w:shd w:fill="D9E1F2"/>
            <w:vAlign w:val="center"/>
            <w:tcMar>
              <w:top w:w="80" w:type="dxa"/>
              <w:bottom w:w="8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i w:val="0"/>
                <w:color w:val="000000"/>
                <w:sz w:val="17"/>
              </w:rPr>
              <w:t>Doc Code</w:t>
            </w:r>
          </w:p>
        </w:tc>
        <w:tc>
          <w:tcPr>
            <w:tcW w:type="dxa" w:w="1728"/>
            <w:shd w:fill="D9E1F2"/>
            <w:vAlign w:val="center"/>
            <w:tcMar>
              <w:top w:w="80" w:type="dxa"/>
              <w:bottom w:w="8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i w:val="0"/>
                <w:color w:val="000000"/>
                <w:sz w:val="17"/>
              </w:rPr>
              <w:t>Reviewed By</w:t>
            </w:r>
          </w:p>
        </w:tc>
        <w:tc>
          <w:tcPr>
            <w:tcW w:type="dxa" w:w="1728"/>
            <w:shd w:fill="D9E1F2"/>
            <w:vAlign w:val="center"/>
            <w:tcMar>
              <w:top w:w="80" w:type="dxa"/>
              <w:bottom w:w="8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i w:val="0"/>
                <w:color w:val="000000"/>
                <w:sz w:val="17"/>
              </w:rPr>
              <w:t>Approved By</w:t>
            </w:r>
          </w:p>
        </w:tc>
      </w:tr>
      <w:tr>
        <w:trPr>
          <w:cantSplit/>
        </w:trPr>
        <w:tc>
          <w:tcPr>
            <w:tcW w:type="dxa" w:w="1728"/>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6"/>
              </w:rPr>
              <w:t>Company Policy</w:t>
            </w:r>
          </w:p>
        </w:tc>
        <w:tc>
          <w:tcPr>
            <w:tcW w:type="dxa" w:w="2592"/>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Overall strategic direction &amp; corporate commitments</w:t>
            </w:r>
          </w:p>
        </w:tc>
        <w:tc>
          <w:tcPr>
            <w:tcW w:type="dxa" w:w="1584"/>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6"/>
              </w:rPr>
              <w:t>POL-GNR-CEO</w:t>
            </w:r>
          </w:p>
        </w:tc>
        <w:tc>
          <w:tcPr>
            <w:tcW w:type="dxa" w:w="1728"/>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Management Rep (MR)</w:t>
            </w:r>
          </w:p>
        </w:tc>
        <w:tc>
          <w:tcPr>
            <w:tcW w:type="dxa" w:w="1728"/>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President Director (CEO)</w:t>
            </w:r>
          </w:p>
        </w:tc>
      </w:tr>
      <w:tr>
        <w:trPr>
          <w:cantSplit/>
        </w:trPr>
        <w:tc>
          <w:tcPr>
            <w:tcW w:type="dxa" w:w="1728"/>
            <w:shd w:fill="FFFFFF"/>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6"/>
              </w:rPr>
              <w:t>Company Manual</w:t>
            </w:r>
          </w:p>
        </w:tc>
        <w:tc>
          <w:tcPr>
            <w:tcW w:type="dxa" w:w="2592"/>
            <w:shd w:fill="FFFFFF"/>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Integrated Management System Manual &amp; CSMS Plan</w:t>
            </w:r>
          </w:p>
        </w:tc>
        <w:tc>
          <w:tcPr>
            <w:tcW w:type="dxa" w:w="1584"/>
            <w:shd w:fill="FFFFFF"/>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6"/>
              </w:rPr>
              <w:t>MAN-IMS-CEO</w:t>
            </w:r>
          </w:p>
        </w:tc>
        <w:tc>
          <w:tcPr>
            <w:tcW w:type="dxa" w:w="1728"/>
            <w:shd w:fill="FFFFFF"/>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Management Rep (MR)</w:t>
            </w:r>
          </w:p>
        </w:tc>
        <w:tc>
          <w:tcPr>
            <w:tcW w:type="dxa" w:w="1728"/>
            <w:shd w:fill="FFFFFF"/>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President Director (CEO)</w:t>
            </w:r>
          </w:p>
        </w:tc>
      </w:tr>
      <w:tr>
        <w:trPr>
          <w:cantSplit/>
        </w:trPr>
        <w:tc>
          <w:tcPr>
            <w:tcW w:type="dxa" w:w="1728"/>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6"/>
              </w:rPr>
              <w:t>Operating SOP</w:t>
            </w:r>
          </w:p>
        </w:tc>
        <w:tc>
          <w:tcPr>
            <w:tcW w:type="dxa" w:w="2592"/>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Operational, Technical &amp; Engineering Procedures</w:t>
            </w:r>
          </w:p>
        </w:tc>
        <w:tc>
          <w:tcPr>
            <w:tcW w:type="dxa" w:w="1584"/>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6"/>
              </w:rPr>
              <w:t>SOP-OPS-CTO</w:t>
            </w:r>
          </w:p>
        </w:tc>
        <w:tc>
          <w:tcPr>
            <w:tcW w:type="dxa" w:w="1728"/>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Operations Manager</w:t>
            </w:r>
          </w:p>
        </w:tc>
        <w:tc>
          <w:tcPr>
            <w:tcW w:type="dxa" w:w="1728"/>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Director of Ops &amp; Tech (CTO)</w:t>
            </w:r>
          </w:p>
        </w:tc>
      </w:tr>
      <w:tr>
        <w:trPr>
          <w:cantSplit/>
        </w:trPr>
        <w:tc>
          <w:tcPr>
            <w:tcW w:type="dxa" w:w="1728"/>
            <w:shd w:fill="FFFFFF"/>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6"/>
              </w:rPr>
              <w:t>Finance/HR SOP</w:t>
            </w:r>
          </w:p>
        </w:tc>
        <w:tc>
          <w:tcPr>
            <w:tcW w:type="dxa" w:w="2592"/>
            <w:shd w:fill="FFFFFF"/>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Financial, Supply Chain, HR &amp; Competence Procedures</w:t>
            </w:r>
          </w:p>
        </w:tc>
        <w:tc>
          <w:tcPr>
            <w:tcW w:type="dxa" w:w="1584"/>
            <w:shd w:fill="FFFFFF"/>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6"/>
              </w:rPr>
              <w:t>SOP-FNC-CFO</w:t>
            </w:r>
          </w:p>
        </w:tc>
        <w:tc>
          <w:tcPr>
            <w:tcW w:type="dxa" w:w="1728"/>
            <w:shd w:fill="FFFFFF"/>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Finance/HR Manager</w:t>
            </w:r>
          </w:p>
        </w:tc>
        <w:tc>
          <w:tcPr>
            <w:tcW w:type="dxa" w:w="1728"/>
            <w:shd w:fill="FFFFFF"/>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Director of Finance &amp; HR (CFO)</w:t>
            </w:r>
          </w:p>
        </w:tc>
      </w:tr>
      <w:tr>
        <w:trPr>
          <w:cantSplit/>
        </w:trPr>
        <w:tc>
          <w:tcPr>
            <w:tcW w:type="dxa" w:w="1728"/>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6"/>
              </w:rPr>
              <w:t>Work Instructions</w:t>
            </w:r>
          </w:p>
        </w:tc>
        <w:tc>
          <w:tcPr>
            <w:tcW w:type="dxa" w:w="2592"/>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Specific field work instructions &amp; inspection guidelines</w:t>
            </w:r>
          </w:p>
        </w:tc>
        <w:tc>
          <w:tcPr>
            <w:tcW w:type="dxa" w:w="1584"/>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center"/>
            </w:pPr>
            <w:r>
              <w:rPr>
                <w:rFonts w:ascii="Arial" w:hAnsi="Arial"/>
                <w:b w:val="0"/>
                <w:i w:val="0"/>
                <w:color w:val="000000"/>
                <w:sz w:val="16"/>
              </w:rPr>
              <w:t>WIS-XXX-CTO</w:t>
            </w:r>
          </w:p>
        </w:tc>
        <w:tc>
          <w:tcPr>
            <w:tcW w:type="dxa" w:w="1728"/>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Superintendent</w:t>
            </w:r>
          </w:p>
        </w:tc>
        <w:tc>
          <w:tcPr>
            <w:tcW w:type="dxa" w:w="1728"/>
            <w:shd w:fill="F9FBFD"/>
            <w:vAlign w:val="center"/>
            <w:tcMar>
              <w:top w:w="60" w:type="dxa"/>
              <w:bottom w:w="60" w:type="dxa"/>
              <w:left w:w="80" w:type="dxa"/>
              <w:right w:w="80" w:type="dxa"/>
            </w:tcMar>
            <w:tcBorders>
              <w:top w:val="single" w:sz="4" w:space="0" w:color="BFBFBF"/>
              <w:bottom w:val="single" w:sz="4" w:space="0" w:color="BFBFBF"/>
              <w:left w:val="single" w:sz="4" w:space="0" w:color="BFBFBF"/>
              <w:right w:val="single" w:sz="4" w:space="0" w:color="BFBFBF"/>
            </w:tcBorders>
          </w:tcPr>
          <w:p>
            <w:pPr>
              <w:jc w:val="left"/>
            </w:pPr>
            <w:r>
              <w:rPr>
                <w:rFonts w:ascii="Arial" w:hAnsi="Arial"/>
                <w:b w:val="0"/>
                <w:i w:val="0"/>
                <w:color w:val="000000"/>
                <w:sz w:val="16"/>
              </w:rPr>
              <w:t>Department Head / Director</w:t>
            </w:r>
          </w:p>
        </w:tc>
      </w:tr>
    </w:tbl>
    <w:p>
      <w:pPr>
        <w:spacing w:before="160" w:after="60" w:line="276" w:lineRule="auto"/>
        <w:ind w:left="0"/>
        <w:tabs>
          <w:tab w:val="left" w:pos="720"/>
        </w:tabs>
      </w:pPr>
      <w:r>
        <w:rPr>
          <w:rFonts w:ascii="Arial" w:hAnsi="Arial"/>
          <w:b/>
          <w:i w:val="0"/>
          <w:color w:val="000000"/>
          <w:sz w:val="22"/>
        </w:rPr>
        <w:t>5.3</w:t>
        <w:tab/>
        <w:t>Registration in Master Document Register</w:t>
      </w:r>
    </w:p>
    <w:p>
      <w:pPr>
        <w:spacing w:before="0" w:after="80" w:line="276" w:lineRule="auto"/>
        <w:ind w:left="720"/>
        <w:jc w:val="both"/>
      </w:pPr>
      <w:r>
        <w:rPr>
          <w:rFonts w:ascii="Arial" w:hAnsi="Arial"/>
          <w:b w:val="0"/>
          <w:i w:val="0"/>
          <w:color w:val="3B3838"/>
          <w:sz w:val="21"/>
        </w:rPr>
        <w:t>Upon formal executive approval, the Document Controller shall register the document into the Master Document Register (Form 0001-FOR-DOC-IMS-X-2026), allocating the next sequential control number and recording its title, revision number, effective date, and custodian.</w:t>
      </w:r>
    </w:p>
    <w:p>
      <w:pPr>
        <w:spacing w:before="160" w:after="60" w:line="276" w:lineRule="auto"/>
        <w:ind w:left="0"/>
        <w:tabs>
          <w:tab w:val="left" w:pos="720"/>
        </w:tabs>
      </w:pPr>
      <w:r>
        <w:rPr>
          <w:rFonts w:ascii="Arial" w:hAnsi="Arial"/>
          <w:b/>
          <w:i w:val="0"/>
          <w:color w:val="000000"/>
          <w:sz w:val="22"/>
        </w:rPr>
        <w:t>5.4</w:t>
        <w:tab/>
        <w:t>Document Distribution and Transmittal</w:t>
      </w:r>
    </w:p>
    <w:p>
      <w:pPr>
        <w:spacing w:before="0" w:after="80" w:line="276" w:lineRule="auto"/>
        <w:ind w:left="720"/>
        <w:jc w:val="both"/>
      </w:pPr>
      <w:r>
        <w:rPr>
          <w:rFonts w:ascii="Arial" w:hAnsi="Arial"/>
          <w:b w:val="0"/>
          <w:i w:val="0"/>
          <w:color w:val="3B3838"/>
          <w:sz w:val="21"/>
        </w:rPr>
        <w:t>Controlled copies shall be issued to designated custodians recorded on the Document Distribution Matrix (Form 0002-FOR-DOC-IMS-X-2026). Each physical or electronic distribution shall be accompanied by a Document Transmittal and Distribution Record (Form 0003-FOR-DOC-IMS-X-2026).</w:t>
      </w:r>
    </w:p>
    <w:p>
      <w:pPr>
        <w:spacing w:before="0" w:after="80" w:line="276" w:lineRule="auto"/>
        <w:ind w:left="720"/>
        <w:jc w:val="both"/>
      </w:pPr>
      <w:r>
        <w:rPr>
          <w:rFonts w:ascii="Arial" w:hAnsi="Arial"/>
          <w:b w:val="0"/>
          <w:i w:val="0"/>
          <w:color w:val="3B3838"/>
          <w:sz w:val="21"/>
        </w:rPr>
        <w:t>The recipient must sign and return the transmittal within three (3) business days, confirming receipt of the new document and certifying destruction or return of any superseded versions.</w:t>
      </w:r>
    </w:p>
    <w:p>
      <w:pPr>
        <w:spacing w:before="160" w:after="60" w:line="276" w:lineRule="auto"/>
        <w:ind w:left="0"/>
        <w:tabs>
          <w:tab w:val="left" w:pos="720"/>
        </w:tabs>
      </w:pPr>
      <w:r>
        <w:rPr>
          <w:rFonts w:ascii="Arial" w:hAnsi="Arial"/>
          <w:b/>
          <w:i w:val="0"/>
          <w:color w:val="000000"/>
          <w:sz w:val="22"/>
        </w:rPr>
        <w:t>5.5</w:t>
        <w:tab/>
        <w:t>Document Change Request (DCR) Workflow</w:t>
      </w:r>
    </w:p>
    <w:p>
      <w:pPr>
        <w:spacing w:before="0" w:after="80" w:line="276" w:lineRule="auto"/>
        <w:ind w:left="720"/>
        <w:jc w:val="both"/>
      </w:pPr>
      <w:r>
        <w:rPr>
          <w:rFonts w:ascii="Arial" w:hAnsi="Arial"/>
          <w:b w:val="0"/>
          <w:i w:val="0"/>
          <w:color w:val="3B3838"/>
          <w:sz w:val="21"/>
        </w:rPr>
        <w:t>Any employee may propose an amendment to an active document by submitting a Document Change Request (Form 0004-FOR-DOC-IMS-X-2026) detailing the reason for change, proposed wording, and impact analysis.</w:t>
      </w:r>
    </w:p>
    <w:p>
      <w:pPr>
        <w:spacing w:before="0" w:after="80" w:line="276" w:lineRule="auto"/>
        <w:ind w:left="720"/>
        <w:jc w:val="both"/>
      </w:pPr>
      <w:r>
        <w:rPr>
          <w:rFonts w:ascii="Arial" w:hAnsi="Arial"/>
          <w:b w:val="0"/>
          <w:i w:val="0"/>
          <w:color w:val="3B3838"/>
          <w:sz w:val="21"/>
        </w:rPr>
        <w:t>The DCR shall be technically evaluated by the relevant Department Lead and reviewed by the Management Representative before being submitted to the original approving authority for formal endorsement.</w:t>
      </w:r>
    </w:p>
    <w:p>
      <w:pPr>
        <w:spacing w:before="160" w:after="60" w:line="276" w:lineRule="auto"/>
        <w:ind w:left="0"/>
        <w:tabs>
          <w:tab w:val="left" w:pos="720"/>
        </w:tabs>
      </w:pPr>
      <w:r>
        <w:rPr>
          <w:rFonts w:ascii="Arial" w:hAnsi="Arial"/>
          <w:b/>
          <w:i w:val="0"/>
          <w:color w:val="000000"/>
          <w:sz w:val="22"/>
        </w:rPr>
        <w:t>5.6</w:t>
        <w:tab/>
        <w:t>Control of External Documents</w:t>
      </w:r>
    </w:p>
    <w:p>
      <w:pPr>
        <w:spacing w:before="0" w:after="80" w:line="276" w:lineRule="auto"/>
        <w:ind w:left="720"/>
        <w:jc w:val="both"/>
      </w:pPr>
      <w:r>
        <w:rPr>
          <w:rFonts w:ascii="Arial" w:hAnsi="Arial"/>
          <w:b w:val="0"/>
          <w:i w:val="0"/>
          <w:color w:val="3B3838"/>
          <w:sz w:val="21"/>
        </w:rPr>
        <w:t>External documents such as statutory laws, SKK Migas guidelines, PLN CSMS standards, API/ASME codes, and client engineering drawings shall be cataloged in the Master Document Register under the External Documents section. The Document Controller shall verify their validity semi-annually.</w:t>
      </w:r>
    </w:p>
    <w:p>
      <w:pPr>
        <w:spacing w:before="160" w:after="60" w:line="276" w:lineRule="auto"/>
        <w:ind w:left="0"/>
        <w:tabs>
          <w:tab w:val="left" w:pos="720"/>
        </w:tabs>
      </w:pPr>
      <w:r>
        <w:rPr>
          <w:rFonts w:ascii="Arial" w:hAnsi="Arial"/>
          <w:b/>
          <w:i w:val="0"/>
          <w:color w:val="000000"/>
          <w:sz w:val="22"/>
        </w:rPr>
        <w:t>5.7</w:t>
        <w:tab/>
        <w:t>Obsolescence, Archiving, and Disposal</w:t>
      </w:r>
    </w:p>
    <w:p>
      <w:pPr>
        <w:spacing w:before="0" w:after="80" w:line="276" w:lineRule="auto"/>
        <w:ind w:left="720"/>
        <w:jc w:val="both"/>
      </w:pPr>
      <w:r>
        <w:rPr>
          <w:rFonts w:ascii="Arial" w:hAnsi="Arial"/>
          <w:b w:val="0"/>
          <w:i w:val="0"/>
          <w:color w:val="3B3838"/>
          <w:sz w:val="21"/>
        </w:rPr>
        <w:t>When a document is revised, all superseded copies shall be promptly withdrawn from service. The master copy of the superseded document shall be marked 'SUPERSEDED' in red text and archived in the company records repository.</w:t>
      </w:r>
    </w:p>
    <w:p>
      <w:pPr>
        <w:spacing w:before="0" w:after="80" w:line="276" w:lineRule="auto"/>
        <w:ind w:left="720"/>
        <w:jc w:val="both"/>
      </w:pPr>
      <w:r>
        <w:rPr>
          <w:rFonts w:ascii="Arial" w:hAnsi="Arial"/>
          <w:b w:val="0"/>
          <w:i w:val="0"/>
          <w:color w:val="3B3838"/>
          <w:sz w:val="21"/>
        </w:rPr>
        <w:t>Obsolete quality and safety records shall be retained for a minimum period of seven (7) years, while statutory permits, contract records, and environmental baseline reports shall be retained permanently.</w:t>
      </w:r>
    </w:p>
    <w:p>
      <w:pPr>
        <w:spacing w:before="240" w:after="80" w:line="276" w:lineRule="auto"/>
        <w:ind w:left="0"/>
        <w:tabs>
          <w:tab w:val="left" w:pos="720"/>
        </w:tabs>
      </w:pPr>
      <w:r>
        <w:rPr>
          <w:rFonts w:ascii="Arial" w:hAnsi="Arial"/>
          <w:b/>
          <w:i w:val="0"/>
          <w:color w:val="000000"/>
          <w:sz w:val="26"/>
        </w:rPr>
        <w:t>6.0</w:t>
        <w:tab/>
        <w:t>PERFORMANCE INDICATORS &amp; AUDIT</w:t>
      </w:r>
    </w:p>
    <w:p>
      <w:pPr>
        <w:spacing w:before="0" w:after="80" w:line="276" w:lineRule="auto"/>
        <w:ind w:left="720"/>
        <w:jc w:val="both"/>
      </w:pPr>
      <w:r>
        <w:rPr>
          <w:rFonts w:ascii="Arial" w:hAnsi="Arial"/>
          <w:b w:val="0"/>
          <w:i w:val="0"/>
          <w:color w:val="3B3838"/>
          <w:sz w:val="21"/>
        </w:rPr>
        <w:t>The efficacy of document and records control shall be audited against the following metrics:</w:t>
      </w:r>
    </w:p>
    <w:p>
      <w:pPr>
        <w:pStyle w:val="ListParagraph"/>
        <w:spacing w:before="0" w:after="40" w:line="276" w:lineRule="auto"/>
        <w:jc w:val="both"/>
        <w:numPr>
          <w:ilvl w:val="0"/>
          <w:numId w:val="2"/>
        </w:numPr>
        <w:ind w:left="1134"/>
      </w:pPr>
      <w:r>
        <w:rPr>
          <w:rFonts w:ascii="Arial" w:hAnsi="Arial"/>
          <w:b w:val="0"/>
          <w:i w:val="0"/>
          <w:color w:val="3B3838"/>
          <w:sz w:val="21"/>
        </w:rPr>
        <w:t>100% of all active company procedures and forms registered in the Master Document Register.</w:t>
      </w:r>
    </w:p>
    <w:p>
      <w:pPr>
        <w:pStyle w:val="ListParagraph"/>
        <w:spacing w:before="0" w:after="40" w:line="276" w:lineRule="auto"/>
        <w:jc w:val="both"/>
        <w:numPr>
          <w:ilvl w:val="0"/>
          <w:numId w:val="2"/>
        </w:numPr>
        <w:ind w:left="1134"/>
      </w:pPr>
      <w:r>
        <w:rPr>
          <w:rFonts w:ascii="Arial" w:hAnsi="Arial"/>
          <w:b w:val="0"/>
          <w:i w:val="0"/>
          <w:color w:val="3B3838"/>
          <w:sz w:val="21"/>
        </w:rPr>
        <w:t>Zero obsolete or superseded documents observed at operational workstations, rig sites, or workshops.</w:t>
      </w:r>
    </w:p>
    <w:p>
      <w:pPr>
        <w:pStyle w:val="ListParagraph"/>
        <w:spacing w:before="0" w:after="40" w:line="276" w:lineRule="auto"/>
        <w:jc w:val="both"/>
        <w:numPr>
          <w:ilvl w:val="0"/>
          <w:numId w:val="2"/>
        </w:numPr>
        <w:ind w:left="1134"/>
      </w:pPr>
      <w:r>
        <w:rPr>
          <w:rFonts w:ascii="Arial" w:hAnsi="Arial"/>
          <w:b w:val="0"/>
          <w:i w:val="0"/>
          <w:color w:val="3B3838"/>
          <w:sz w:val="21"/>
        </w:rPr>
        <w:t>100% of formal Document Change Requests evaluated and resolved within thirty (30) calendar days.</w:t>
      </w:r>
    </w:p>
    <w:p>
      <w:pPr>
        <w:spacing w:before="240" w:after="80" w:line="276" w:lineRule="auto"/>
        <w:ind w:left="0"/>
        <w:tabs>
          <w:tab w:val="left" w:pos="720"/>
        </w:tabs>
      </w:pPr>
      <w:r>
        <w:rPr>
          <w:rFonts w:ascii="Arial" w:hAnsi="Arial"/>
          <w:b/>
          <w:i w:val="0"/>
          <w:color w:val="000000"/>
          <w:sz w:val="26"/>
        </w:rPr>
        <w:t>7.0</w:t>
        <w:tab/>
        <w:t>REFERENCED DOCUMENTS</w:t>
      </w:r>
    </w:p>
    <w:p>
      <w:pPr>
        <w:spacing w:before="0" w:after="80" w:line="276" w:lineRule="auto"/>
        <w:ind w:left="720"/>
        <w:jc w:val="both"/>
      </w:pPr>
      <w:r>
        <w:rPr>
          <w:rFonts w:ascii="Arial" w:hAnsi="Arial"/>
          <w:b w:val="0"/>
          <w:i w:val="0"/>
          <w:color w:val="3B3838"/>
          <w:sz w:val="21"/>
        </w:rPr>
        <w:t>ISO 9001:2015 Quality Management Systems - Clause 7.5 Documented Information</w:t>
      </w:r>
    </w:p>
    <w:p>
      <w:pPr>
        <w:spacing w:before="0" w:after="80" w:line="276" w:lineRule="auto"/>
        <w:ind w:left="720"/>
        <w:jc w:val="both"/>
      </w:pPr>
      <w:r>
        <w:rPr>
          <w:rFonts w:ascii="Arial" w:hAnsi="Arial"/>
          <w:b w:val="0"/>
          <w:i w:val="0"/>
          <w:color w:val="3B3838"/>
          <w:sz w:val="21"/>
        </w:rPr>
        <w:t>ISO 14001:2015 Environmental Management Systems - Clause 7.5 Documented Information</w:t>
      </w:r>
    </w:p>
    <w:p>
      <w:pPr>
        <w:spacing w:before="0" w:after="80" w:line="276" w:lineRule="auto"/>
        <w:ind w:left="720"/>
        <w:jc w:val="both"/>
      </w:pPr>
      <w:r>
        <w:rPr>
          <w:rFonts w:ascii="Arial" w:hAnsi="Arial"/>
          <w:b w:val="0"/>
          <w:i w:val="0"/>
          <w:color w:val="3B3838"/>
          <w:sz w:val="21"/>
        </w:rPr>
        <w:t>ISO 45001:2018 Occupational Health and Safety Management Systems - Clause 7.5 Documented Information</w:t>
      </w:r>
    </w:p>
    <w:p>
      <w:pPr>
        <w:spacing w:before="0" w:after="80" w:line="276" w:lineRule="auto"/>
        <w:ind w:left="720"/>
        <w:jc w:val="both"/>
      </w:pPr>
      <w:r>
        <w:rPr>
          <w:rFonts w:ascii="Arial" w:hAnsi="Arial"/>
          <w:b w:val="0"/>
          <w:i w:val="0"/>
          <w:color w:val="3B3838"/>
          <w:sz w:val="21"/>
        </w:rPr>
        <w:t>Government Regulation PP No. 50/2012 regarding Implementation of SMK3</w:t>
      </w:r>
    </w:p>
    <w:p>
      <w:pPr>
        <w:spacing w:before="0" w:after="80" w:line="276" w:lineRule="auto"/>
        <w:ind w:left="720"/>
        <w:jc w:val="both"/>
      </w:pPr>
      <w:r>
        <w:rPr>
          <w:rFonts w:ascii="Arial" w:hAnsi="Arial"/>
          <w:b w:val="0"/>
          <w:i w:val="0"/>
          <w:color w:val="3B3838"/>
          <w:sz w:val="21"/>
        </w:rPr>
        <w:t>0002-SOP-DOC-IMS-X-2026: Procedure Writing and Formatting Specification</w:t>
      </w:r>
    </w:p>
    <w:p>
      <w:pPr>
        <w:spacing w:before="0" w:after="80" w:line="276" w:lineRule="auto"/>
        <w:ind w:left="720"/>
        <w:jc w:val="both"/>
      </w:pPr>
      <w:r>
        <w:rPr>
          <w:rFonts w:ascii="Arial" w:hAnsi="Arial"/>
          <w:b w:val="0"/>
          <w:i w:val="0"/>
          <w:color w:val="3B3838"/>
          <w:sz w:val="21"/>
        </w:rPr>
        <w:t>0003-SOP-DOC-IMS-X-2026: Integrated Management System Document Numbering Standard</w:t>
      </w:r>
    </w:p>
    <w:p>
      <w:pPr>
        <w:spacing w:before="240" w:after="80" w:line="276" w:lineRule="auto"/>
        <w:ind w:left="0"/>
        <w:tabs>
          <w:tab w:val="left" w:pos="720"/>
        </w:tabs>
      </w:pPr>
      <w:r>
        <w:rPr>
          <w:rFonts w:ascii="Arial" w:hAnsi="Arial"/>
          <w:b/>
          <w:i w:val="0"/>
          <w:color w:val="000000"/>
          <w:sz w:val="26"/>
        </w:rPr>
        <w:t>8.0</w:t>
        <w:tab/>
        <w:t>ATTACHMENTS &amp; ASSOCIATED FORMS</w:t>
      </w:r>
    </w:p>
    <w:p>
      <w:pPr>
        <w:spacing w:before="0" w:after="80" w:line="276" w:lineRule="auto"/>
        <w:ind w:left="720"/>
        <w:jc w:val="both"/>
      </w:pPr>
      <w:r>
        <w:rPr>
          <w:rFonts w:ascii="Arial" w:hAnsi="Arial"/>
          <w:b w:val="0"/>
          <w:i w:val="0"/>
          <w:color w:val="3B3838"/>
          <w:sz w:val="21"/>
        </w:rPr>
        <w:t>0001-FOR-DOC-IMS-X-2026: Master Document Register Form</w:t>
      </w:r>
    </w:p>
    <w:p>
      <w:pPr>
        <w:spacing w:before="0" w:after="80" w:line="276" w:lineRule="auto"/>
        <w:ind w:left="720"/>
        <w:jc w:val="both"/>
      </w:pPr>
      <w:r>
        <w:rPr>
          <w:rFonts w:ascii="Arial" w:hAnsi="Arial"/>
          <w:b w:val="0"/>
          <w:i w:val="0"/>
          <w:color w:val="3B3838"/>
          <w:sz w:val="21"/>
        </w:rPr>
        <w:t>0002-FOR-DOC-IMS-X-2026: Document Distribution Matrix Form</w:t>
      </w:r>
    </w:p>
    <w:p>
      <w:pPr>
        <w:spacing w:before="0" w:after="80" w:line="276" w:lineRule="auto"/>
        <w:ind w:left="720"/>
        <w:jc w:val="both"/>
      </w:pPr>
      <w:r>
        <w:rPr>
          <w:rFonts w:ascii="Arial" w:hAnsi="Arial"/>
          <w:b w:val="0"/>
          <w:i w:val="0"/>
          <w:color w:val="3B3838"/>
          <w:sz w:val="21"/>
        </w:rPr>
        <w:t>0003-FOR-DOC-IMS-X-2026: Document Transmittal and Distribution Record Form</w:t>
      </w:r>
    </w:p>
    <w:p>
      <w:pPr>
        <w:spacing w:before="0" w:after="80" w:line="276" w:lineRule="auto"/>
        <w:ind w:left="720"/>
        <w:jc w:val="both"/>
      </w:pPr>
      <w:r>
        <w:rPr>
          <w:rFonts w:ascii="Arial" w:hAnsi="Arial"/>
          <w:b w:val="0"/>
          <w:i w:val="0"/>
          <w:color w:val="3B3838"/>
          <w:sz w:val="21"/>
        </w:rPr>
        <w:t>0004-FOR-DOC-IMS-X-2026: Document Change Request Form</w:t>
      </w:r>
    </w:p>
    <w:sectPr w:rsidR="00FC693F" w:rsidRPr="0006063C" w:rsidSect="00034616">
      <w:headerReference w:type="default" r:id="rId9"/>
      <w:footerReference w:type="default" r:id="rId10"/>
      <w:pgSz w:w="11909" w:h="16834"/>
      <w:pgMar w:top="1134" w:right="1134" w:bottom="1134" w:left="124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i w:val="0"/>
        <w:color w:val="000000"/>
        <w:sz w:val="18"/>
      </w:rPr>
      <w:t xml:space="preserve">Page </w:t>
    </w:r>
    <w:fldSimple w:instr="PAGE"/>
    <w:r>
      <w:rPr>
        <w:rFonts w:ascii="Arial" w:hAnsi="Arial"/>
        <w:b/>
        <w:i w:val="0"/>
        <w:color w:val="000000"/>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2340"/>
      <w:gridCol w:w="2340"/>
      <w:gridCol w:w="2340"/>
      <w:gridCol w:w="2340"/>
    </w:tblGrid>
    <w:tr>
      <w:tc>
        <w:tcPr>
          <w:tcW w:type="dxa" w:w="2232"/>
          <w:vMerge w:val="restart"/>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drawing>
              <wp:inline xmlns:a="http://schemas.openxmlformats.org/drawingml/2006/main" xmlns:pic="http://schemas.openxmlformats.org/drawingml/2006/picture">
                <wp:extent cx="1051560" cy="499491"/>
                <wp:docPr id="1" name="Picture 1"/>
                <wp:cNvGraphicFramePr>
                  <a:graphicFrameLocks noChangeAspect="1"/>
                </wp:cNvGraphicFramePr>
                <a:graphic>
                  <a:graphicData uri="http://schemas.openxmlformats.org/drawingml/2006/picture">
                    <pic:pic>
                      <pic:nvPicPr>
                        <pic:cNvPr id="0" name="logo_header_hq.png"/>
                        <pic:cNvPicPr/>
                      </pic:nvPicPr>
                      <pic:blipFill>
                        <a:blip r:embed="rId1"/>
                        <a:stretch>
                          <a:fillRect/>
                        </a:stretch>
                      </pic:blipFill>
                      <pic:spPr>
                        <a:xfrm>
                          <a:off x="0" y="0"/>
                          <a:ext cx="1051560" cy="499491"/>
                        </a:xfrm>
                        <a:prstGeom prst="rect"/>
                      </pic:spPr>
                    </pic:pic>
                  </a:graphicData>
                </a:graphic>
              </wp:inline>
            </w:drawing>
          </w: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Integrated Management Systems</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9"/>
            </w:rPr>
            <w:t>Procedure</w:t>
          </w:r>
        </w:p>
      </w:tc>
    </w:tr>
    <w:tr>
      <w:tc>
        <w:tcPr>
          <w:tcW w:type="dxa" w:w="2340"/>
          <w:vMerge/>
        </w:tcPr>
        <w:p/>
      </w:tc>
      <w:tc>
        <w:tcPr>
          <w:tcW w:type="dxa" w:w="7128"/>
          <w:gridSpan w:val="3"/>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20"/>
            </w:rPr>
            <w:t>DOCUMENT AND RECORDS CONTROL PROCEDURE</w:t>
          </w:r>
        </w:p>
      </w:tc>
    </w:tr>
    <w:tr>
      <w:tc>
        <w:tcPr>
          <w:tcW w:type="dxa" w:w="2340"/>
          <w:vMerge/>
        </w:tcP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left"/>
          </w:pPr>
          <w:r>
            <w:rPr>
              <w:rFonts w:ascii="Arial" w:hAnsi="Arial"/>
              <w:b w:val="0"/>
              <w:i w:val="0"/>
              <w:color w:val="000000"/>
              <w:sz w:val="16"/>
            </w:rPr>
            <w:t>Revision: 0</w:t>
          </w:r>
        </w:p>
      </w:tc>
      <w:tc>
        <w:tcPr>
          <w:tcW w:type="dxa" w:w="3672"/>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i w:val="0"/>
              <w:color w:val="000000"/>
              <w:sz w:val="16"/>
            </w:rPr>
            <w:t>Number: 0001-SOP-GNR-CEO-IX-2026</w:t>
          </w:r>
        </w:p>
      </w:tc>
      <w:tc>
        <w:tcPr>
          <w:tcW w:type="dxa" w:w="1728"/>
          <w:vAlign w:val="center"/>
          <w:tcMar>
            <w:top w:w="40" w:type="dxa"/>
            <w:bottom w:w="40" w:type="dxa"/>
            <w:left w:w="60" w:type="dxa"/>
            <w:right w:w="60" w:type="dxa"/>
          </w:tcMar>
          <w:tcBorders>
            <w:top w:val="single" w:sz="4" w:space="0" w:color="000000"/>
            <w:bottom w:val="single" w:sz="4" w:space="0" w:color="000000"/>
            <w:left w:val="single" w:sz="4" w:space="0" w:color="000000"/>
            <w:right w:val="single" w:sz="4" w:space="0" w:color="000000"/>
          </w:tcBorders>
        </w:tcPr>
        <w:p>
          <w:pPr>
            <w:jc w:val="center"/>
          </w:pPr>
          <w:r>
            <w:rPr>
              <w:rFonts w:ascii="Arial" w:hAnsi="Arial"/>
              <w:b w:val="0"/>
              <w:i w:val="0"/>
              <w:color w:val="000000"/>
              <w:sz w:val="16"/>
            </w:rPr>
            <w:t>Revised: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