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2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over_h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2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spacing w:after="320"/>
        <w:jc w:val="center"/>
      </w:pPr>
      <w:r>
        <w:rPr>
          <w:rFonts w:ascii="Arial" w:hAnsi="Arial"/>
          <w:b/>
          <w:i w:val="0"/>
          <w:color w:val="000000"/>
          <w:sz w:val="36"/>
        </w:rPr>
        <w:t>PT Nirwana Bhumi Energy</w:t>
      </w:r>
    </w:p>
    <w:p>
      <w:pPr>
        <w:spacing w:after="160"/>
      </w:pPr>
    </w:p>
    <w:p>
      <w:pPr>
        <w:spacing w:after="120" w:line="288" w:lineRule="auto"/>
        <w:jc w:val="center"/>
      </w:pPr>
      <w:r>
        <w:rPr>
          <w:rFonts w:ascii="Arial" w:hAnsi="Arial"/>
          <w:b/>
          <w:i w:val="0"/>
          <w:color w:val="000000"/>
          <w:sz w:val="36"/>
        </w:rPr>
        <w:t>PROCEDURE WRITING AND FORMATTING SPECIFICATION</w:t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tbl>
      <w:tblPr>
        <w:tblW w:type="auto" w:w="0"/>
        <w:jc w:val="left"/>
        <w:tblLook w:firstColumn="1" w:firstRow="1" w:lastColumn="0" w:lastRow="0" w:noHBand="0" w:noVBand="1" w:val="04A0"/>
        <w:tblInd w:w="4464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64"/>
        <w:gridCol w:w="4764"/>
      </w:tblGrid>
      <w:tr>
        <w:trPr>
          <w:cantSplit/>
        </w:trPr>
        <w:tc>
          <w:tcPr>
            <w:tcW w:type="dxa" w:w="1584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Approved By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:  Bima Satryo Hartanto</w:t>
              <w:br/>
              <w:t xml:space="preserve">   (President Director / CEO)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Verified By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:  Dennis Raditya (Director of</w:t>
              <w:br/>
              <w:t xml:space="preserve">   Operations &amp; Technology / CTO)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Created By</w:t>
            </w:r>
          </w:p>
        </w:tc>
        <w:tc>
          <w:tcPr>
            <w:tcW w:type="dxa" w:w="331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:  Abdul Qodir Al Jailani</w:t>
              <w:br/>
              <w:t xml:space="preserve">   (Commissioner / IMS Team Lead)</w:t>
            </w:r>
          </w:p>
        </w:tc>
      </w:tr>
    </w:tbl>
    <w:p>
      <w:r>
        <w:br w:type="page"/>
      </w:r>
    </w:p>
    <w:p>
      <w:pPr>
        <w:spacing w:before="320" w:after="280"/>
        <w:jc w:val="center"/>
      </w:pPr>
      <w:r>
        <w:rPr>
          <w:rFonts w:ascii="Arial" w:hAnsi="Arial"/>
          <w:b/>
          <w:i w:val="0"/>
          <w:color w:val="000000"/>
          <w:sz w:val="26"/>
        </w:rPr>
        <w:t>REVISION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2"/>
        <w:gridCol w:w="2382"/>
        <w:gridCol w:w="2382"/>
        <w:gridCol w:w="2382"/>
      </w:tblGrid>
      <w:tr>
        <w:tc>
          <w:tcPr>
            <w:tcW w:type="dxa" w:w="1296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Revision</w:t>
            </w:r>
          </w:p>
        </w:tc>
        <w:tc>
          <w:tcPr>
            <w:tcW w:type="dxa" w:w="1728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4320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Description of Changes</w:t>
            </w:r>
          </w:p>
        </w:tc>
        <w:tc>
          <w:tcPr>
            <w:tcW w:type="dxa" w:w="2016"/>
            <w:shd w:fill="D9E1F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Revised By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October 2026</w:t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Initial Issue - Standard CSMS Procedure for PT Nirwana Bhumi Energy (0002-SOP-DOC-IMS-X-2026)</w:t>
            </w:r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IMS &amp; HSE Team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016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>
      <w:r>
        <w:br w:type="page"/>
      </w:r>
    </w:p>
    <w:p>
      <w:pPr>
        <w:spacing w:before="320" w:after="320"/>
        <w:jc w:val="center"/>
      </w:pPr>
      <w:r>
        <w:rPr>
          <w:rFonts w:ascii="Arial" w:hAnsi="Arial"/>
          <w:b/>
          <w:i w:val="0"/>
          <w:color w:val="000000"/>
          <w:sz w:val="26"/>
        </w:rPr>
        <w:t>TABLE OF CONTENTS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1.0</w:t>
        <w:tab/>
        <w:t>OBJECTIVE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2.0</w:t>
        <w:tab/>
        <w:t>SCOPE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3.0</w:t>
        <w:tab/>
        <w:t>DEFINITIONS &amp; ABBREVIATIONS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4.0</w:t>
        <w:tab/>
        <w:t>RESPONSIBILITIES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5.0</w:t>
        <w:tab/>
        <w:t>PROCEDURE STEPS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6.0</w:t>
        <w:tab/>
        <w:t>PERFORMANCE INDICATORS &amp; AUDIT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7.0</w:t>
        <w:tab/>
        <w:t>REFERENCED DOCUMENTS</w:t>
      </w:r>
    </w:p>
    <w:p>
      <w:pPr>
        <w:spacing w:before="0" w:after="60"/>
        <w:ind w:left="720"/>
        <w:tabs>
          <w:tab w:val="left" w:pos="1080"/>
        </w:tabs>
      </w:pPr>
      <w:r>
        <w:rPr>
          <w:rFonts w:ascii="Arial" w:hAnsi="Arial"/>
          <w:b/>
          <w:i w:val="0"/>
          <w:color w:val="000000"/>
          <w:sz w:val="20"/>
        </w:rPr>
        <w:t>8.0</w:t>
        <w:tab/>
        <w:t>ATTACHMENTS &amp; ASSOCIATED FORMS</w:t>
      </w:r>
    </w:p>
    <w:p>
      <w:r>
        <w:br w:type="page"/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1.0</w:t>
        <w:tab/>
        <w:t>OBJECTIVE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The objective of this specification is to standardize the structural architecture, physical typography, layout geometry, and visual formatting of all documentation authored across PT Nirwana Bhumi Energy.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Adherence to this standard guarantees full visual uniformity, zero overflow errors, and complete audit readiness across all printed and digital procedures.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2.0</w:t>
        <w:tab/>
        <w:t>SCOPE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This specification applies to all personnel authoring, editing, or revising Standard Operating Procedures (SOP), Work Instructions (WIS), Policies (POL), and Standalone Forms (FOR) for PT Nirwana Bhumi Energy.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3.0</w:t>
        <w:tab/>
        <w:t>DEFINITIONS &amp; ABBREVIATIONS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OpenXML: The ISO/IEC 29500 international standard file format for Microsoft Word (.docx).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Zero-Overflow Rule: The mandatory design principle requiring Cover Pages and single-page forms to conclude within a single physical page without spilling onto subsequent pages.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Hanging Indent: Paragraph geometry where the first line begins to the left of succeeding lines, used for bullet lists.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4.0</w:t>
        <w:tab/>
        <w:t>RESPONSIBILITIES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Management Representative (MR): Responsible for enforcing 100% adherence to formatting rules during documentation audits.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Document Authors: Responsible for writing clear, concise procedures following the standardized 8-section layout.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5.0</w:t>
        <w:tab/>
        <w:t>PROCEDURE STEPS</w:t>
      </w:r>
    </w:p>
    <w:p>
      <w:pPr>
        <w:spacing w:before="160" w:after="6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2"/>
        </w:rPr>
        <w:t>5.1</w:t>
        <w:tab/>
        <w:t>Standard Page Geometry and Margins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All SOP documents must be configured on A4 paper (210 mm x 297 mm) with exact margins: Left: 2.20 cm (binding gutter), Right: 2.00 cm, Top: 2.00 cm, Bottom: 2.00 cm, Header Distance: 1.25 cm, Footer Distance: 1.25 cm.</w:t>
      </w:r>
    </w:p>
    <w:p>
      <w:pPr>
        <w:spacing w:before="160" w:after="6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2"/>
        </w:rPr>
        <w:t>5.2</w:t>
        <w:tab/>
        <w:t>Typography Hierarchy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The Arial font family is the exclusive typeface for all PT Nirwana Bhumi Energy IMS documents. Document title on cover must be Arial 18 pt Bold, Heading 1 must be Arial 13 pt Bold, Subheadings Arial 11 pt Bold, and Body Paragraphs Arial 10.5 pt Regular with Charcoal color (#3B3838).</w:t>
      </w:r>
    </w:p>
    <w:p>
      <w:pPr>
        <w:spacing w:before="160" w:after="6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2"/>
        </w:rPr>
        <w:t>5.3</w:t>
        <w:tab/>
        <w:t>Mandatory Initial Page Sequence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Every Standard Operating Procedure must strictly follow the 4 initial page structure: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Page 1: Zero-Overflow Cover Page with centered company logo, titles, document number, and 3x2 borderless Table 0 Author Sign-off block.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Page 2: Official 4-column Revision Record table with soft periwinkle header fill.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Page 3: Clean Outline Table of Contents with tab stops at 0.5 inches.</w:t>
      </w:r>
    </w:p>
    <w:p>
      <w:pPr>
        <w:pStyle w:val="ListParagraph"/>
        <w:spacing w:before="0" w:after="40" w:line="276" w:lineRule="auto"/>
        <w:jc w:val="both"/>
        <w:numPr>
          <w:ilvl w:val="0"/>
          <w:numId w:val="2"/>
        </w:numPr>
        <w:ind w:left="1134"/>
      </w:pPr>
      <w:r>
        <w:rPr>
          <w:rFonts w:ascii="Arial" w:hAnsi="Arial"/>
          <w:b w:val="0"/>
          <w:i w:val="0"/>
          <w:color w:val="3B3838"/>
          <w:sz w:val="21"/>
        </w:rPr>
        <w:t>Page 4+: Procedure Body Sections starting with Section 1.0 Objective and concluding with Section 8.0 Attachments.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6.0</w:t>
        <w:tab/>
        <w:t>PERFORMANCE INDICATORS &amp; AUDIT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100% pass rate during automated AST/XML document audit before release.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Zero formatting non-conformances identified during internal audits.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7.0</w:t>
        <w:tab/>
        <w:t>REFERENCED DOCUMENTS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0001-SOP-GNR-CEO-IX-2026: Document and Records Control Procedure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0003-SOP-DOC-IMS-X-2026: Integrated Management System Document Numbering Standard</w:t>
      </w:r>
    </w:p>
    <w:p>
      <w:pPr>
        <w:spacing w:before="240" w:after="80" w:line="276" w:lineRule="auto"/>
        <w:ind w:left="0"/>
        <w:tabs>
          <w:tab w:val="left" w:pos="720"/>
        </w:tabs>
      </w:pPr>
      <w:r>
        <w:rPr>
          <w:rFonts w:ascii="Arial" w:hAnsi="Arial"/>
          <w:b/>
          <w:i w:val="0"/>
          <w:color w:val="000000"/>
          <w:sz w:val="26"/>
        </w:rPr>
        <w:t>8.0</w:t>
        <w:tab/>
        <w:t>ATTACHMENTS &amp; ASSOCIATED FORMS</w:t>
      </w:r>
    </w:p>
    <w:p>
      <w:pPr>
        <w:spacing w:before="0" w:after="80" w:line="276" w:lineRule="auto"/>
        <w:ind w:left="720"/>
        <w:jc w:val="both"/>
      </w:pPr>
      <w:r>
        <w:rPr>
          <w:rFonts w:ascii="Arial" w:hAnsi="Arial"/>
          <w:b w:val="0"/>
          <w:i w:val="0"/>
          <w:color w:val="3B3838"/>
          <w:sz w:val="21"/>
        </w:rPr>
        <w:t>Template SOP Master Document (.dotx / .docx)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4" w:right="1134" w:bottom="1134" w:left="124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i w:val="0"/>
        <w:color w:val="000000"/>
        <w:sz w:val="18"/>
      </w:rPr>
      <w:t xml:space="preserve">Page </w:t>
    </w:r>
    <w:fldSimple w:instr="PAGE"/>
    <w:r>
      <w:rPr>
        <w:rFonts w:ascii="Arial" w:hAnsi="Arial"/>
        <w:b/>
        <w:i w:val="0"/>
        <w:color w:val="000000"/>
        <w:sz w:val="18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2340"/>
      <w:gridCol w:w="2340"/>
      <w:gridCol w:w="2340"/>
      <w:gridCol w:w="2340"/>
    </w:tblGrid>
    <w:tr>
      <w:tc>
        <w:tcPr>
          <w:tcW w:type="dxa" w:w="2232"/>
          <w:vMerge w:val="restart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51560" cy="4994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eader_hq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994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28"/>
          <w:gridSpan w:val="3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 w:val="0"/>
              <w:i w:val="0"/>
              <w:color w:val="000000"/>
              <w:sz w:val="19"/>
            </w:rPr>
            <w:t>Integrated Management Systems</w:t>
          </w:r>
        </w:p>
      </w:tc>
    </w:tr>
    <w:tr>
      <w:tc>
        <w:tcPr>
          <w:tcW w:type="dxa" w:w="2340"/>
          <w:vMerge/>
        </w:tcPr>
        <w:p/>
      </w:tc>
      <w:tc>
        <w:tcPr>
          <w:tcW w:type="dxa" w:w="7128"/>
          <w:gridSpan w:val="3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 w:val="0"/>
              <w:i w:val="0"/>
              <w:color w:val="000000"/>
              <w:sz w:val="19"/>
            </w:rPr>
            <w:t>Procedure</w:t>
          </w:r>
        </w:p>
      </w:tc>
    </w:tr>
    <w:tr>
      <w:tc>
        <w:tcPr>
          <w:tcW w:type="dxa" w:w="2340"/>
          <w:vMerge/>
        </w:tcPr>
        <w:p/>
      </w:tc>
      <w:tc>
        <w:tcPr>
          <w:tcW w:type="dxa" w:w="7128"/>
          <w:gridSpan w:val="3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/>
              <w:i w:val="0"/>
              <w:color w:val="000000"/>
              <w:sz w:val="20"/>
            </w:rPr>
            <w:t>PROCEDURE WRITING AND FORMATTING SPECIFICATION</w:t>
          </w:r>
        </w:p>
      </w:tc>
    </w:tr>
    <w:tr>
      <w:tc>
        <w:tcPr>
          <w:tcW w:type="dxa" w:w="2340"/>
          <w:vMerge/>
        </w:tcPr>
        <w:p/>
      </w:tc>
      <w:tc>
        <w:tcPr>
          <w:tcW w:type="dxa" w:w="1728"/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left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>Revision: 0</w:t>
          </w:r>
        </w:p>
      </w:tc>
      <w:tc>
        <w:tcPr>
          <w:tcW w:type="dxa" w:w="3672"/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/>
              <w:i w:val="0"/>
              <w:color w:val="000000"/>
              <w:sz w:val="16"/>
            </w:rPr>
            <w:t>Number: 0002-SOP-DOC-IMS-X-2026</w:t>
          </w:r>
        </w:p>
      </w:tc>
      <w:tc>
        <w:tcPr>
          <w:tcW w:type="dxa" w:w="1728"/>
          <w:vAlign w:val="center"/>
          <w:tcMar>
            <w:top w:w="40" w:type="dxa"/>
            <w:bottom w:w="40" w:type="dxa"/>
            <w:left w:w="60" w:type="dxa"/>
            <w:right w:w="60" w:type="dxa"/>
          </w:tcMar>
          <w:tcBorders>
            <w:top w:val="single" w:sz="4" w:space="0" w:color="000000"/>
            <w:bottom w:val="single" w:sz="4" w:space="0" w:color="000000"/>
            <w:left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>Revised: -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