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MANAGEMENT REVIEW MEETING MINUTES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0003-FOR-MR-CEO-X-2026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0010-SOP-IMS-CEO-X-2026 - Management Review Procedure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Meeting Subject / Scope: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Annual IMS &amp; CSMS Systemic Performance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Date &amp; Convening Time: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 | 09:00 - 15:00 WIB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Meeting Location: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Executive Boardroom &amp; Virtual Conference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Meeting Chair: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Bima Satryo Hartanto (President Director / CEO)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Lead Notary / Recorder: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Distribution Scope: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Board of Directors, Division Leads, Auditees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316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 Item &amp; Discussion Summary</w:t>
            </w:r>
          </w:p>
        </w:tc>
        <w:tc>
          <w:tcPr>
            <w:tcW w:type="dxa" w:w="316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Agreed Decision &amp; Action Plan</w:t>
            </w:r>
          </w:p>
        </w:tc>
        <w:tc>
          <w:tcPr>
            <w:tcW w:type="dxa" w:w="144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PIC / Lead</w:t>
            </w:r>
          </w:p>
        </w:tc>
        <w:tc>
          <w:tcPr>
            <w:tcW w:type="dxa" w:w="1109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Status of Actions from Previous Review:</w:t>
              <w:br/>
              <w:t>All 5 previous review actions closed effectively with verified objective evidence.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Maintain ongoing monitoring schedule through IMS team.</w:t>
            </w:r>
          </w:p>
        </w:tc>
        <w:tc>
          <w:tcPr>
            <w:tcW w:type="dxa" w:w="144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IMS Lead</w:t>
            </w:r>
          </w:p>
        </w:tc>
        <w:tc>
          <w:tcPr>
            <w:tcW w:type="dxa" w:w="1109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Closed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Internal Audit Findings:</w:t>
              <w:br/>
              <w:t>Internal audit cycle completed. 3 Minor NCRs resolved; 2 Observations noted on document archiving.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Implement centralized cloud master repository with strict version access controls.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IT &amp; IMS Lead</w:t>
            </w:r>
          </w:p>
        </w:tc>
        <w:tc>
          <w:tcPr>
            <w:tcW w:type="dxa" w:w="1109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Progress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 Feedback &amp; Customer Perception:</w:t>
              <w:br/>
              <w:t>Customer satisfaction index scored 94.2% across industrial trading and engineering service lines.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Standardize after-sales service follow-up within 48 hours of product commissioning.</w:t>
            </w:r>
          </w:p>
        </w:tc>
        <w:tc>
          <w:tcPr>
            <w:tcW w:type="dxa" w:w="144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Ops Director</w:t>
            </w:r>
          </w:p>
        </w:tc>
        <w:tc>
          <w:tcPr>
            <w:tcW w:type="dxa" w:w="1109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HSE &amp; CSMS Statistical Performance:</w:t>
              <w:br/>
              <w:t>Zero fatalities, zero lost-time injuries (LTI) across 125,000 work hours. Medical surveillance 100% completed.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Mandate refresher safety inductions for contractor personnel prior to rig mobilization.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HSE Officer</w:t>
            </w:r>
          </w:p>
        </w:tc>
        <w:tc>
          <w:tcPr>
            <w:tcW w:type="dxa" w:w="1109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Resource Adequacy &amp; Training Spend:</w:t>
              <w:br/>
              <w:t>Competence matrix evaluated. Need for specialized advanced rigging and high-voltage training.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Allocate budget in Q4 corporate training plan for international certification.</w:t>
            </w:r>
          </w:p>
        </w:tc>
        <w:tc>
          <w:tcPr>
            <w:tcW w:type="dxa" w:w="144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Finance / CFO</w:t>
            </w:r>
          </w:p>
        </w:tc>
        <w:tc>
          <w:tcPr>
            <w:tcW w:type="dxa" w:w="1109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Policy &amp; System Suitability:</w:t>
              <w:br/>
              <w:t>Corporate Integrated Policy reviewed and confirmed fully adequate for 2026-2027 market expansion.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Re-issue signed corporate policy statement across all facilities and official website.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President Dir</w:t>
            </w:r>
          </w:p>
        </w:tc>
        <w:tc>
          <w:tcPr>
            <w:tcW w:type="dxa" w:w="1109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/>
          <w:color w:val="595959"/>
          <w:sz w:val="15"/>
        </w:rPr>
        <w:t>Note on Status Codes: Open = Under Action Plan | Progress = Partially Completed | Closed = Formally Verified &amp; Closed</w:t>
      </w:r>
    </w:p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Recorded By / Notary: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Verified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Meeting Chair: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