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MANAGEMENT REVIEW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(0010-SOP-IMS-CEO-X-2026)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establish a structured, consistent, and rigorous mechanism for conducting formal Management Reviews of the Integrated Management System (IMS) and Contractor Safety Management System (CSMS) within PT Nirwana Bhumi Energy.</w:t>
      </w:r>
    </w:p>
    <w:p>
      <w:pPr>
        <w:spacing w:before="0" w:after="80" w:line="276" w:lineRule="auto"/>
        <w:ind w:left="720"/>
        <w:jc w:val="both"/>
      </w:pPr>
      <w:r>
        <w:rPr>
          <w:rFonts w:ascii="Arial" w:hAnsi="Arial"/>
          <w:b w:val="0"/>
          <w:i w:val="0"/>
          <w:color w:val="3B3838"/>
          <w:sz w:val="21"/>
        </w:rPr>
        <w:t>Specifically, this procedure ensures that:</w:t>
      </w:r>
    </w:p>
    <w:p>
      <w:pPr>
        <w:pStyle w:val="ListParagraph"/>
        <w:spacing w:before="0" w:after="40" w:line="276" w:lineRule="auto"/>
        <w:jc w:val="both"/>
        <w:numPr>
          <w:ilvl w:val="0"/>
          <w:numId w:val="2"/>
        </w:numPr>
        <w:ind w:left="1134"/>
      </w:pPr>
      <w:r>
        <w:rPr>
          <w:rFonts w:ascii="Arial" w:hAnsi="Arial"/>
          <w:b w:val="0"/>
          <w:i w:val="0"/>
          <w:color w:val="3B3838"/>
          <w:sz w:val="21"/>
        </w:rPr>
        <w:t>The Integrated Management System remains continuously suitable, adequate, effective, and fully aligned with the corporate strategic direction of PT Nirwana Bhumi Energy.</w:t>
      </w:r>
    </w:p>
    <w:p>
      <w:pPr>
        <w:pStyle w:val="ListParagraph"/>
        <w:spacing w:before="0" w:after="40" w:line="276" w:lineRule="auto"/>
        <w:jc w:val="both"/>
        <w:numPr>
          <w:ilvl w:val="0"/>
          <w:numId w:val="2"/>
        </w:numPr>
        <w:ind w:left="1134"/>
      </w:pPr>
      <w:r>
        <w:rPr>
          <w:rFonts w:ascii="Arial" w:hAnsi="Arial"/>
          <w:b w:val="0"/>
          <w:i w:val="0"/>
          <w:color w:val="3B3838"/>
          <w:sz w:val="21"/>
        </w:rPr>
        <w:t>Executive management systematically evaluates corporate health, safety, environmental, quality, and operational performance against defined key performance indicators (KPIs).</w:t>
      </w:r>
    </w:p>
    <w:p>
      <w:pPr>
        <w:pStyle w:val="ListParagraph"/>
        <w:spacing w:before="0" w:after="40" w:line="276" w:lineRule="auto"/>
        <w:jc w:val="both"/>
        <w:numPr>
          <w:ilvl w:val="0"/>
          <w:numId w:val="2"/>
        </w:numPr>
        <w:ind w:left="1134"/>
      </w:pPr>
      <w:r>
        <w:rPr>
          <w:rFonts w:ascii="Arial" w:hAnsi="Arial"/>
          <w:b w:val="0"/>
          <w:i w:val="0"/>
          <w:color w:val="3B3838"/>
          <w:sz w:val="21"/>
        </w:rPr>
        <w:t>Emerging risks, opportunities, technological innovations, statutory regulatory changes, and stakeholder requirements are formally evaluated and addressed.</w:t>
      </w:r>
    </w:p>
    <w:p>
      <w:pPr>
        <w:pStyle w:val="ListParagraph"/>
        <w:spacing w:before="0" w:after="40" w:line="276" w:lineRule="auto"/>
        <w:jc w:val="both"/>
        <w:numPr>
          <w:ilvl w:val="0"/>
          <w:numId w:val="2"/>
        </w:numPr>
        <w:ind w:left="1134"/>
      </w:pPr>
      <w:r>
        <w:rPr>
          <w:rFonts w:ascii="Arial" w:hAnsi="Arial"/>
          <w:b w:val="0"/>
          <w:i w:val="0"/>
          <w:color w:val="3B3838"/>
          <w:sz w:val="21"/>
        </w:rPr>
        <w:t>Appropriate organizational resources, funding, and corrective actions are allocated to support continuous improvement across all business units and project sites.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the planning, preparation, convocation, execution, documentation, and follow-up of all Management Review Meetings (Rapat Tinjauan Manajemen - RTM) across PT Nirwana Bhumi Energy.</w:t>
      </w:r>
    </w:p>
    <w:p>
      <w:pPr>
        <w:spacing w:before="0" w:after="80" w:line="276" w:lineRule="auto"/>
        <w:ind w:left="720"/>
        <w:jc w:val="both"/>
      </w:pPr>
      <w:r>
        <w:rPr>
          <w:rFonts w:ascii="Arial" w:hAnsi="Arial"/>
          <w:b w:val="0"/>
          <w:i w:val="0"/>
          <w:color w:val="3B3838"/>
          <w:sz w:val="21"/>
        </w:rPr>
        <w:t>The scope encompasses:</w:t>
      </w:r>
    </w:p>
    <w:p>
      <w:pPr>
        <w:pStyle w:val="ListParagraph"/>
        <w:spacing w:before="0" w:after="40" w:line="276" w:lineRule="auto"/>
        <w:jc w:val="both"/>
        <w:numPr>
          <w:ilvl w:val="0"/>
          <w:numId w:val="2"/>
        </w:numPr>
        <w:ind w:left="1134"/>
      </w:pPr>
      <w:r>
        <w:rPr>
          <w:rFonts w:ascii="Arial" w:hAnsi="Arial"/>
          <w:b w:val="0"/>
          <w:i w:val="0"/>
          <w:color w:val="3B3838"/>
          <w:sz w:val="21"/>
        </w:rPr>
        <w:t>All corporate divisions: Executive Leadership (CEO), Operations &amp; Technology (CTO), Finance &amp; Human Resources (CFO), and Integrated Management Systems (IMS/QHSE).</w:t>
      </w:r>
    </w:p>
    <w:p>
      <w:pPr>
        <w:pStyle w:val="ListParagraph"/>
        <w:spacing w:before="0" w:after="40" w:line="276" w:lineRule="auto"/>
        <w:jc w:val="both"/>
        <w:numPr>
          <w:ilvl w:val="0"/>
          <w:numId w:val="2"/>
        </w:numPr>
        <w:ind w:left="1134"/>
      </w:pPr>
      <w:r>
        <w:rPr>
          <w:rFonts w:ascii="Arial" w:hAnsi="Arial"/>
          <w:b w:val="0"/>
          <w:i w:val="0"/>
          <w:color w:val="3B3838"/>
          <w:sz w:val="21"/>
        </w:rPr>
        <w:t>All operating locations: Corporate Head Office, operational workshops, project sites, fabrication yards, and client field operations.</w:t>
      </w:r>
    </w:p>
    <w:p>
      <w:pPr>
        <w:pStyle w:val="ListParagraph"/>
        <w:spacing w:before="0" w:after="40" w:line="276" w:lineRule="auto"/>
        <w:jc w:val="both"/>
        <w:numPr>
          <w:ilvl w:val="0"/>
          <w:numId w:val="2"/>
        </w:numPr>
        <w:ind w:left="1134"/>
      </w:pPr>
      <w:r>
        <w:rPr>
          <w:rFonts w:ascii="Arial" w:hAnsi="Arial"/>
          <w:b w:val="0"/>
          <w:i w:val="0"/>
          <w:color w:val="3B3838"/>
          <w:sz w:val="21"/>
        </w:rPr>
        <w:t>All management system standards integrated under company governance, including ISO 9001:2015, ISO 14001:2015, ISO 45001:2018, and oil &amp; gas / energy industry CSMS standards (SKK Migas and PLN).</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Management Review Meeting (MRM / RTM): A formal evaluation conducted by executive leadership at planned intervals to review the performance, adequacy, and effectiveness of the Integrated Management System.</w:t>
      </w:r>
    </w:p>
    <w:p>
      <w:pPr>
        <w:spacing w:before="0" w:after="80" w:line="276" w:lineRule="auto"/>
        <w:ind w:left="720"/>
        <w:jc w:val="both"/>
      </w:pPr>
      <w:r>
        <w:rPr>
          <w:rFonts w:ascii="Arial" w:hAnsi="Arial"/>
          <w:b w:val="0"/>
          <w:i w:val="0"/>
          <w:color w:val="3B3838"/>
          <w:sz w:val="21"/>
        </w:rPr>
        <w:t>Management Representative (MR) / IMS Team Lead: An appointed management official with executive responsibility and authority for ensuring the IMS requirements are established, implemented, and maintained.</w:t>
      </w:r>
    </w:p>
    <w:p>
      <w:pPr>
        <w:spacing w:before="0" w:after="80" w:line="276" w:lineRule="auto"/>
        <w:ind w:left="720"/>
        <w:jc w:val="both"/>
      </w:pPr>
      <w:r>
        <w:rPr>
          <w:rFonts w:ascii="Arial" w:hAnsi="Arial"/>
          <w:b w:val="0"/>
          <w:i w:val="0"/>
          <w:color w:val="3B3838"/>
          <w:sz w:val="21"/>
        </w:rPr>
        <w:t>P2K3 (Panitia Pembina Keselamatan dan Kesehatan Kerja): The corporate Health and Safety Committee established in compliance with Indonesian statutory safety regulations (Law No. 1/1970).</w:t>
      </w:r>
    </w:p>
    <w:p>
      <w:pPr>
        <w:spacing w:before="0" w:after="80" w:line="276" w:lineRule="auto"/>
        <w:ind w:left="720"/>
        <w:jc w:val="both"/>
      </w:pPr>
      <w:r>
        <w:rPr>
          <w:rFonts w:ascii="Arial" w:hAnsi="Arial"/>
          <w:b w:val="0"/>
          <w:i w:val="0"/>
          <w:color w:val="3B3838"/>
          <w:sz w:val="21"/>
        </w:rPr>
        <w:t>Contractor Safety Management System (CSMS): A comprehensive safety framework governing contractor pre-qualification, job execution, and safety performance in high-risk energy sectors.</w:t>
      </w:r>
    </w:p>
    <w:p>
      <w:pPr>
        <w:spacing w:before="0" w:after="80" w:line="276" w:lineRule="auto"/>
        <w:ind w:left="720"/>
        <w:jc w:val="both"/>
      </w:pPr>
      <w:r>
        <w:rPr>
          <w:rFonts w:ascii="Arial" w:hAnsi="Arial"/>
          <w:b w:val="0"/>
          <w:i w:val="0"/>
          <w:color w:val="3B3838"/>
          <w:sz w:val="21"/>
        </w:rPr>
        <w:t>Non-Conformance Report (NCR): A formal record documenting a failure to conform to specified quality, safety, environmental, or operational requirements.</w:t>
      </w:r>
    </w:p>
    <w:p>
      <w:pPr>
        <w:spacing w:before="0" w:after="80" w:line="276" w:lineRule="auto"/>
        <w:ind w:left="720"/>
        <w:jc w:val="both"/>
      </w:pPr>
      <w:r>
        <w:rPr>
          <w:rFonts w:ascii="Arial" w:hAnsi="Arial"/>
          <w:b w:val="0"/>
          <w:i w:val="0"/>
          <w:color w:val="3B3838"/>
          <w:sz w:val="21"/>
        </w:rPr>
        <w:t>Corrective and Preventive Action (CAPA / PTK): Action taken to eliminate the cause of an existing non-conformity or potential non-conformity to prevent recurrence.</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President Director / CEO: Presides over the Management Review Meeting, reviews corporate-wide risk and opportunity profiles, authorizes strategic resource allocations, and gives final executive approval to systemic improvements and policy amendments.</w:t>
      </w:r>
    </w:p>
    <w:p>
      <w:pPr>
        <w:spacing w:before="0" w:after="80" w:line="276" w:lineRule="auto"/>
        <w:ind w:left="720"/>
        <w:jc w:val="both"/>
      </w:pPr>
      <w:r>
        <w:rPr>
          <w:rFonts w:ascii="Arial" w:hAnsi="Arial"/>
          <w:b w:val="0"/>
          <w:i w:val="0"/>
          <w:color w:val="3B3838"/>
          <w:sz w:val="21"/>
        </w:rPr>
        <w:t>Director of Operations &amp; Technology / CTO: Reports operational execution, equipment reliability, engineering compliance, project milestones, technological innovations, and ensures timely closure of operational action items.</w:t>
      </w:r>
    </w:p>
    <w:p>
      <w:pPr>
        <w:spacing w:before="0" w:after="80" w:line="276" w:lineRule="auto"/>
        <w:ind w:left="720"/>
        <w:jc w:val="both"/>
      </w:pPr>
      <w:r>
        <w:rPr>
          <w:rFonts w:ascii="Arial" w:hAnsi="Arial"/>
          <w:b w:val="0"/>
          <w:i w:val="0"/>
          <w:color w:val="3B3838"/>
          <w:sz w:val="21"/>
        </w:rPr>
        <w:t>Director of Finance &amp; Human Resources / CFO: Presents statutory compliance reports, personnel competence matrices, training expenditure, budgetary allocations, and financial performance data related to QHSE and IMS.</w:t>
      </w:r>
    </w:p>
    <w:p>
      <w:pPr>
        <w:spacing w:before="0" w:after="80" w:line="276" w:lineRule="auto"/>
        <w:ind w:left="720"/>
        <w:jc w:val="both"/>
      </w:pPr>
      <w:r>
        <w:rPr>
          <w:rFonts w:ascii="Arial" w:hAnsi="Arial"/>
          <w:b w:val="0"/>
          <w:i w:val="0"/>
          <w:color w:val="3B3838"/>
          <w:sz w:val="21"/>
        </w:rPr>
        <w:t>Management Representative (MR) / IMS Team Lead: Coordinates the annual review schedule, consolidates data packages from all departments, circulates agendas, facilitates the meeting, issues official minutes, and tracks action item closures.</w:t>
      </w:r>
    </w:p>
    <w:p>
      <w:pPr>
        <w:spacing w:before="0" w:after="80" w:line="276" w:lineRule="auto"/>
        <w:ind w:left="720"/>
        <w:jc w:val="both"/>
      </w:pPr>
      <w:r>
        <w:rPr>
          <w:rFonts w:ascii="Arial" w:hAnsi="Arial"/>
          <w:b w:val="0"/>
          <w:i w:val="0"/>
          <w:color w:val="3B3838"/>
          <w:sz w:val="21"/>
        </w:rPr>
        <w:t>Department Managers / Function Leads: Prepare departmental performance inputs, present status reports during the review meeting, and ensure that assigned corrective actions are completed within the agreed timeframes.</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Identification of Review Needs and Annual Scheduling</w:t>
      </w:r>
    </w:p>
    <w:p>
      <w:pPr>
        <w:spacing w:before="0" w:after="80" w:line="276" w:lineRule="auto"/>
        <w:ind w:left="720"/>
        <w:jc w:val="both"/>
      </w:pPr>
      <w:r>
        <w:rPr>
          <w:rFonts w:ascii="Arial" w:hAnsi="Arial"/>
          <w:b w:val="0"/>
          <w:i w:val="0"/>
          <w:color w:val="3B3838"/>
          <w:sz w:val="21"/>
        </w:rPr>
        <w:t>The Management Representative, in consultation with the Board of Directors, shall establish the Annual Management Review Schedule at the beginning of each calendar year using Form 0001-FOR-MR-CEO-X-2026. Management Reviews shall be conducted at least once per calendar year.</w:t>
      </w:r>
    </w:p>
    <w:p>
      <w:pPr>
        <w:spacing w:before="0" w:after="80" w:line="276" w:lineRule="auto"/>
        <w:ind w:left="720"/>
        <w:jc w:val="both"/>
      </w:pPr>
      <w:r>
        <w:rPr>
          <w:rFonts w:ascii="Arial" w:hAnsi="Arial"/>
          <w:b w:val="0"/>
          <w:i w:val="0"/>
          <w:color w:val="3B3838"/>
          <w:sz w:val="21"/>
        </w:rPr>
        <w:t>In addition to scheduled annual reviews, an Extraordinary Management Review Meeting shall be convened whenever any of the following triggers occur:</w:t>
      </w:r>
    </w:p>
    <w:p>
      <w:pPr>
        <w:pStyle w:val="ListParagraph"/>
        <w:spacing w:before="0" w:after="40" w:line="276" w:lineRule="auto"/>
        <w:jc w:val="both"/>
        <w:numPr>
          <w:ilvl w:val="0"/>
          <w:numId w:val="2"/>
        </w:numPr>
        <w:ind w:left="1134"/>
      </w:pPr>
      <w:r>
        <w:rPr>
          <w:rFonts w:ascii="Arial" w:hAnsi="Arial"/>
          <w:b w:val="0"/>
          <w:i w:val="0"/>
          <w:color w:val="3B3838"/>
          <w:sz w:val="21"/>
        </w:rPr>
        <w:t>A critical customer complaint or adverse event impacting client contractual relations.</w:t>
      </w:r>
    </w:p>
    <w:p>
      <w:pPr>
        <w:pStyle w:val="ListParagraph"/>
        <w:spacing w:before="0" w:after="40" w:line="276" w:lineRule="auto"/>
        <w:jc w:val="both"/>
        <w:numPr>
          <w:ilvl w:val="0"/>
          <w:numId w:val="2"/>
        </w:numPr>
        <w:ind w:left="1134"/>
      </w:pPr>
      <w:r>
        <w:rPr>
          <w:rFonts w:ascii="Arial" w:hAnsi="Arial"/>
          <w:b w:val="0"/>
          <w:i w:val="0"/>
          <w:color w:val="3B3838"/>
          <w:sz w:val="21"/>
        </w:rPr>
        <w:t>A recurring quality or safety problem occurring more than three (3) times within a consecutive six-month period.</w:t>
      </w:r>
    </w:p>
    <w:p>
      <w:pPr>
        <w:pStyle w:val="ListParagraph"/>
        <w:spacing w:before="0" w:after="40" w:line="276" w:lineRule="auto"/>
        <w:jc w:val="both"/>
        <w:numPr>
          <w:ilvl w:val="0"/>
          <w:numId w:val="2"/>
        </w:numPr>
        <w:ind w:left="1134"/>
      </w:pPr>
      <w:r>
        <w:rPr>
          <w:rFonts w:ascii="Arial" w:hAnsi="Arial"/>
          <w:b w:val="0"/>
          <w:i w:val="0"/>
          <w:color w:val="3B3838"/>
          <w:sz w:val="21"/>
        </w:rPr>
        <w:t>Any major non-compliance or violation of statutory laws, environmental regulations, or safety legislation.</w:t>
      </w:r>
    </w:p>
    <w:p>
      <w:pPr>
        <w:pStyle w:val="ListParagraph"/>
        <w:spacing w:before="0" w:after="40" w:line="276" w:lineRule="auto"/>
        <w:jc w:val="both"/>
        <w:numPr>
          <w:ilvl w:val="0"/>
          <w:numId w:val="2"/>
        </w:numPr>
        <w:ind w:left="1134"/>
      </w:pPr>
      <w:r>
        <w:rPr>
          <w:rFonts w:ascii="Arial" w:hAnsi="Arial"/>
          <w:b w:val="0"/>
          <w:i w:val="0"/>
          <w:color w:val="3B3838"/>
          <w:sz w:val="21"/>
        </w:rPr>
        <w:t>Any fatal accident (fatality) or high-potential near-miss incident requiring immediate systemic intervention.</w:t>
      </w:r>
    </w:p>
    <w:p>
      <w:pPr>
        <w:spacing w:before="160" w:after="60" w:line="276" w:lineRule="auto"/>
        <w:ind w:left="0"/>
        <w:tabs>
          <w:tab w:val="left" w:pos="720"/>
        </w:tabs>
      </w:pPr>
      <w:r>
        <w:rPr>
          <w:rFonts w:ascii="Arial" w:hAnsi="Arial"/>
          <w:b/>
          <w:i w:val="0"/>
          <w:color w:val="000000"/>
          <w:sz w:val="22"/>
        </w:rPr>
        <w:t>5.2</w:t>
        <w:tab/>
        <w:t>Meeting Preparation and Agenda Notice</w:t>
      </w:r>
    </w:p>
    <w:p>
      <w:pPr>
        <w:spacing w:before="0" w:after="80" w:line="276" w:lineRule="auto"/>
        <w:ind w:left="720"/>
        <w:jc w:val="both"/>
      </w:pPr>
      <w:r>
        <w:rPr>
          <w:rFonts w:ascii="Arial" w:hAnsi="Arial"/>
          <w:b w:val="0"/>
          <w:i w:val="0"/>
          <w:color w:val="3B3838"/>
          <w:sz w:val="21"/>
        </w:rPr>
        <w:t>The Management Representative shall formulate the detailed meeting agenda and distribute the official convocation notice along with supporting briefing documents to all required attendees at least two (2) business days prior to the scheduled meeting date.</w:t>
      </w:r>
    </w:p>
    <w:p>
      <w:pPr>
        <w:spacing w:before="160" w:after="60" w:line="276" w:lineRule="auto"/>
        <w:ind w:left="0"/>
        <w:tabs>
          <w:tab w:val="left" w:pos="720"/>
        </w:tabs>
      </w:pPr>
      <w:r>
        <w:rPr>
          <w:rFonts w:ascii="Arial" w:hAnsi="Arial"/>
          <w:b/>
          <w:i w:val="0"/>
          <w:color w:val="000000"/>
          <w:sz w:val="22"/>
        </w:rPr>
        <w:t>5.3</w:t>
        <w:tab/>
        <w:t>Review Inputs and Agenda Items</w:t>
      </w:r>
    </w:p>
    <w:p>
      <w:pPr>
        <w:spacing w:before="0" w:after="80" w:line="276" w:lineRule="auto"/>
        <w:ind w:left="720"/>
        <w:jc w:val="both"/>
      </w:pPr>
      <w:r>
        <w:rPr>
          <w:rFonts w:ascii="Arial" w:hAnsi="Arial"/>
          <w:b w:val="0"/>
          <w:i w:val="0"/>
          <w:color w:val="3B3838"/>
          <w:sz w:val="21"/>
        </w:rPr>
        <w:t>The Management Review shall thoroughly consider inputs across the following mandatory items:</w:t>
      </w:r>
    </w:p>
    <w:p>
      <w:pPr>
        <w:pStyle w:val="ListParagraph"/>
        <w:spacing w:before="0" w:after="40" w:line="276" w:lineRule="auto"/>
        <w:jc w:val="both"/>
        <w:numPr>
          <w:ilvl w:val="0"/>
          <w:numId w:val="2"/>
        </w:numPr>
        <w:ind w:left="1134"/>
      </w:pPr>
      <w:r>
        <w:rPr>
          <w:rFonts w:ascii="Arial" w:hAnsi="Arial"/>
          <w:b w:val="0"/>
          <w:i w:val="0"/>
          <w:color w:val="3B3838"/>
          <w:sz w:val="21"/>
        </w:rPr>
        <w:t>Status of actions and commitments arising from previous Management Reviews.</w:t>
      </w:r>
    </w:p>
    <w:p>
      <w:pPr>
        <w:pStyle w:val="ListParagraph"/>
        <w:spacing w:before="0" w:after="40" w:line="276" w:lineRule="auto"/>
        <w:jc w:val="both"/>
        <w:numPr>
          <w:ilvl w:val="0"/>
          <w:numId w:val="2"/>
        </w:numPr>
        <w:ind w:left="1134"/>
      </w:pPr>
      <w:r>
        <w:rPr>
          <w:rFonts w:ascii="Arial" w:hAnsi="Arial"/>
          <w:b w:val="0"/>
          <w:i w:val="0"/>
          <w:color w:val="3B3838"/>
          <w:sz w:val="21"/>
        </w:rPr>
        <w:t>Internal and external audit findings, customer audit reports, and external certification assessments.</w:t>
      </w:r>
    </w:p>
    <w:p>
      <w:pPr>
        <w:pStyle w:val="ListParagraph"/>
        <w:spacing w:before="0" w:after="40" w:line="276" w:lineRule="auto"/>
        <w:jc w:val="both"/>
        <w:numPr>
          <w:ilvl w:val="0"/>
          <w:numId w:val="2"/>
        </w:numPr>
        <w:ind w:left="1134"/>
      </w:pPr>
      <w:r>
        <w:rPr>
          <w:rFonts w:ascii="Arial" w:hAnsi="Arial"/>
          <w:b w:val="0"/>
          <w:i w:val="0"/>
          <w:color w:val="3B3838"/>
          <w:sz w:val="21"/>
        </w:rPr>
        <w:t>Customer satisfaction metrics, perception surveys, and formal feedback or complaints received.</w:t>
      </w:r>
    </w:p>
    <w:p>
      <w:pPr>
        <w:pStyle w:val="ListParagraph"/>
        <w:spacing w:before="0" w:after="40" w:line="276" w:lineRule="auto"/>
        <w:jc w:val="both"/>
        <w:numPr>
          <w:ilvl w:val="0"/>
          <w:numId w:val="2"/>
        </w:numPr>
        <w:ind w:left="1134"/>
      </w:pPr>
      <w:r>
        <w:rPr>
          <w:rFonts w:ascii="Arial" w:hAnsi="Arial"/>
          <w:b w:val="0"/>
          <w:i w:val="0"/>
          <w:color w:val="3B3838"/>
          <w:sz w:val="21"/>
        </w:rPr>
        <w:t>Process performance and conformity of services, trading products, and engineering deliverables.</w:t>
      </w:r>
    </w:p>
    <w:p>
      <w:pPr>
        <w:pStyle w:val="ListParagraph"/>
        <w:spacing w:before="0" w:after="40" w:line="276" w:lineRule="auto"/>
        <w:jc w:val="both"/>
        <w:numPr>
          <w:ilvl w:val="0"/>
          <w:numId w:val="2"/>
        </w:numPr>
        <w:ind w:left="1134"/>
      </w:pPr>
      <w:r>
        <w:rPr>
          <w:rFonts w:ascii="Arial" w:hAnsi="Arial"/>
          <w:b w:val="0"/>
          <w:i w:val="0"/>
          <w:color w:val="3B3838"/>
          <w:sz w:val="21"/>
        </w:rPr>
        <w:t>Non-conformances, incident investigations, and status of corrective and preventive actions (CAPA).</w:t>
      </w:r>
    </w:p>
    <w:p>
      <w:pPr>
        <w:pStyle w:val="ListParagraph"/>
        <w:spacing w:before="0" w:after="40" w:line="276" w:lineRule="auto"/>
        <w:jc w:val="both"/>
        <w:numPr>
          <w:ilvl w:val="0"/>
          <w:numId w:val="2"/>
        </w:numPr>
        <w:ind w:left="1134"/>
      </w:pPr>
      <w:r>
        <w:rPr>
          <w:rFonts w:ascii="Arial" w:hAnsi="Arial"/>
          <w:b w:val="0"/>
          <w:i w:val="0"/>
          <w:color w:val="3B3838"/>
          <w:sz w:val="21"/>
        </w:rPr>
        <w:t>Monitoring and measurement results relating to quality, occupational health, safety, and environmental KPIs.</w:t>
      </w:r>
    </w:p>
    <w:p>
      <w:pPr>
        <w:pStyle w:val="ListParagraph"/>
        <w:spacing w:before="0" w:after="40" w:line="276" w:lineRule="auto"/>
        <w:jc w:val="both"/>
        <w:numPr>
          <w:ilvl w:val="0"/>
          <w:numId w:val="2"/>
        </w:numPr>
        <w:ind w:left="1134"/>
      </w:pPr>
      <w:r>
        <w:rPr>
          <w:rFonts w:ascii="Arial" w:hAnsi="Arial"/>
          <w:b w:val="0"/>
          <w:i w:val="0"/>
          <w:color w:val="3B3838"/>
          <w:sz w:val="21"/>
        </w:rPr>
        <w:t>Evaluation of compliance with applicable legal, statutory, and contractual requirements.</w:t>
      </w:r>
    </w:p>
    <w:p>
      <w:pPr>
        <w:pStyle w:val="ListParagraph"/>
        <w:spacing w:before="0" w:after="40" w:line="276" w:lineRule="auto"/>
        <w:jc w:val="both"/>
        <w:numPr>
          <w:ilvl w:val="0"/>
          <w:numId w:val="2"/>
        </w:numPr>
        <w:ind w:left="1134"/>
      </w:pPr>
      <w:r>
        <w:rPr>
          <w:rFonts w:ascii="Arial" w:hAnsi="Arial"/>
          <w:b w:val="0"/>
          <w:i w:val="0"/>
          <w:color w:val="3B3838"/>
          <w:sz w:val="21"/>
        </w:rPr>
        <w:t>Adequacy of human, financial, and technological resources to sustain company growth.</w:t>
      </w:r>
    </w:p>
    <w:p>
      <w:pPr>
        <w:pStyle w:val="ListParagraph"/>
        <w:spacing w:before="0" w:after="40" w:line="276" w:lineRule="auto"/>
        <w:jc w:val="both"/>
        <w:numPr>
          <w:ilvl w:val="0"/>
          <w:numId w:val="2"/>
        </w:numPr>
        <w:ind w:left="1134"/>
      </w:pPr>
      <w:r>
        <w:rPr>
          <w:rFonts w:ascii="Arial" w:hAnsi="Arial"/>
          <w:b w:val="0"/>
          <w:i w:val="0"/>
          <w:color w:val="3B3838"/>
          <w:sz w:val="21"/>
        </w:rPr>
        <w:t>Effectiveness of actions taken to address identified risks and organizational opportunities.</w:t>
      </w:r>
    </w:p>
    <w:p>
      <w:pPr>
        <w:spacing w:before="160" w:after="60" w:line="276" w:lineRule="auto"/>
        <w:ind w:left="0"/>
        <w:tabs>
          <w:tab w:val="left" w:pos="720"/>
        </w:tabs>
      </w:pPr>
      <w:r>
        <w:rPr>
          <w:rFonts w:ascii="Arial" w:hAnsi="Arial"/>
          <w:b/>
          <w:i w:val="0"/>
          <w:color w:val="000000"/>
          <w:sz w:val="22"/>
        </w:rPr>
        <w:t>5.4</w:t>
        <w:tab/>
        <w:t>Quorum and Meeting Convocation</w:t>
      </w:r>
    </w:p>
    <w:p>
      <w:pPr>
        <w:spacing w:before="0" w:after="80" w:line="276" w:lineRule="auto"/>
        <w:ind w:left="720"/>
        <w:jc w:val="both"/>
      </w:pPr>
      <w:r>
        <w:rPr>
          <w:rFonts w:ascii="Arial" w:hAnsi="Arial"/>
          <w:b w:val="0"/>
          <w:i w:val="0"/>
          <w:color w:val="3B3838"/>
          <w:sz w:val="21"/>
        </w:rPr>
        <w:t>A Management Review Meeting is validly convened only when at least two-thirds (2/3) of invited management members are in attendance, with the mandatory personal presence of the President Director (CEO) or designated Board Director.</w:t>
      </w:r>
    </w:p>
    <w:p>
      <w:pPr>
        <w:spacing w:before="0" w:after="80" w:line="276" w:lineRule="auto"/>
        <w:ind w:left="720"/>
        <w:jc w:val="both"/>
      </w:pPr>
      <w:r>
        <w:rPr>
          <w:rFonts w:ascii="Arial" w:hAnsi="Arial"/>
          <w:b w:val="0"/>
          <w:i w:val="0"/>
          <w:color w:val="3B3838"/>
          <w:sz w:val="21"/>
        </w:rPr>
        <w:t>All attending participants must personally sign the Meeting Attendance Register (Form 0002-FOR-MR-CEO-X-2026) as verifiable evidence of participation.</w:t>
      </w:r>
    </w:p>
    <w:p>
      <w:pPr>
        <w:spacing w:before="160" w:after="60" w:line="276" w:lineRule="auto"/>
        <w:ind w:left="0"/>
        <w:tabs>
          <w:tab w:val="left" w:pos="720"/>
        </w:tabs>
      </w:pPr>
      <w:r>
        <w:rPr>
          <w:rFonts w:ascii="Arial" w:hAnsi="Arial"/>
          <w:b/>
          <w:i w:val="0"/>
          <w:color w:val="000000"/>
          <w:sz w:val="22"/>
        </w:rPr>
        <w:t>5.5</w:t>
        <w:tab/>
        <w:t>Meeting Outputs and Documentation</w:t>
      </w:r>
    </w:p>
    <w:p>
      <w:pPr>
        <w:spacing w:before="0" w:after="80" w:line="276" w:lineRule="auto"/>
        <w:ind w:left="720"/>
        <w:jc w:val="both"/>
      </w:pPr>
      <w:r>
        <w:rPr>
          <w:rFonts w:ascii="Arial" w:hAnsi="Arial"/>
          <w:b w:val="0"/>
          <w:i w:val="0"/>
          <w:color w:val="3B3838"/>
          <w:sz w:val="21"/>
        </w:rPr>
        <w:t>The Management Representative shall record all proceedings, decisions, resource allocations, and assignments in the formal Management Review Meeting Minutes (Form 0003-FOR-MR-CEO-X-2026).</w:t>
      </w:r>
    </w:p>
    <w:p>
      <w:pPr>
        <w:spacing w:before="0" w:after="80" w:line="276" w:lineRule="auto"/>
        <w:ind w:left="720"/>
        <w:jc w:val="both"/>
      </w:pPr>
      <w:r>
        <w:rPr>
          <w:rFonts w:ascii="Arial" w:hAnsi="Arial"/>
          <w:b w:val="0"/>
          <w:i w:val="0"/>
          <w:color w:val="3B3838"/>
          <w:sz w:val="21"/>
        </w:rPr>
        <w:t>The completed minutes shall be approved by the President Director (CEO) and distributed to all attendees and relevant stakeholders within seven (7) business days following the conclusion of the meeting.</w:t>
      </w:r>
    </w:p>
    <w:p>
      <w:pPr>
        <w:spacing w:before="160" w:after="60" w:line="276" w:lineRule="auto"/>
        <w:ind w:left="0"/>
        <w:tabs>
          <w:tab w:val="left" w:pos="720"/>
        </w:tabs>
      </w:pPr>
      <w:r>
        <w:rPr>
          <w:rFonts w:ascii="Arial" w:hAnsi="Arial"/>
          <w:b/>
          <w:i w:val="0"/>
          <w:color w:val="000000"/>
          <w:sz w:val="22"/>
        </w:rPr>
        <w:t>5.6</w:t>
        <w:tab/>
        <w:t>Action Item Monitoring and Follow-Up</w:t>
      </w:r>
    </w:p>
    <w:p>
      <w:pPr>
        <w:spacing w:before="0" w:after="80" w:line="276" w:lineRule="auto"/>
        <w:ind w:left="720"/>
        <w:jc w:val="both"/>
      </w:pPr>
      <w:r>
        <w:rPr>
          <w:rFonts w:ascii="Arial" w:hAnsi="Arial"/>
          <w:b w:val="0"/>
          <w:i w:val="0"/>
          <w:color w:val="3B3838"/>
          <w:sz w:val="21"/>
        </w:rPr>
        <w:t>The Management Representative shall maintain continuous oversight over all agreed action items, tracking their execution against target completion dates. Where an action item is overdue or ineffective, the MR shall issue a Non-Conformance Report (NCR) to the accountable manager.</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Compliance with this procedure shall be evaluated during internal and external audits using the following key performance indicators:</w:t>
      </w:r>
    </w:p>
    <w:p>
      <w:pPr>
        <w:pStyle w:val="ListParagraph"/>
        <w:spacing w:before="0" w:after="40" w:line="276" w:lineRule="auto"/>
        <w:jc w:val="both"/>
        <w:numPr>
          <w:ilvl w:val="0"/>
          <w:numId w:val="2"/>
        </w:numPr>
        <w:ind w:left="1134"/>
      </w:pPr>
      <w:r>
        <w:rPr>
          <w:rFonts w:ascii="Arial" w:hAnsi="Arial"/>
          <w:b w:val="0"/>
          <w:i w:val="0"/>
          <w:color w:val="3B3838"/>
          <w:sz w:val="21"/>
        </w:rPr>
        <w:t>100% execution of planned annual Management Review Meetings within the scheduled calendar month.</w:t>
      </w:r>
    </w:p>
    <w:p>
      <w:pPr>
        <w:pStyle w:val="ListParagraph"/>
        <w:spacing w:before="0" w:after="40" w:line="276" w:lineRule="auto"/>
        <w:jc w:val="both"/>
        <w:numPr>
          <w:ilvl w:val="0"/>
          <w:numId w:val="2"/>
        </w:numPr>
        <w:ind w:left="1134"/>
      </w:pPr>
      <w:r>
        <w:rPr>
          <w:rFonts w:ascii="Arial" w:hAnsi="Arial"/>
          <w:b w:val="0"/>
          <w:i w:val="0"/>
          <w:color w:val="3B3838"/>
          <w:sz w:val="21"/>
        </w:rPr>
        <w:t>Minimum 90% on-time closure rate for all corrective action items decided during the review.</w:t>
      </w:r>
    </w:p>
    <w:p>
      <w:pPr>
        <w:pStyle w:val="ListParagraph"/>
        <w:spacing w:before="0" w:after="40" w:line="276" w:lineRule="auto"/>
        <w:jc w:val="both"/>
        <w:numPr>
          <w:ilvl w:val="0"/>
          <w:numId w:val="2"/>
        </w:numPr>
        <w:ind w:left="1134"/>
      </w:pPr>
      <w:r>
        <w:rPr>
          <w:rFonts w:ascii="Arial" w:hAnsi="Arial"/>
          <w:b w:val="0"/>
          <w:i w:val="0"/>
          <w:color w:val="3B3838"/>
          <w:sz w:val="21"/>
        </w:rPr>
        <w:t>Zero recurring major non-conformances relating to management leadership and commitment clauses.</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ISO 9001:2015 Quality Management Systems - Clause 9.3 Management Review</w:t>
      </w:r>
    </w:p>
    <w:p>
      <w:pPr>
        <w:spacing w:before="0" w:after="80" w:line="276" w:lineRule="auto"/>
        <w:ind w:left="720"/>
        <w:jc w:val="both"/>
      </w:pPr>
      <w:r>
        <w:rPr>
          <w:rFonts w:ascii="Arial" w:hAnsi="Arial"/>
          <w:b w:val="0"/>
          <w:i w:val="0"/>
          <w:color w:val="3B3838"/>
          <w:sz w:val="21"/>
        </w:rPr>
        <w:t>ISO 14001:2015 Environmental Management Systems - Clause 9.3 Management Review</w:t>
      </w:r>
    </w:p>
    <w:p>
      <w:pPr>
        <w:spacing w:before="0" w:after="80" w:line="276" w:lineRule="auto"/>
        <w:ind w:left="720"/>
        <w:jc w:val="both"/>
      </w:pPr>
      <w:r>
        <w:rPr>
          <w:rFonts w:ascii="Arial" w:hAnsi="Arial"/>
          <w:b w:val="0"/>
          <w:i w:val="0"/>
          <w:color w:val="3B3838"/>
          <w:sz w:val="21"/>
        </w:rPr>
        <w:t>ISO 45001:2018 Occupational Health and Safety Management Systems - Clause 9.3 Management Review</w:t>
      </w:r>
    </w:p>
    <w:p>
      <w:pPr>
        <w:spacing w:before="0" w:after="80" w:line="276" w:lineRule="auto"/>
        <w:ind w:left="720"/>
        <w:jc w:val="both"/>
      </w:pPr>
      <w:r>
        <w:rPr>
          <w:rFonts w:ascii="Arial" w:hAnsi="Arial"/>
          <w:b w:val="0"/>
          <w:i w:val="0"/>
          <w:color w:val="3B3838"/>
          <w:sz w:val="21"/>
        </w:rPr>
        <w:t>Government Regulation PP No. 50/2012 regarding Implementation of Occupational Safety and Health Management System (SMK3)</w:t>
      </w:r>
    </w:p>
    <w:p>
      <w:pPr>
        <w:spacing w:before="0" w:after="80" w:line="276" w:lineRule="auto"/>
        <w:ind w:left="720"/>
        <w:jc w:val="both"/>
      </w:pPr>
      <w:r>
        <w:rPr>
          <w:rFonts w:ascii="Arial" w:hAnsi="Arial"/>
          <w:b w:val="0"/>
          <w:i w:val="0"/>
          <w:color w:val="3B3838"/>
          <w:sz w:val="21"/>
        </w:rPr>
        <w:t>0001-SOP-GNR-CEO-IX-2026: Document and Records Control Procedure</w:t>
      </w:r>
    </w:p>
    <w:p>
      <w:pPr>
        <w:spacing w:before="0" w:after="80" w:line="276" w:lineRule="auto"/>
        <w:ind w:left="720"/>
        <w:jc w:val="both"/>
      </w:pPr>
      <w:r>
        <w:rPr>
          <w:rFonts w:ascii="Arial" w:hAnsi="Arial"/>
          <w:b w:val="0"/>
          <w:i w:val="0"/>
          <w:color w:val="3B3838"/>
          <w:sz w:val="21"/>
        </w:rPr>
        <w:t>0008-SOP-IMS-CEO-X-2026: Internal Audit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0001-FOR-MR-CEO-X-2026: Management Review Meeting Schedule Form</w:t>
      </w:r>
    </w:p>
    <w:p>
      <w:pPr>
        <w:spacing w:before="0" w:after="80" w:line="276" w:lineRule="auto"/>
        <w:ind w:left="720"/>
        <w:jc w:val="both"/>
      </w:pPr>
      <w:r>
        <w:rPr>
          <w:rFonts w:ascii="Arial" w:hAnsi="Arial"/>
          <w:b w:val="0"/>
          <w:i w:val="0"/>
          <w:color w:val="3B3838"/>
          <w:sz w:val="21"/>
        </w:rPr>
        <w:t>0002-FOR-MR-CEO-X-2026: Meeting Attendance Register Form</w:t>
      </w:r>
    </w:p>
    <w:p>
      <w:pPr>
        <w:spacing w:before="0" w:after="80" w:line="276" w:lineRule="auto"/>
        <w:ind w:left="720"/>
        <w:jc w:val="both"/>
      </w:pPr>
      <w:r>
        <w:rPr>
          <w:rFonts w:ascii="Arial" w:hAnsi="Arial"/>
          <w:b w:val="0"/>
          <w:i w:val="0"/>
          <w:color w:val="3B3838"/>
          <w:sz w:val="21"/>
        </w:rPr>
        <w:t>0003-FOR-MR-CEO-X-2026: Management Review Meeting Minutes Form</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MANAGEMENT REVIEW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0010-SOP-IMS-CEO-X-2026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