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B1F4B"/>
          <w:sz w:val="72"/>
        </w:rPr>
        <w:t>VEINGUARD</w:t>
      </w:r>
    </w:p>
    <w:p>
      <w:pPr>
        <w:jc w:val="center"/>
      </w:pPr>
      <w:r>
        <w:rPr>
          <w:i/>
          <w:color w:val="1A56BB"/>
          <w:sz w:val="32"/>
        </w:rPr>
        <w:t>Système IoT de Contrôle d'Accès Biométrique</w:t>
      </w:r>
    </w:p>
    <w:p/>
    <w:p/>
    <w:p>
      <w:pPr>
        <w:jc w:val="center"/>
      </w:pPr>
      <w:r>
        <w:rPr>
          <w:b/>
          <w:color w:val="0B1F4B"/>
          <w:sz w:val="44"/>
        </w:rPr>
        <w:t>PLAN D'AFFAIRE</w:t>
      </w:r>
    </w:p>
    <w:p>
      <w:pPr>
        <w:jc w:val="center"/>
      </w:pPr>
      <w:r>
        <w:rPr>
          <w:color w:val="555555"/>
          <w:sz w:val="28"/>
        </w:rPr>
        <w:t>Défi Dragons' Den IoT 2026</w:t>
      </w:r>
    </w:p>
    <w:p/>
    <w:p/>
    <w:p/>
    <w:p>
      <w:pPr>
        <w:jc w:val="center"/>
      </w:pPr>
      <w:r>
        <w:rPr>
          <w:b/>
          <w:sz w:val="24"/>
        </w:rPr>
        <w:t>Présenté par :</w:t>
      </w:r>
    </w:p>
    <w:p>
      <w:pPr>
        <w:jc w:val="center"/>
      </w:pPr>
      <w:r>
        <w:rPr>
          <w:color w:val="0B1F4B"/>
          <w:sz w:val="26"/>
        </w:rPr>
        <w:t>Tiavina Misandratra Andrianantenaina</w:t>
        <w:br/>
        <w:t>Noel Laurian Simen</w:t>
      </w:r>
    </w:p>
    <w:p/>
    <w:p/>
    <w:p>
      <w:pPr>
        <w:jc w:val="center"/>
      </w:pPr>
      <w:r>
        <w:rPr>
          <w:color w:val="555555"/>
          <w:sz w:val="24"/>
        </w:rPr>
        <w:t>Mars 2026</w:t>
      </w:r>
    </w:p>
    <w:p>
      <w:r>
        <w:br w:type="page"/>
      </w:r>
    </w:p>
    <w:p>
      <w:pPr>
        <w:spacing w:before="400" w:after="120"/>
        <w:pBdr>
          <w:bottom w:val="single" w:sz="6" w:space="1" w:color="1A56BB"/>
        </w:pBdr>
      </w:pPr>
      <w:r>
        <w:rPr>
          <w:b/>
          <w:color w:val="0B1F4B"/>
          <w:sz w:val="32"/>
        </w:rPr>
        <w:t>1.  Problème Ciblé</w:t>
      </w:r>
    </w:p>
    <w:p>
      <w:pPr>
        <w:spacing w:before="280" w:after="80"/>
      </w:pPr>
      <w:r>
        <w:rPr>
          <w:b/>
          <w:color w:val="1A56BB"/>
          <w:sz w:val="26"/>
        </w:rPr>
        <w:t>Quel problème réel résolvez-vous ?</w:t>
      </w:r>
    </w:p>
    <w:p>
      <w:pPr>
        <w:spacing w:before="40" w:after="80"/>
      </w:pPr>
      <w:r>
        <w:rPr>
          <w:b w:val="0"/>
          <w:i w:val="0"/>
          <w:sz w:val="22"/>
        </w:rPr>
        <w:t>Les petites et moyennes structures — entreprises, laboratoires, écoles — ont besoin d'un contrôle d'accès plus fiable qu'un simple code PIN ou une carte magnétique. Pourtant, les solutions biométriques industrielles restent inaccessibles : coûteuses, complexes à déployer et dépendantes de serveurs centraux.</w:t>
      </w:r>
    </w:p>
    <w:p>
      <w:pPr>
        <w:spacing w:before="40" w:after="80"/>
      </w:pPr>
      <w:r>
        <w:rPr>
          <w:b/>
          <w:i w:val="0"/>
          <w:sz w:val="22"/>
        </w:rPr>
        <w:t>Les problèmes concrets sont :</w:t>
      </w:r>
    </w:p>
    <w:p>
      <w:pPr>
        <w:pStyle w:val="ListBullet"/>
        <w:ind w:left="283"/>
      </w:pPr>
      <w:r>
        <w:rPr>
          <w:sz w:val="22"/>
        </w:rPr>
        <w:t>Le partage ou la divulgation d'un code PIN compromet immédiatement la sécurité.</w:t>
      </w:r>
    </w:p>
    <w:p>
      <w:pPr>
        <w:pStyle w:val="ListBullet"/>
        <w:ind w:left="283"/>
      </w:pPr>
      <w:r>
        <w:rPr>
          <w:sz w:val="22"/>
        </w:rPr>
        <w:t>L'absence de traçabilité empêche tout audit en cas d'incident.</w:t>
      </w:r>
    </w:p>
    <w:p>
      <w:pPr>
        <w:pStyle w:val="ListBullet"/>
        <w:ind w:left="283"/>
      </w:pPr>
      <w:r>
        <w:rPr>
          <w:sz w:val="22"/>
        </w:rPr>
        <w:t>Les solutions professionnelles existantes coûtent plusieurs milliers de dollars et nécessitent un intégrateur spécialisé.</w:t>
      </w:r>
    </w:p>
    <w:p>
      <w:pPr>
        <w:pStyle w:val="ListBullet"/>
        <w:ind w:left="283"/>
      </w:pPr>
      <w:r>
        <w:rPr>
          <w:sz w:val="22"/>
        </w:rPr>
        <w:t>Les systèmes bon marché n'offrent ni supervision distante ni résistance aux pannes réseau.</w:t>
      </w:r>
    </w:p>
    <w:p/>
    <w:p>
      <w:pPr>
        <w:spacing w:before="40" w:after="80"/>
      </w:pPr>
      <w:r>
        <w:rPr>
          <w:b w:val="0"/>
          <w:i w:val="0"/>
          <w:sz w:val="22"/>
        </w:rPr>
        <w:t>VeinGuard résout ce problème avec un système de contrôle d'accès biométrique embarqué, abordable et entièrement supervisable depuis un smartphone — sans dépendre d'un serveur central coûteux. La reconnaissance porte sur la paume et la géométrie des doigts, traitées localement sur un Raspberry Pi via un algorithme PalmCode déterministe et explicable.</w:t>
      </w:r>
    </w:p>
    <w:p>
      <w:pPr>
        <w:spacing w:before="400" w:after="120"/>
        <w:pBdr>
          <w:bottom w:val="single" w:sz="6" w:space="1" w:color="1A56BB"/>
        </w:pBdr>
      </w:pPr>
      <w:r>
        <w:rPr>
          <w:b/>
          <w:color w:val="0B1F4B"/>
          <w:sz w:val="32"/>
        </w:rPr>
        <w:t>2.  Client Cible</w:t>
      </w:r>
    </w:p>
    <w:p>
      <w:pPr>
        <w:spacing w:before="280" w:after="80"/>
      </w:pPr>
      <w:r>
        <w:rPr>
          <w:b/>
          <w:color w:val="1A56BB"/>
          <w:sz w:val="26"/>
        </w:rPr>
        <w:t>Qui achèterait ce produit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A56BB"/>
          </w:tcPr>
          <w:p>
            <w:pPr>
              <w:jc w:val="center"/>
            </w:pPr>
            <w:r>
              <w:rPr>
                <w:b/>
                <w:color w:val="FFFFFF"/>
                <w:sz w:val="20"/>
              </w:rPr>
              <w:t>Segment</w:t>
            </w:r>
          </w:p>
        </w:tc>
        <w:tc>
          <w:tcPr>
            <w:tcW w:type="dxa" w:w="3685"/>
            <w:shd w:val="clear" w:color="auto" w:fill="1A56BB"/>
          </w:tcPr>
          <w:p>
            <w:pPr>
              <w:jc w:val="center"/>
            </w:pPr>
            <w:r>
              <w:rPr>
                <w:b/>
                <w:color w:val="FFFFFF"/>
                <w:sz w:val="20"/>
              </w:rPr>
              <w:t>Profil</w:t>
            </w:r>
          </w:p>
        </w:tc>
        <w:tc>
          <w:tcPr>
            <w:tcW w:type="dxa" w:w="3402"/>
            <w:shd w:val="clear" w:color="auto" w:fill="1A56BB"/>
          </w:tcPr>
          <w:p>
            <w:pPr>
              <w:jc w:val="center"/>
            </w:pPr>
            <w:r>
              <w:rPr>
                <w:b/>
                <w:color w:val="FFFFFF"/>
                <w:sz w:val="20"/>
              </w:rPr>
              <w:t>Besoin principal</w:t>
            </w:r>
          </w:p>
        </w:tc>
      </w:tr>
      <w:tr>
        <w:tc>
          <w:tcPr>
            <w:tcW w:type="dxa" w:w="1984"/>
            <w:shd w:val="clear" w:color="auto" w:fill="E8EEF8"/>
          </w:tcPr>
          <w:p>
            <w:pPr>
              <w:jc w:val="left"/>
            </w:pPr>
            <w:r>
              <w:rPr>
                <w:sz w:val="20"/>
              </w:rPr>
              <w:t>PME &amp; Bureaux</w:t>
            </w:r>
          </w:p>
        </w:tc>
        <w:tc>
          <w:tcPr>
            <w:tcW w:type="dxa" w:w="3685"/>
            <w:shd w:val="clear" w:color="auto" w:fill="E8EEF8"/>
          </w:tcPr>
          <w:p>
            <w:pPr>
              <w:jc w:val="center"/>
            </w:pPr>
            <w:r>
              <w:rPr>
                <w:sz w:val="20"/>
              </w:rPr>
              <w:t>Entreprises gérant l'accès à des locaux sensibles (salle serveur, archives, réserve)</w:t>
            </w:r>
          </w:p>
        </w:tc>
        <w:tc>
          <w:tcPr>
            <w:tcW w:type="dxa" w:w="3402"/>
            <w:shd w:val="clear" w:color="auto" w:fill="E8EEF8"/>
          </w:tcPr>
          <w:p>
            <w:pPr>
              <w:jc w:val="center"/>
            </w:pPr>
            <w:r>
              <w:rPr>
                <w:sz w:val="20"/>
              </w:rPr>
              <w:t>Traçabilité + supervision mobile + aucun prestataire externe</w:t>
            </w:r>
          </w:p>
        </w:tc>
      </w:tr>
      <w:tr>
        <w:tc>
          <w:tcPr>
            <w:tcW w:type="dxa" w:w="1984"/>
            <w:shd w:val="clear" w:color="auto" w:fill="F7F9FC"/>
          </w:tcPr>
          <w:p>
            <w:pPr>
              <w:jc w:val="left"/>
            </w:pPr>
            <w:r>
              <w:rPr>
                <w:sz w:val="20"/>
              </w:rPr>
              <w:t>Secteur Éducatif</w:t>
            </w:r>
          </w:p>
        </w:tc>
        <w:tc>
          <w:tcPr>
            <w:tcW w:type="dxa" w:w="3685"/>
            <w:shd w:val="clear" w:color="auto" w:fill="F7F9FC"/>
          </w:tcPr>
          <w:p>
            <w:pPr>
              <w:jc w:val="center"/>
            </w:pPr>
            <w:r>
              <w:rPr>
                <w:sz w:val="20"/>
              </w:rPr>
              <w:t>Cégeps et écoles enseignant l'IoT, Python, la sécurité embarquée</w:t>
            </w:r>
          </w:p>
        </w:tc>
        <w:tc>
          <w:tcPr>
            <w:tcW w:type="dxa" w:w="3402"/>
            <w:shd w:val="clear" w:color="auto" w:fill="F7F9FC"/>
          </w:tcPr>
          <w:p>
            <w:pPr>
              <w:jc w:val="center"/>
            </w:pPr>
            <w:r>
              <w:rPr>
                <w:sz w:val="20"/>
              </w:rPr>
              <w:t>Kit pédagogique tout-en-un (Raspberry Pi, MQTT, biométrie, Firebase)</w:t>
            </w:r>
          </w:p>
        </w:tc>
      </w:tr>
      <w:tr>
        <w:tc>
          <w:tcPr>
            <w:tcW w:type="dxa" w:w="1984"/>
            <w:shd w:val="clear" w:color="auto" w:fill="E8EEF8"/>
          </w:tcPr>
          <w:p>
            <w:pPr>
              <w:jc w:val="left"/>
            </w:pPr>
            <w:r>
              <w:rPr>
                <w:sz w:val="20"/>
              </w:rPr>
              <w:t>Clubs &amp; Makerspaces</w:t>
            </w:r>
          </w:p>
        </w:tc>
        <w:tc>
          <w:tcPr>
            <w:tcW w:type="dxa" w:w="3685"/>
            <w:shd w:val="clear" w:color="auto" w:fill="E8EEF8"/>
          </w:tcPr>
          <w:p>
            <w:pPr>
              <w:jc w:val="center"/>
            </w:pPr>
            <w:r>
              <w:rPr>
                <w:sz w:val="20"/>
              </w:rPr>
              <w:t>Espaces partagés gérant l'accès à du matériel de valeur</w:t>
            </w:r>
          </w:p>
        </w:tc>
        <w:tc>
          <w:tcPr>
            <w:tcW w:type="dxa" w:w="3402"/>
            <w:shd w:val="clear" w:color="auto" w:fill="E8EEF8"/>
          </w:tcPr>
          <w:p>
            <w:pPr>
              <w:jc w:val="center"/>
            </w:pPr>
            <w:r>
              <w:rPr>
                <w:sz w:val="20"/>
              </w:rPr>
              <w:t>Déploiement simple, historique des entrées, app mobile intuitive</w:t>
            </w:r>
          </w:p>
        </w:tc>
      </w:tr>
      <w:tr>
        <w:tc>
          <w:tcPr>
            <w:tcW w:type="dxa" w:w="1984"/>
            <w:shd w:val="clear" w:color="auto" w:fill="F7F9FC"/>
          </w:tcPr>
          <w:p>
            <w:pPr>
              <w:jc w:val="left"/>
            </w:pPr>
            <w:r>
              <w:rPr>
                <w:sz w:val="20"/>
              </w:rPr>
              <w:t>Projets académiques</w:t>
            </w:r>
          </w:p>
        </w:tc>
        <w:tc>
          <w:tcPr>
            <w:tcW w:type="dxa" w:w="3685"/>
            <w:shd w:val="clear" w:color="auto" w:fill="F7F9FC"/>
          </w:tcPr>
          <w:p>
            <w:pPr>
              <w:jc w:val="center"/>
            </w:pPr>
            <w:r>
              <w:rPr>
                <w:sz w:val="20"/>
              </w:rPr>
              <w:t>Universités et cégeps cherchant un projet IoT de bout en bout démontrable</w:t>
            </w:r>
          </w:p>
        </w:tc>
        <w:tc>
          <w:tcPr>
            <w:tcW w:type="dxa" w:w="3402"/>
            <w:shd w:val="clear" w:color="auto" w:fill="F7F9FC"/>
          </w:tcPr>
          <w:p>
            <w:pPr>
              <w:jc w:val="center"/>
            </w:pPr>
            <w:r>
              <w:rPr>
                <w:sz w:val="20"/>
              </w:rPr>
              <w:t>Architecture claire, code documenté, biométrie explicable</w:t>
            </w:r>
          </w:p>
        </w:tc>
      </w:tr>
    </w:tbl>
    <w:p/>
    <w:p>
      <w:pPr>
        <w:spacing w:before="400" w:after="120"/>
        <w:pBdr>
          <w:bottom w:val="single" w:sz="6" w:space="1" w:color="1A56BB"/>
        </w:pBdr>
      </w:pPr>
      <w:r>
        <w:rPr>
          <w:b/>
          <w:color w:val="0B1F4B"/>
          <w:sz w:val="32"/>
        </w:rPr>
        <w:t>3.  Coût de Production Unitaire</w:t>
      </w:r>
    </w:p>
    <w:tbl>
      <w:tblPr>
        <w:tblStyle w:val="TableGrid"/>
        <w:tblW w:type="auto" w:w="0"/>
        <w:jc w:val="center"/>
        <w:tblLook w:firstColumn="1" w:firstRow="1" w:lastColumn="0" w:lastRow="0" w:noHBand="0" w:noVBand="1" w:val="04A0"/>
      </w:tblPr>
      <w:tblGrid>
        <w:gridCol w:w="3135"/>
        <w:gridCol w:w="3135"/>
        <w:gridCol w:w="3135"/>
      </w:tblGrid>
      <w:tr>
        <w:tc>
          <w:tcPr>
            <w:tcW w:type="dxa" w:w="4535"/>
            <w:shd w:val="clear" w:color="auto" w:fill="1A56BB"/>
          </w:tcPr>
          <w:p>
            <w:pPr>
              <w:jc w:val="center"/>
            </w:pPr>
            <w:r>
              <w:rPr>
                <w:b/>
                <w:color w:val="FFFFFF"/>
                <w:sz w:val="20"/>
              </w:rPr>
              <w:t>Composant</w:t>
            </w:r>
          </w:p>
        </w:tc>
        <w:tc>
          <w:tcPr>
            <w:tcW w:type="dxa" w:w="1984"/>
            <w:shd w:val="clear" w:color="auto" w:fill="1A56BB"/>
          </w:tcPr>
          <w:p>
            <w:pPr>
              <w:jc w:val="center"/>
            </w:pPr>
            <w:r>
              <w:rPr>
                <w:b/>
                <w:color w:val="FFFFFF"/>
                <w:sz w:val="20"/>
              </w:rPr>
              <w:t>Prototype</w:t>
            </w:r>
          </w:p>
        </w:tc>
        <w:tc>
          <w:tcPr>
            <w:tcW w:type="dxa" w:w="1984"/>
            <w:shd w:val="clear" w:color="auto" w:fill="1A56BB"/>
          </w:tcPr>
          <w:p>
            <w:pPr>
              <w:jc w:val="center"/>
            </w:pPr>
            <w:r>
              <w:rPr>
                <w:b/>
                <w:color w:val="FFFFFF"/>
                <w:sz w:val="20"/>
              </w:rPr>
              <w:t>Série estimée</w:t>
            </w:r>
          </w:p>
        </w:tc>
      </w:tr>
      <w:tr>
        <w:tc>
          <w:tcPr>
            <w:tcW w:type="dxa" w:w="4535"/>
            <w:shd w:val="clear" w:color="auto" w:fill="E8EEF8"/>
          </w:tcPr>
          <w:p>
            <w:pPr>
              <w:jc w:val="left"/>
            </w:pPr>
            <w:r>
              <w:rPr>
                <w:sz w:val="20"/>
              </w:rPr>
              <w:t>Raspberry Pi 5 (unité centrale + caméra)</w:t>
            </w:r>
          </w:p>
        </w:tc>
        <w:tc>
          <w:tcPr>
            <w:tcW w:type="dxa" w:w="1984"/>
            <w:shd w:val="clear" w:color="auto" w:fill="E8EEF8"/>
          </w:tcPr>
          <w:p>
            <w:pPr>
              <w:jc w:val="center"/>
            </w:pPr>
            <w:r>
              <w:rPr>
                <w:sz w:val="20"/>
              </w:rPr>
              <w:t>120,00 $</w:t>
            </w:r>
          </w:p>
        </w:tc>
        <w:tc>
          <w:tcPr>
            <w:tcW w:type="dxa" w:w="1984"/>
            <w:shd w:val="clear" w:color="auto" w:fill="E8EEF8"/>
          </w:tcPr>
          <w:p>
            <w:pPr>
              <w:jc w:val="center"/>
            </w:pPr>
            <w:r>
              <w:rPr>
                <w:sz w:val="20"/>
              </w:rPr>
              <w:t>65,00 $</w:t>
            </w:r>
          </w:p>
        </w:tc>
      </w:tr>
      <w:tr>
        <w:tc>
          <w:tcPr>
            <w:tcW w:type="dxa" w:w="4535"/>
            <w:shd w:val="clear" w:color="auto" w:fill="F7F9FC"/>
          </w:tcPr>
          <w:p>
            <w:pPr>
              <w:jc w:val="left"/>
            </w:pPr>
            <w:r>
              <w:rPr>
                <w:sz w:val="20"/>
              </w:rPr>
              <w:t>Capteur de lumière + LCD I2C 16×2</w:t>
            </w:r>
          </w:p>
        </w:tc>
        <w:tc>
          <w:tcPr>
            <w:tcW w:type="dxa" w:w="1984"/>
            <w:shd w:val="clear" w:color="auto" w:fill="F7F9FC"/>
          </w:tcPr>
          <w:p>
            <w:pPr>
              <w:jc w:val="center"/>
            </w:pPr>
            <w:r>
              <w:rPr>
                <w:sz w:val="20"/>
              </w:rPr>
              <w:t xml:space="preserve"> 13,00 $</w:t>
            </w:r>
          </w:p>
        </w:tc>
        <w:tc>
          <w:tcPr>
            <w:tcW w:type="dxa" w:w="1984"/>
            <w:shd w:val="clear" w:color="auto" w:fill="F7F9FC"/>
          </w:tcPr>
          <w:p>
            <w:pPr>
              <w:jc w:val="center"/>
            </w:pPr>
            <w:r>
              <w:rPr>
                <w:sz w:val="20"/>
              </w:rPr>
              <w:t xml:space="preserve"> 8,00 $</w:t>
            </w:r>
          </w:p>
        </w:tc>
      </w:tr>
      <w:tr>
        <w:tc>
          <w:tcPr>
            <w:tcW w:type="dxa" w:w="4535"/>
            <w:shd w:val="clear" w:color="auto" w:fill="E8EEF8"/>
          </w:tcPr>
          <w:p>
            <w:pPr>
              <w:jc w:val="left"/>
            </w:pPr>
            <w:r>
              <w:rPr>
                <w:sz w:val="20"/>
              </w:rPr>
              <w:t>LEDs, résistances, buzzer, câblage</w:t>
            </w:r>
          </w:p>
        </w:tc>
        <w:tc>
          <w:tcPr>
            <w:tcW w:type="dxa" w:w="1984"/>
            <w:shd w:val="clear" w:color="auto" w:fill="E8EEF8"/>
          </w:tcPr>
          <w:p>
            <w:pPr>
              <w:jc w:val="center"/>
            </w:pPr>
            <w:r>
              <w:rPr>
                <w:sz w:val="20"/>
              </w:rPr>
              <w:t xml:space="preserve">  8,00 $</w:t>
            </w:r>
          </w:p>
        </w:tc>
        <w:tc>
          <w:tcPr>
            <w:tcW w:type="dxa" w:w="1984"/>
            <w:shd w:val="clear" w:color="auto" w:fill="E8EEF8"/>
          </w:tcPr>
          <w:p>
            <w:pPr>
              <w:jc w:val="center"/>
            </w:pPr>
            <w:r>
              <w:rPr>
                <w:sz w:val="20"/>
              </w:rPr>
              <w:t xml:space="preserve"> 5,00 $</w:t>
            </w:r>
          </w:p>
        </w:tc>
      </w:tr>
      <w:tr>
        <w:tc>
          <w:tcPr>
            <w:tcW w:type="dxa" w:w="4535"/>
            <w:shd w:val="clear" w:color="auto" w:fill="F7F9FC"/>
          </w:tcPr>
          <w:p>
            <w:pPr>
              <w:jc w:val="left"/>
            </w:pPr>
            <w:r>
              <w:rPr>
                <w:sz w:val="20"/>
              </w:rPr>
              <w:t>Alimentation (bloc 5 V / 5 A)</w:t>
            </w:r>
          </w:p>
        </w:tc>
        <w:tc>
          <w:tcPr>
            <w:tcW w:type="dxa" w:w="1984"/>
            <w:shd w:val="clear" w:color="auto" w:fill="F7F9FC"/>
          </w:tcPr>
          <w:p>
            <w:pPr>
              <w:jc w:val="center"/>
            </w:pPr>
            <w:r>
              <w:rPr>
                <w:sz w:val="20"/>
              </w:rPr>
              <w:t xml:space="preserve"> 15,00 $</w:t>
            </w:r>
          </w:p>
        </w:tc>
        <w:tc>
          <w:tcPr>
            <w:tcW w:type="dxa" w:w="1984"/>
            <w:shd w:val="clear" w:color="auto" w:fill="F7F9FC"/>
          </w:tcPr>
          <w:p>
            <w:pPr>
              <w:jc w:val="center"/>
            </w:pPr>
            <w:r>
              <w:rPr>
                <w:sz w:val="20"/>
              </w:rPr>
              <w:t xml:space="preserve"> 8,00 $</w:t>
            </w:r>
          </w:p>
        </w:tc>
      </w:tr>
      <w:tr>
        <w:tc>
          <w:tcPr>
            <w:tcW w:type="dxa" w:w="4535"/>
            <w:shd w:val="clear" w:color="auto" w:fill="E8EEF8"/>
          </w:tcPr>
          <w:p>
            <w:pPr>
              <w:jc w:val="left"/>
            </w:pPr>
            <w:r>
              <w:rPr>
                <w:sz w:val="20"/>
              </w:rPr>
              <w:t>Boîtier (impression 3D → moule injection)</w:t>
            </w:r>
          </w:p>
        </w:tc>
        <w:tc>
          <w:tcPr>
            <w:tcW w:type="dxa" w:w="1984"/>
            <w:shd w:val="clear" w:color="auto" w:fill="E8EEF8"/>
          </w:tcPr>
          <w:p>
            <w:pPr>
              <w:jc w:val="center"/>
            </w:pPr>
            <w:r>
              <w:rPr>
                <w:sz w:val="20"/>
              </w:rPr>
              <w:t xml:space="preserve"> 20,00 $</w:t>
            </w:r>
          </w:p>
        </w:tc>
        <w:tc>
          <w:tcPr>
            <w:tcW w:type="dxa" w:w="1984"/>
            <w:shd w:val="clear" w:color="auto" w:fill="E8EEF8"/>
          </w:tcPr>
          <w:p>
            <w:pPr>
              <w:jc w:val="center"/>
            </w:pPr>
            <w:r>
              <w:rPr>
                <w:sz w:val="20"/>
              </w:rPr>
              <w:t>12,00 $</w:t>
            </w:r>
          </w:p>
        </w:tc>
      </w:tr>
      <w:tr>
        <w:tc>
          <w:tcPr>
            <w:tcW w:type="dxa" w:w="4535"/>
            <w:shd w:val="clear" w:color="auto" w:fill="C9D9F5"/>
          </w:tcPr>
          <w:p>
            <w:pPr>
              <w:jc w:val="left"/>
            </w:pPr>
            <w:r>
              <w:rPr>
                <w:b/>
                <w:sz w:val="20"/>
              </w:rPr>
              <w:t>TOTAL COÛT UNITAIRE</w:t>
            </w:r>
          </w:p>
        </w:tc>
        <w:tc>
          <w:tcPr>
            <w:tcW w:type="dxa" w:w="1984"/>
            <w:shd w:val="clear" w:color="auto" w:fill="C9D9F5"/>
          </w:tcPr>
          <w:p>
            <w:pPr>
              <w:jc w:val="center"/>
            </w:pPr>
            <w:r>
              <w:rPr>
                <w:b/>
                <w:sz w:val="20"/>
              </w:rPr>
              <w:t>176,00 $ CAD</w:t>
            </w:r>
          </w:p>
        </w:tc>
        <w:tc>
          <w:tcPr>
            <w:tcW w:type="dxa" w:w="1984"/>
            <w:shd w:val="clear" w:color="auto" w:fill="C9D9F5"/>
          </w:tcPr>
          <w:p>
            <w:pPr>
              <w:jc w:val="center"/>
            </w:pPr>
            <w:r>
              <w:rPr>
                <w:b/>
                <w:sz w:val="20"/>
              </w:rPr>
              <w:t>98,00 $ CAD</w:t>
            </w:r>
          </w:p>
        </w:tc>
      </w:tr>
    </w:tbl>
    <w:p/>
    <w:p>
      <w:pPr>
        <w:spacing w:before="40" w:after="80"/>
      </w:pPr>
      <w:r>
        <w:rPr>
          <w:b w:val="0"/>
          <w:i/>
          <w:sz w:val="22"/>
        </w:rPr>
        <w:t>Note : Le coût prototype reflète les prix au détail unitaire. En production série, les achats en volume réduisent le coût unitaire de 44 %. Le Raspberry Pi représente la majorité du coût matériel — des négociations avec des distributeurs agréés permettront de descendre sous les 65 $ / unité.</w:t>
      </w:r>
    </w:p>
    <w:p>
      <w:pPr>
        <w:spacing w:before="400" w:after="120"/>
        <w:pBdr>
          <w:bottom w:val="single" w:sz="6" w:space="1" w:color="1A56BB"/>
        </w:pBdr>
      </w:pPr>
      <w:r>
        <w:rPr>
          <w:b/>
          <w:color w:val="0B1F4B"/>
          <w:sz w:val="32"/>
        </w:rPr>
        <w:t>4.  Prix de Vente Proposé</w:t>
      </w:r>
    </w:p>
    <w:p>
      <w:pPr>
        <w:jc w:val="center"/>
      </w:pPr>
      <w:r>
        <w:rPr>
          <w:b/>
          <w:color w:val="0B1F4B"/>
          <w:sz w:val="52"/>
        </w:rPr>
        <w:t>249,99 $ CAD</w:t>
      </w:r>
    </w:p>
    <w:p/>
    <w:p>
      <w:pPr>
        <w:spacing w:before="40" w:after="80"/>
      </w:pPr>
      <w:r>
        <w:rPr>
          <w:b/>
          <w:i w:val="0"/>
          <w:sz w:val="22"/>
        </w:rPr>
        <w:t>Prix psychologique</w:t>
      </w:r>
    </w:p>
    <w:p>
      <w:pPr>
        <w:spacing w:before="40" w:after="80"/>
      </w:pPr>
      <w:r>
        <w:rPr>
          <w:b w:val="0"/>
          <w:i w:val="0"/>
          <w:sz w:val="22"/>
        </w:rPr>
        <w:t>Le seuil de 249,99 $ positionne VeinGuard bien sous la barre des 250 $, tout en signalant un produit sérieux. Ce prix est cohérent avec un kit IoT académique premium ou un équipement de sécurité d'entrée de gamme professionnel.</w:t>
      </w:r>
    </w:p>
    <w:p>
      <w:pPr>
        <w:spacing w:before="40" w:after="80"/>
      </w:pPr>
      <w:r>
        <w:rPr>
          <w:b/>
          <w:i w:val="0"/>
          <w:sz w:val="22"/>
        </w:rPr>
        <w:t>Positionnement marché</w:t>
      </w:r>
    </w:p>
    <w:p>
      <w:pPr>
        <w:spacing w:before="40" w:after="80"/>
      </w:pPr>
      <w:r>
        <w:rPr>
          <w:b w:val="0"/>
          <w:i w:val="0"/>
          <w:sz w:val="22"/>
        </w:rPr>
        <w:t>VeinGuard n'est pas un gadget — c'est un système de contrôle d'accès complet et opérationnel. Il intègre un algorithme biométrique PalmCode propriétaire, une caméra Raspberry Pi, un protocole MQTT temps réel, une persistance SQLite locale résistante aux pannes réseau, une synchronisation Firebase et une application mobile iOS/Android. Ce positionnement "Sécurité Embarquée Accessible" justifie pleinement le prix demandé.</w:t>
      </w:r>
    </w:p>
    <w:p>
      <w:pPr>
        <w:spacing w:before="40" w:after="80"/>
      </w:pPr>
      <w:r>
        <w:rPr>
          <w:b/>
          <w:i w:val="0"/>
          <w:sz w:val="22"/>
        </w:rPr>
        <w:t>Concurrence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val="clear" w:color="auto" w:fill="1A56BB"/>
          </w:tcPr>
          <w:p>
            <w:pPr>
              <w:jc w:val="center"/>
            </w:pPr>
            <w:r>
              <w:rPr>
                <w:b/>
                <w:color w:val="FFFFFF"/>
                <w:sz w:val="20"/>
              </w:rPr>
              <w:t>Produit</w:t>
            </w:r>
          </w:p>
        </w:tc>
        <w:tc>
          <w:tcPr>
            <w:tcW w:type="dxa" w:w="1417"/>
            <w:shd w:val="clear" w:color="auto" w:fill="1A56BB"/>
          </w:tcPr>
          <w:p>
            <w:pPr>
              <w:jc w:val="center"/>
            </w:pPr>
            <w:r>
              <w:rPr>
                <w:b/>
                <w:color w:val="FFFFFF"/>
                <w:sz w:val="20"/>
              </w:rPr>
              <w:t>Prix</w:t>
            </w:r>
          </w:p>
        </w:tc>
        <w:tc>
          <w:tcPr>
            <w:tcW w:type="dxa" w:w="1701"/>
            <w:shd w:val="clear" w:color="auto" w:fill="1A56BB"/>
          </w:tcPr>
          <w:p>
            <w:pPr>
              <w:jc w:val="center"/>
            </w:pPr>
            <w:r>
              <w:rPr>
                <w:b/>
                <w:color w:val="FFFFFF"/>
                <w:sz w:val="20"/>
              </w:rPr>
              <w:t>Biométrie</w:t>
            </w:r>
          </w:p>
        </w:tc>
        <w:tc>
          <w:tcPr>
            <w:tcW w:type="dxa" w:w="1417"/>
            <w:shd w:val="clear" w:color="auto" w:fill="1A56BB"/>
          </w:tcPr>
          <w:p>
            <w:pPr>
              <w:jc w:val="center"/>
            </w:pPr>
            <w:r>
              <w:rPr>
                <w:b/>
                <w:color w:val="FFFFFF"/>
                <w:sz w:val="20"/>
              </w:rPr>
              <w:t>App mobile</w:t>
            </w:r>
          </w:p>
        </w:tc>
        <w:tc>
          <w:tcPr>
            <w:tcW w:type="dxa" w:w="1984"/>
            <w:shd w:val="clear" w:color="auto" w:fill="1A56BB"/>
          </w:tcPr>
          <w:p>
            <w:pPr>
              <w:jc w:val="center"/>
            </w:pPr>
            <w:r>
              <w:rPr>
                <w:b/>
                <w:color w:val="FFFFFF"/>
                <w:sz w:val="20"/>
              </w:rPr>
              <w:t>Supervision distante</w:t>
            </w:r>
          </w:p>
        </w:tc>
      </w:tr>
      <w:tr>
        <w:tc>
          <w:tcPr>
            <w:tcW w:type="dxa" w:w="2551"/>
            <w:shd w:val="clear" w:color="auto" w:fill="E8EEF8"/>
          </w:tcPr>
          <w:p>
            <w:pPr>
              <w:jc w:val="left"/>
            </w:pPr>
            <w:r>
              <w:rPr>
                <w:sz w:val="20"/>
              </w:rPr>
              <w:t>VeinGuard</w:t>
            </w:r>
          </w:p>
        </w:tc>
        <w:tc>
          <w:tcPr>
            <w:tcW w:type="dxa" w:w="1417"/>
            <w:shd w:val="clear" w:color="auto" w:fill="E8EEF8"/>
          </w:tcPr>
          <w:p>
            <w:pPr>
              <w:jc w:val="center"/>
            </w:pPr>
            <w:r>
              <w:rPr>
                <w:sz w:val="20"/>
              </w:rPr>
              <w:t>249,99 $</w:t>
            </w:r>
          </w:p>
        </w:tc>
        <w:tc>
          <w:tcPr>
            <w:tcW w:type="dxa" w:w="1701"/>
            <w:shd w:val="clear" w:color="auto" w:fill="E8EEF8"/>
          </w:tcPr>
          <w:p>
            <w:pPr>
              <w:jc w:val="center"/>
            </w:pPr>
            <w:r>
              <w:rPr>
                <w:sz w:val="20"/>
              </w:rPr>
              <w:t>Oui (paume)</w:t>
            </w:r>
          </w:p>
        </w:tc>
        <w:tc>
          <w:tcPr>
            <w:tcW w:type="dxa" w:w="1417"/>
            <w:shd w:val="clear" w:color="auto" w:fill="E8EEF8"/>
          </w:tcPr>
          <w:p>
            <w:pPr>
              <w:jc w:val="center"/>
            </w:pPr>
            <w:r>
              <w:rPr>
                <w:sz w:val="20"/>
              </w:rPr>
              <w:t>Oui</w:t>
            </w:r>
          </w:p>
        </w:tc>
        <w:tc>
          <w:tcPr>
            <w:tcW w:type="dxa" w:w="1984"/>
            <w:shd w:val="clear" w:color="auto" w:fill="E8EEF8"/>
          </w:tcPr>
          <w:p>
            <w:pPr>
              <w:jc w:val="center"/>
            </w:pPr>
            <w:r>
              <w:rPr>
                <w:sz w:val="20"/>
              </w:rPr>
              <w:t>Oui</w:t>
            </w:r>
          </w:p>
        </w:tc>
      </w:tr>
      <w:tr>
        <w:tc>
          <w:tcPr>
            <w:tcW w:type="dxa" w:w="2551"/>
            <w:shd w:val="clear" w:color="auto" w:fill="F7F9FC"/>
          </w:tcPr>
          <w:p>
            <w:pPr>
              <w:jc w:val="left"/>
            </w:pPr>
            <w:r>
              <w:rPr>
                <w:sz w:val="20"/>
              </w:rPr>
              <w:t>HID iCLASS SE</w:t>
            </w:r>
          </w:p>
        </w:tc>
        <w:tc>
          <w:tcPr>
            <w:tcW w:type="dxa" w:w="1417"/>
            <w:shd w:val="clear" w:color="auto" w:fill="F7F9FC"/>
          </w:tcPr>
          <w:p>
            <w:pPr>
              <w:jc w:val="center"/>
            </w:pPr>
            <w:r>
              <w:rPr>
                <w:sz w:val="20"/>
              </w:rPr>
              <w:t>~800 $</w:t>
            </w:r>
          </w:p>
        </w:tc>
        <w:tc>
          <w:tcPr>
            <w:tcW w:type="dxa" w:w="1701"/>
            <w:shd w:val="clear" w:color="auto" w:fill="F7F9FC"/>
          </w:tcPr>
          <w:p>
            <w:pPr>
              <w:jc w:val="center"/>
            </w:pPr>
            <w:r>
              <w:rPr>
                <w:sz w:val="20"/>
              </w:rPr>
              <w:t>Non</w:t>
            </w:r>
          </w:p>
        </w:tc>
        <w:tc>
          <w:tcPr>
            <w:tcW w:type="dxa" w:w="1417"/>
            <w:shd w:val="clear" w:color="auto" w:fill="F7F9FC"/>
          </w:tcPr>
          <w:p>
            <w:pPr>
              <w:jc w:val="center"/>
            </w:pPr>
            <w:r>
              <w:rPr>
                <w:sz w:val="20"/>
              </w:rPr>
              <w:t>Non</w:t>
            </w:r>
          </w:p>
        </w:tc>
        <w:tc>
          <w:tcPr>
            <w:tcW w:type="dxa" w:w="1984"/>
            <w:shd w:val="clear" w:color="auto" w:fill="F7F9FC"/>
          </w:tcPr>
          <w:p>
            <w:pPr>
              <w:jc w:val="center"/>
            </w:pPr>
            <w:r>
              <w:rPr>
                <w:sz w:val="20"/>
              </w:rPr>
              <w:t>Partielle</w:t>
            </w:r>
          </w:p>
        </w:tc>
      </w:tr>
      <w:tr>
        <w:tc>
          <w:tcPr>
            <w:tcW w:type="dxa" w:w="2551"/>
            <w:shd w:val="clear" w:color="auto" w:fill="E8EEF8"/>
          </w:tcPr>
          <w:p>
            <w:pPr>
              <w:jc w:val="left"/>
            </w:pPr>
            <w:r>
              <w:rPr>
                <w:sz w:val="20"/>
              </w:rPr>
              <w:t>ZKTeco MB10VL</w:t>
            </w:r>
          </w:p>
        </w:tc>
        <w:tc>
          <w:tcPr>
            <w:tcW w:type="dxa" w:w="1417"/>
            <w:shd w:val="clear" w:color="auto" w:fill="E8EEF8"/>
          </w:tcPr>
          <w:p>
            <w:pPr>
              <w:jc w:val="center"/>
            </w:pPr>
            <w:r>
              <w:rPr>
                <w:sz w:val="20"/>
              </w:rPr>
              <w:t>~350 $</w:t>
            </w:r>
          </w:p>
        </w:tc>
        <w:tc>
          <w:tcPr>
            <w:tcW w:type="dxa" w:w="1701"/>
            <w:shd w:val="clear" w:color="auto" w:fill="E8EEF8"/>
          </w:tcPr>
          <w:p>
            <w:pPr>
              <w:jc w:val="center"/>
            </w:pPr>
            <w:r>
              <w:rPr>
                <w:sz w:val="20"/>
              </w:rPr>
              <w:t>Veines main</w:t>
            </w:r>
          </w:p>
        </w:tc>
        <w:tc>
          <w:tcPr>
            <w:tcW w:type="dxa" w:w="1417"/>
            <w:shd w:val="clear" w:color="auto" w:fill="E8EEF8"/>
          </w:tcPr>
          <w:p>
            <w:pPr>
              <w:jc w:val="center"/>
            </w:pPr>
            <w:r>
              <w:rPr>
                <w:sz w:val="20"/>
              </w:rPr>
              <w:t>Non</w:t>
            </w:r>
          </w:p>
        </w:tc>
        <w:tc>
          <w:tcPr>
            <w:tcW w:type="dxa" w:w="1984"/>
            <w:shd w:val="clear" w:color="auto" w:fill="E8EEF8"/>
          </w:tcPr>
          <w:p>
            <w:pPr>
              <w:jc w:val="center"/>
            </w:pPr>
            <w:r>
              <w:rPr>
                <w:sz w:val="20"/>
              </w:rPr>
              <w:t>Non</w:t>
            </w:r>
          </w:p>
        </w:tc>
      </w:tr>
      <w:tr>
        <w:tc>
          <w:tcPr>
            <w:tcW w:type="dxa" w:w="2551"/>
            <w:shd w:val="clear" w:color="auto" w:fill="F7F9FC"/>
          </w:tcPr>
          <w:p>
            <w:pPr>
              <w:jc w:val="left"/>
            </w:pPr>
            <w:r>
              <w:rPr>
                <w:sz w:val="20"/>
              </w:rPr>
              <w:t>Raspberry Pi + badge DIY</w:t>
            </w:r>
          </w:p>
        </w:tc>
        <w:tc>
          <w:tcPr>
            <w:tcW w:type="dxa" w:w="1417"/>
            <w:shd w:val="clear" w:color="auto" w:fill="F7F9FC"/>
          </w:tcPr>
          <w:p>
            <w:pPr>
              <w:jc w:val="center"/>
            </w:pPr>
            <w:r>
              <w:rPr>
                <w:sz w:val="20"/>
              </w:rPr>
              <w:t>~60 $</w:t>
            </w:r>
          </w:p>
        </w:tc>
        <w:tc>
          <w:tcPr>
            <w:tcW w:type="dxa" w:w="1701"/>
            <w:shd w:val="clear" w:color="auto" w:fill="F7F9FC"/>
          </w:tcPr>
          <w:p>
            <w:pPr>
              <w:jc w:val="center"/>
            </w:pPr>
            <w:r>
              <w:rPr>
                <w:sz w:val="20"/>
              </w:rPr>
              <w:t>Non</w:t>
            </w:r>
          </w:p>
        </w:tc>
        <w:tc>
          <w:tcPr>
            <w:tcW w:type="dxa" w:w="1417"/>
            <w:shd w:val="clear" w:color="auto" w:fill="F7F9FC"/>
          </w:tcPr>
          <w:p>
            <w:pPr>
              <w:jc w:val="center"/>
            </w:pPr>
            <w:r>
              <w:rPr>
                <w:sz w:val="20"/>
              </w:rPr>
              <w:t>Non</w:t>
            </w:r>
          </w:p>
        </w:tc>
        <w:tc>
          <w:tcPr>
            <w:tcW w:type="dxa" w:w="1984"/>
            <w:shd w:val="clear" w:color="auto" w:fill="F7F9FC"/>
          </w:tcPr>
          <w:p>
            <w:pPr>
              <w:jc w:val="center"/>
            </w:pPr>
            <w:r>
              <w:rPr>
                <w:sz w:val="20"/>
              </w:rPr>
              <w:t>Non</w:t>
            </w:r>
          </w:p>
        </w:tc>
      </w:tr>
    </w:tbl>
    <w:p/>
    <w:p>
      <w:pPr>
        <w:spacing w:before="400" w:after="120"/>
        <w:pBdr>
          <w:bottom w:val="single" w:sz="6" w:space="1" w:color="1A56BB"/>
        </w:pBdr>
      </w:pPr>
      <w:r>
        <w:rPr>
          <w:b/>
          <w:color w:val="0B1F4B"/>
          <w:sz w:val="32"/>
        </w:rPr>
        <w:t>5.  Marge de Profit</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val="clear" w:color="auto" w:fill="1A56BB"/>
          </w:tcPr>
          <w:p>
            <w:pPr>
              <w:jc w:val="center"/>
            </w:pPr>
            <w:r>
              <w:rPr>
                <w:b/>
                <w:color w:val="FFFFFF"/>
                <w:sz w:val="20"/>
              </w:rPr>
              <w:t>Indicateur</w:t>
            </w:r>
          </w:p>
        </w:tc>
        <w:tc>
          <w:tcPr>
            <w:tcW w:type="dxa" w:w="2268"/>
            <w:shd w:val="clear" w:color="auto" w:fill="1A56BB"/>
          </w:tcPr>
          <w:p>
            <w:pPr>
              <w:jc w:val="center"/>
            </w:pPr>
            <w:r>
              <w:rPr>
                <w:b/>
                <w:color w:val="FFFFFF"/>
                <w:sz w:val="20"/>
              </w:rPr>
              <w:t>Phase prototype</w:t>
            </w:r>
          </w:p>
        </w:tc>
        <w:tc>
          <w:tcPr>
            <w:tcW w:type="dxa" w:w="2835"/>
            <w:shd w:val="clear" w:color="auto" w:fill="1A56BB"/>
          </w:tcPr>
          <w:p>
            <w:pPr>
              <w:jc w:val="center"/>
            </w:pPr>
            <w:r>
              <w:rPr>
                <w:b/>
                <w:color w:val="FFFFFF"/>
                <w:sz w:val="20"/>
              </w:rPr>
              <w:t>Production série</w:t>
            </w:r>
          </w:p>
        </w:tc>
      </w:tr>
      <w:tr>
        <w:tc>
          <w:tcPr>
            <w:tcW w:type="dxa" w:w="3969"/>
            <w:shd w:val="clear" w:color="auto" w:fill="E8EEF8"/>
          </w:tcPr>
          <w:p>
            <w:pPr>
              <w:jc w:val="left"/>
            </w:pPr>
            <w:r>
              <w:rPr>
                <w:sz w:val="20"/>
              </w:rPr>
              <w:t>Prix de vente</w:t>
            </w:r>
          </w:p>
        </w:tc>
        <w:tc>
          <w:tcPr>
            <w:tcW w:type="dxa" w:w="2268"/>
            <w:shd w:val="clear" w:color="auto" w:fill="E8EEF8"/>
          </w:tcPr>
          <w:p>
            <w:pPr>
              <w:jc w:val="center"/>
            </w:pPr>
            <w:r>
              <w:rPr>
                <w:sz w:val="20"/>
              </w:rPr>
              <w:t>249,99 $</w:t>
            </w:r>
          </w:p>
        </w:tc>
        <w:tc>
          <w:tcPr>
            <w:tcW w:type="dxa" w:w="2835"/>
            <w:shd w:val="clear" w:color="auto" w:fill="E8EEF8"/>
          </w:tcPr>
          <w:p>
            <w:pPr>
              <w:jc w:val="center"/>
            </w:pPr>
            <w:r>
              <w:rPr>
                <w:sz w:val="20"/>
              </w:rPr>
              <w:t>249,99 $</w:t>
            </w:r>
          </w:p>
        </w:tc>
      </w:tr>
      <w:tr>
        <w:tc>
          <w:tcPr>
            <w:tcW w:type="dxa" w:w="3969"/>
            <w:shd w:val="clear" w:color="auto" w:fill="F7F9FC"/>
          </w:tcPr>
          <w:p>
            <w:pPr>
              <w:jc w:val="left"/>
            </w:pPr>
            <w:r>
              <w:rPr>
                <w:sz w:val="20"/>
              </w:rPr>
              <w:t>Coût de production unitaire</w:t>
            </w:r>
          </w:p>
        </w:tc>
        <w:tc>
          <w:tcPr>
            <w:tcW w:type="dxa" w:w="2268"/>
            <w:shd w:val="clear" w:color="auto" w:fill="F7F9FC"/>
          </w:tcPr>
          <w:p>
            <w:pPr>
              <w:jc w:val="center"/>
            </w:pPr>
            <w:r>
              <w:rPr>
                <w:sz w:val="20"/>
              </w:rPr>
              <w:t>176,00 $</w:t>
            </w:r>
          </w:p>
        </w:tc>
        <w:tc>
          <w:tcPr>
            <w:tcW w:type="dxa" w:w="2835"/>
            <w:shd w:val="clear" w:color="auto" w:fill="F7F9FC"/>
          </w:tcPr>
          <w:p>
            <w:pPr>
              <w:jc w:val="center"/>
            </w:pPr>
            <w:r>
              <w:rPr>
                <w:sz w:val="20"/>
              </w:rPr>
              <w:t xml:space="preserve"> 98,00 $</w:t>
            </w:r>
          </w:p>
        </w:tc>
      </w:tr>
      <w:tr>
        <w:tc>
          <w:tcPr>
            <w:tcW w:type="dxa" w:w="3969"/>
            <w:shd w:val="clear" w:color="auto" w:fill="E8EEF8"/>
          </w:tcPr>
          <w:p>
            <w:pPr>
              <w:jc w:val="left"/>
            </w:pPr>
            <w:r>
              <w:rPr>
                <w:sz w:val="20"/>
              </w:rPr>
              <w:t>Profit unitaire</w:t>
            </w:r>
          </w:p>
        </w:tc>
        <w:tc>
          <w:tcPr>
            <w:tcW w:type="dxa" w:w="2268"/>
            <w:shd w:val="clear" w:color="auto" w:fill="E8EEF8"/>
          </w:tcPr>
          <w:p>
            <w:pPr>
              <w:jc w:val="center"/>
            </w:pPr>
            <w:r>
              <w:rPr>
                <w:sz w:val="20"/>
              </w:rPr>
              <w:t xml:space="preserve"> 73,99 $</w:t>
            </w:r>
          </w:p>
        </w:tc>
        <w:tc>
          <w:tcPr>
            <w:tcW w:type="dxa" w:w="2835"/>
            <w:shd w:val="clear" w:color="auto" w:fill="E8EEF8"/>
          </w:tcPr>
          <w:p>
            <w:pPr>
              <w:jc w:val="center"/>
            </w:pPr>
            <w:r>
              <w:rPr>
                <w:sz w:val="20"/>
              </w:rPr>
              <w:t>151,99 $</w:t>
            </w:r>
          </w:p>
        </w:tc>
      </w:tr>
      <w:tr>
        <w:tc>
          <w:tcPr>
            <w:tcW w:type="dxa" w:w="3969"/>
            <w:shd w:val="clear" w:color="auto" w:fill="F7F9FC"/>
          </w:tcPr>
          <w:p>
            <w:pPr>
              <w:jc w:val="left"/>
            </w:pPr>
            <w:r>
              <w:rPr>
                <w:sz w:val="20"/>
              </w:rPr>
              <w:t>Marge brute</w:t>
            </w:r>
          </w:p>
        </w:tc>
        <w:tc>
          <w:tcPr>
            <w:tcW w:type="dxa" w:w="2268"/>
            <w:shd w:val="clear" w:color="auto" w:fill="F7F9FC"/>
          </w:tcPr>
          <w:p>
            <w:pPr>
              <w:jc w:val="center"/>
            </w:pPr>
            <w:r>
              <w:rPr>
                <w:sz w:val="20"/>
              </w:rPr>
              <w:t xml:space="preserve">    30 %</w:t>
            </w:r>
          </w:p>
        </w:tc>
        <w:tc>
          <w:tcPr>
            <w:tcW w:type="dxa" w:w="2835"/>
            <w:shd w:val="clear" w:color="auto" w:fill="F7F9FC"/>
          </w:tcPr>
          <w:p>
            <w:pPr>
              <w:jc w:val="center"/>
            </w:pPr>
            <w:r>
              <w:rPr>
                <w:sz w:val="20"/>
              </w:rPr>
              <w:t xml:space="preserve">    61 %</w:t>
            </w:r>
          </w:p>
        </w:tc>
      </w:tr>
      <w:tr>
        <w:tc>
          <w:tcPr>
            <w:tcW w:type="dxa" w:w="3969"/>
            <w:shd w:val="clear" w:color="auto" w:fill="E8EEF8"/>
          </w:tcPr>
          <w:p>
            <w:pPr>
              <w:jc w:val="left"/>
            </w:pPr>
            <w:r>
              <w:rPr>
                <w:sz w:val="20"/>
              </w:rPr>
              <w:t>Projection — 500 unités (série)</w:t>
            </w:r>
          </w:p>
        </w:tc>
        <w:tc>
          <w:tcPr>
            <w:tcW w:type="dxa" w:w="2268"/>
            <w:shd w:val="clear" w:color="auto" w:fill="E8EEF8"/>
          </w:tcPr>
          <w:p>
            <w:pPr>
              <w:jc w:val="center"/>
            </w:pPr>
            <w:r>
              <w:rPr>
                <w:sz w:val="20"/>
              </w:rPr>
              <w:t>—</w:t>
            </w:r>
          </w:p>
        </w:tc>
        <w:tc>
          <w:tcPr>
            <w:tcW w:type="dxa" w:w="2835"/>
            <w:shd w:val="clear" w:color="auto" w:fill="E8EEF8"/>
          </w:tcPr>
          <w:p>
            <w:pPr>
              <w:jc w:val="center"/>
            </w:pPr>
            <w:r>
              <w:rPr>
                <w:sz w:val="20"/>
              </w:rPr>
              <w:t>75 995,00 $ CAD</w:t>
            </w:r>
          </w:p>
        </w:tc>
      </w:tr>
    </w:tbl>
    <w:p/>
    <w:p>
      <w:pPr>
        <w:spacing w:before="400" w:after="120"/>
        <w:pBdr>
          <w:bottom w:val="single" w:sz="6" w:space="1" w:color="1A56BB"/>
        </w:pBdr>
      </w:pPr>
      <w:r>
        <w:rPr>
          <w:b/>
          <w:color w:val="0B1F4B"/>
          <w:sz w:val="32"/>
        </w:rPr>
        <w:t>6.  Investissement Demandé au Dragon</w:t>
      </w:r>
    </w:p>
    <w:p>
      <w:pPr>
        <w:spacing w:before="280" w:after="80"/>
      </w:pPr>
      <w:r>
        <w:rPr>
          <w:b/>
          <w:color w:val="1A56BB"/>
          <w:sz w:val="26"/>
        </w:rPr>
        <w:t>Combien demandez-vous ? Pour quel pourcentage ?</w:t>
      </w:r>
    </w:p>
    <w:p>
      <w:pPr>
        <w:jc w:val="center"/>
      </w:pPr>
      <w:r>
        <w:rPr>
          <w:b/>
          <w:color w:val="0B1F4B"/>
          <w:sz w:val="52"/>
        </w:rPr>
        <w:t>25 000 $</w:t>
      </w:r>
    </w:p>
    <w:p>
      <w:pPr>
        <w:jc w:val="center"/>
      </w:pPr>
      <w:r>
        <w:rPr>
          <w:color w:val="1A56BB"/>
          <w:sz w:val="26"/>
        </w:rPr>
        <w:t>pour 15 % des parts  —  Valorisation implicite : 166 666 $ CAD</w:t>
      </w:r>
    </w:p>
    <w:p/>
    <w:p>
      <w:pPr>
        <w:spacing w:before="280" w:after="80"/>
      </w:pPr>
      <w:r>
        <w:rPr>
          <w:b/>
          <w:color w:val="1A56BB"/>
          <w:sz w:val="26"/>
        </w:rPr>
        <w:t>À quoi servira l'investissement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1A56BB"/>
          </w:tcPr>
          <w:p>
            <w:pPr>
              <w:jc w:val="center"/>
            </w:pPr>
            <w:r>
              <w:rPr>
                <w:b/>
                <w:color w:val="FFFFFF"/>
                <w:sz w:val="20"/>
              </w:rPr>
              <w:t>#</w:t>
            </w:r>
          </w:p>
        </w:tc>
        <w:tc>
          <w:tcPr>
            <w:tcW w:type="dxa" w:w="4252"/>
            <w:shd w:val="clear" w:color="auto" w:fill="1A56BB"/>
          </w:tcPr>
          <w:p>
            <w:pPr>
              <w:jc w:val="center"/>
            </w:pPr>
            <w:r>
              <w:rPr>
                <w:b/>
                <w:color w:val="FFFFFF"/>
                <w:sz w:val="20"/>
              </w:rPr>
              <w:t>Poste budgétaire</w:t>
            </w:r>
          </w:p>
        </w:tc>
        <w:tc>
          <w:tcPr>
            <w:tcW w:type="dxa" w:w="1417"/>
            <w:shd w:val="clear" w:color="auto" w:fill="1A56BB"/>
          </w:tcPr>
          <w:p>
            <w:pPr>
              <w:jc w:val="center"/>
            </w:pPr>
            <w:r>
              <w:rPr>
                <w:b/>
                <w:color w:val="FFFFFF"/>
                <w:sz w:val="20"/>
              </w:rPr>
              <w:t>Montant</w:t>
            </w:r>
          </w:p>
        </w:tc>
        <w:tc>
          <w:tcPr>
            <w:tcW w:type="dxa" w:w="2835"/>
            <w:shd w:val="clear" w:color="auto" w:fill="1A56BB"/>
          </w:tcPr>
          <w:p>
            <w:pPr>
              <w:jc w:val="center"/>
            </w:pPr>
            <w:r>
              <w:rPr>
                <w:b/>
                <w:color w:val="FFFFFF"/>
                <w:sz w:val="20"/>
              </w:rPr>
              <w:t>Résultat visé</w:t>
            </w:r>
          </w:p>
        </w:tc>
      </w:tr>
      <w:tr>
        <w:tc>
          <w:tcPr>
            <w:tcW w:type="dxa" w:w="567"/>
            <w:shd w:val="clear" w:color="auto" w:fill="E8EEF8"/>
          </w:tcPr>
          <w:p>
            <w:pPr>
              <w:jc w:val="left"/>
            </w:pPr>
            <w:r>
              <w:rPr>
                <w:sz w:val="20"/>
              </w:rPr>
              <w:t>1</w:t>
            </w:r>
          </w:p>
        </w:tc>
        <w:tc>
          <w:tcPr>
            <w:tcW w:type="dxa" w:w="4252"/>
            <w:shd w:val="clear" w:color="auto" w:fill="E8EEF8"/>
          </w:tcPr>
          <w:p>
            <w:pPr>
              <w:jc w:val="center"/>
            </w:pPr>
            <w:r>
              <w:rPr>
                <w:sz w:val="20"/>
              </w:rPr>
              <w:t>Achat en volume — Raspberry Pi 5 (contrats distributeurs)</w:t>
            </w:r>
          </w:p>
        </w:tc>
        <w:tc>
          <w:tcPr>
            <w:tcW w:type="dxa" w:w="1417"/>
            <w:shd w:val="clear" w:color="auto" w:fill="E8EEF8"/>
          </w:tcPr>
          <w:p>
            <w:pPr>
              <w:jc w:val="center"/>
            </w:pPr>
            <w:r>
              <w:rPr>
                <w:sz w:val="20"/>
              </w:rPr>
              <w:t>10 000 $</w:t>
            </w:r>
          </w:p>
        </w:tc>
        <w:tc>
          <w:tcPr>
            <w:tcW w:type="dxa" w:w="2835"/>
            <w:shd w:val="clear" w:color="auto" w:fill="E8EEF8"/>
          </w:tcPr>
          <w:p>
            <w:pPr>
              <w:jc w:val="center"/>
            </w:pPr>
            <w:r>
              <w:rPr>
                <w:sz w:val="20"/>
              </w:rPr>
              <w:t>&lt; 65 $ / unité</w:t>
            </w:r>
          </w:p>
        </w:tc>
      </w:tr>
      <w:tr>
        <w:tc>
          <w:tcPr>
            <w:tcW w:type="dxa" w:w="567"/>
            <w:shd w:val="clear" w:color="auto" w:fill="F7F9FC"/>
          </w:tcPr>
          <w:p>
            <w:pPr>
              <w:jc w:val="left"/>
            </w:pPr>
            <w:r>
              <w:rPr>
                <w:sz w:val="20"/>
              </w:rPr>
              <w:t>2</w:t>
            </w:r>
          </w:p>
        </w:tc>
        <w:tc>
          <w:tcPr>
            <w:tcW w:type="dxa" w:w="4252"/>
            <w:shd w:val="clear" w:color="auto" w:fill="F7F9FC"/>
          </w:tcPr>
          <w:p>
            <w:pPr>
              <w:jc w:val="center"/>
            </w:pPr>
            <w:r>
              <w:rPr>
                <w:sz w:val="20"/>
              </w:rPr>
              <w:t>Design industriel — boîtier moulé injection + certifications</w:t>
            </w:r>
          </w:p>
        </w:tc>
        <w:tc>
          <w:tcPr>
            <w:tcW w:type="dxa" w:w="1417"/>
            <w:shd w:val="clear" w:color="auto" w:fill="F7F9FC"/>
          </w:tcPr>
          <w:p>
            <w:pPr>
              <w:jc w:val="center"/>
            </w:pPr>
            <w:r>
              <w:rPr>
                <w:sz w:val="20"/>
              </w:rPr>
              <w:t>8 000 $</w:t>
            </w:r>
          </w:p>
        </w:tc>
        <w:tc>
          <w:tcPr>
            <w:tcW w:type="dxa" w:w="2835"/>
            <w:shd w:val="clear" w:color="auto" w:fill="F7F9FC"/>
          </w:tcPr>
          <w:p>
            <w:pPr>
              <w:jc w:val="center"/>
            </w:pPr>
            <w:r>
              <w:rPr>
                <w:sz w:val="20"/>
              </w:rPr>
              <w:t>Finition commerciale</w:t>
            </w:r>
          </w:p>
        </w:tc>
      </w:tr>
      <w:tr>
        <w:tc>
          <w:tcPr>
            <w:tcW w:type="dxa" w:w="567"/>
            <w:shd w:val="clear" w:color="auto" w:fill="E8EEF8"/>
          </w:tcPr>
          <w:p>
            <w:pPr>
              <w:jc w:val="left"/>
            </w:pPr>
            <w:r>
              <w:rPr>
                <w:sz w:val="20"/>
              </w:rPr>
              <w:t>3</w:t>
            </w:r>
          </w:p>
        </w:tc>
        <w:tc>
          <w:tcPr>
            <w:tcW w:type="dxa" w:w="4252"/>
            <w:shd w:val="clear" w:color="auto" w:fill="E8EEF8"/>
          </w:tcPr>
          <w:p>
            <w:pPr>
              <w:jc w:val="center"/>
            </w:pPr>
            <w:r>
              <w:rPr>
                <w:sz w:val="20"/>
              </w:rPr>
              <w:t>App VeinGuard — notifications push + mode hors-ligne complet</w:t>
            </w:r>
          </w:p>
        </w:tc>
        <w:tc>
          <w:tcPr>
            <w:tcW w:type="dxa" w:w="1417"/>
            <w:shd w:val="clear" w:color="auto" w:fill="E8EEF8"/>
          </w:tcPr>
          <w:p>
            <w:pPr>
              <w:jc w:val="center"/>
            </w:pPr>
            <w:r>
              <w:rPr>
                <w:sz w:val="20"/>
              </w:rPr>
              <w:t>5 000 $</w:t>
            </w:r>
          </w:p>
        </w:tc>
        <w:tc>
          <w:tcPr>
            <w:tcW w:type="dxa" w:w="2835"/>
            <w:shd w:val="clear" w:color="auto" w:fill="E8EEF8"/>
          </w:tcPr>
          <w:p>
            <w:pPr>
              <w:jc w:val="center"/>
            </w:pPr>
            <w:r>
              <w:rPr>
                <w:sz w:val="20"/>
              </w:rPr>
              <w:t>iOS &amp; Android v1.0</w:t>
            </w:r>
          </w:p>
        </w:tc>
      </w:tr>
      <w:tr>
        <w:tc>
          <w:tcPr>
            <w:tcW w:type="dxa" w:w="567"/>
            <w:shd w:val="clear" w:color="auto" w:fill="F7F9FC"/>
          </w:tcPr>
          <w:p>
            <w:pPr>
              <w:jc w:val="left"/>
            </w:pPr>
            <w:r>
              <w:rPr>
                <w:sz w:val="20"/>
              </w:rPr>
              <w:t>4</w:t>
            </w:r>
          </w:p>
        </w:tc>
        <w:tc>
          <w:tcPr>
            <w:tcW w:type="dxa" w:w="4252"/>
            <w:shd w:val="clear" w:color="auto" w:fill="F7F9FC"/>
          </w:tcPr>
          <w:p>
            <w:pPr>
              <w:jc w:val="center"/>
            </w:pPr>
            <w:r>
              <w:rPr>
                <w:sz w:val="20"/>
              </w:rPr>
              <w:t>Marketing &amp; distribution — 1re série (PME + cégeps)</w:t>
            </w:r>
          </w:p>
        </w:tc>
        <w:tc>
          <w:tcPr>
            <w:tcW w:type="dxa" w:w="1417"/>
            <w:shd w:val="clear" w:color="auto" w:fill="F7F9FC"/>
          </w:tcPr>
          <w:p>
            <w:pPr>
              <w:jc w:val="center"/>
            </w:pPr>
            <w:r>
              <w:rPr>
                <w:sz w:val="20"/>
              </w:rPr>
              <w:t>2 000 $</w:t>
            </w:r>
          </w:p>
        </w:tc>
        <w:tc>
          <w:tcPr>
            <w:tcW w:type="dxa" w:w="2835"/>
            <w:shd w:val="clear" w:color="auto" w:fill="F7F9FC"/>
          </w:tcPr>
          <w:p>
            <w:pPr>
              <w:jc w:val="center"/>
            </w:pPr>
            <w:r>
              <w:rPr>
                <w:sz w:val="20"/>
              </w:rPr>
              <w:t>Lancement 1re série</w:t>
            </w:r>
          </w:p>
        </w:tc>
      </w:tr>
      <w:tr>
        <w:tc>
          <w:tcPr>
            <w:tcW w:type="dxa" w:w="567"/>
            <w:shd w:val="clear" w:color="auto" w:fill="C9D9F5"/>
          </w:tcPr>
          <w:p>
            <w:pPr>
              <w:jc w:val="left"/>
            </w:pPr>
            <w:r>
              <w:rPr>
                <w:b/>
                <w:sz w:val="20"/>
              </w:rPr>
              <w:t>∑</w:t>
            </w:r>
          </w:p>
        </w:tc>
        <w:tc>
          <w:tcPr>
            <w:tcW w:type="dxa" w:w="4252"/>
            <w:shd w:val="clear" w:color="auto" w:fill="C9D9F5"/>
          </w:tcPr>
          <w:p>
            <w:pPr>
              <w:jc w:val="center"/>
            </w:pPr>
            <w:r>
              <w:rPr>
                <w:b/>
                <w:sz w:val="20"/>
              </w:rPr>
              <w:t>TOTAL INVESTISSEMENT</w:t>
            </w:r>
          </w:p>
        </w:tc>
        <w:tc>
          <w:tcPr>
            <w:tcW w:type="dxa" w:w="1417"/>
            <w:shd w:val="clear" w:color="auto" w:fill="C9D9F5"/>
          </w:tcPr>
          <w:p>
            <w:pPr>
              <w:jc w:val="center"/>
            </w:pPr>
            <w:r>
              <w:rPr>
                <w:b/>
                <w:sz w:val="20"/>
              </w:rPr>
              <w:t>25 000 $</w:t>
            </w:r>
          </w:p>
        </w:tc>
        <w:tc>
          <w:tcPr>
            <w:tcW w:type="dxa" w:w="2835"/>
            <w:shd w:val="clear" w:color="auto" w:fill="C9D9F5"/>
          </w:tcPr>
          <w:p>
            <w:pPr>
              <w:jc w:val="center"/>
            </w:pPr>
            <w:r>
              <w:rPr>
                <w:b/>
                <w:sz w:val="20"/>
              </w:rPr>
              <w:t>15 % des parts</w:t>
            </w:r>
          </w:p>
        </w:tc>
      </w:tr>
    </w:tbl>
    <w:p/>
    <w:p/>
    <w:p>
      <w:pPr>
        <w:jc w:val="center"/>
      </w:pPr>
      <w:r>
        <w:rPr>
          <w:i/>
          <w:color w:val="999999"/>
          <w:sz w:val="18"/>
        </w:rPr>
        <w:t>VeinGuard — Plan d'affaire confidentiel — Tiavina &amp; Noel, Mars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