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0F766E"/>
          <w:sz w:val="72"/>
          <w:szCs w:val="72"/>
        </w:rPr>
        <w:t xml:space="preserve">SiGMaR</w:t>
      </w:r>
    </w:p>
    <w:p>
      <w:pPr>
        <w:spacing w:after="100" w:before="200"/>
        <w:jc w:val="center"/>
      </w:pPr>
      <w:r>
        <w:rPr>
          <w:b/>
          <w:bCs/>
          <w:color w:val="0f172a"/>
          <w:sz w:val="26"/>
          <w:szCs w:val="26"/>
        </w:rPr>
        <w:t xml:space="preserve">Subtype Identification for Genomics and Molecular Research</w:t>
      </w:r>
    </w:p>
    <w:p>
      <w:pPr>
        <w:spacing w:before="100"/>
        <w:jc w:val="center"/>
      </w:pPr>
      <w:r>
        <w:rPr>
          <w:i/>
          <w:iCs/>
          <w:color w:val="475569"/>
          <w:sz w:val="22"/>
          <w:szCs w:val="22"/>
        </w:rPr>
        <w:t xml:space="preserve">Overview, Workflow and a Guided Test Case</w:t>
      </w:r>
    </w:p>
    <w:p>
      <w:pPr>
        <w:spacing w:before="1600"/>
      </w:pPr>
    </w:p>
    <w:p>
      <w:pPr>
        <w:jc w:val="center"/>
      </w:pPr>
      <w:r>
        <w:rPr>
          <w:color w:val="475569"/>
          <w:sz w:val="20"/>
          <w:szCs w:val="20"/>
        </w:rPr>
        <w:t xml:space="preserve">Gemelli Computational Biology and Bioinformatics Lab</w:t>
      </w:r>
    </w:p>
    <w:p>
      <w:pPr>
        <w:spacing w:before="60"/>
        <w:jc w:val="center"/>
      </w:pPr>
      <w:r>
        <w:rPr>
          <w:color w:val="475569"/>
          <w:sz w:val="20"/>
          <w:szCs w:val="20"/>
        </w:rPr>
        <w:t xml:space="preserve">User Documentation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b/>
          <w:bCs/>
          <w:color w:val="0f172a"/>
          <w:sz w:val="32"/>
          <w:szCs w:val="32"/>
        </w:rPr>
        <w:t xml:space="preserve">1. What is SiGMaR</w:t>
      </w:r>
    </w:p>
    <w:p>
      <w:pPr>
        <w:spacing w:after="160" w:line="300"/>
      </w:pPr>
      <w:r>
        <w:rPr>
          <w:i w:val="false"/>
          <w:iCs w:val="false"/>
          <w:color w:val="0f172a"/>
          <w:sz w:val="22"/>
          <w:szCs w:val="22"/>
        </w:rPr>
        <w:t xml:space="preserve">SiGMaR is a web application for molecular subtyping of tumor gene-expression data. A user uploads a gene expression (counts) matrix, selects one of 11 supported tumor types, and SiGMaR runs a panel of independent classification methods on the same samples, then combines their calls into a single consensus molecular subtype per sample, together with an agreement score that reflects how strongly the methods concur.</w:t>
      </w:r>
    </w:p>
    <w:p>
      <w:pPr>
        <w:spacing w:after="160" w:line="300"/>
      </w:pPr>
      <w:r>
        <w:rPr>
          <w:i w:val="false"/>
          <w:iCs w:val="false"/>
          <w:color w:val="0f172a"/>
          <w:sz w:val="22"/>
          <w:szCs w:val="22"/>
        </w:rPr>
        <w:t xml:space="preserve">It is developed by the Gemelli Computational Biology and Bioinformatics Lab and is distributed as a self-contained desktop installer (Windows and macOS) built on Docker, so it runs locally without needing a shared server or an internet connection once installed.</w:t>
      </w:r>
    </w:p>
    <w:p>
      <w:pPr>
        <w:pStyle w:val="Heading1"/>
        <w:spacing w:after="200" w:before="360"/>
      </w:pPr>
      <w:r>
        <w:rPr>
          <w:b/>
          <w:bCs/>
          <w:color w:val="0f172a"/>
          <w:sz w:val="32"/>
          <w:szCs w:val="32"/>
        </w:rPr>
        <w:t xml:space="preserve">2. Supported Tumor Types</w:t>
      </w:r>
    </w:p>
    <w:p>
      <w:pPr>
        <w:spacing w:after="160" w:line="300"/>
      </w:pPr>
      <w:r>
        <w:rPr>
          <w:i w:val="false"/>
          <w:iCs w:val="false"/>
          <w:color w:val="0f172a"/>
          <w:sz w:val="22"/>
          <w:szCs w:val="22"/>
        </w:rPr>
        <w:t xml:space="preserve">SiGMaR currently supports 11 tumor types, each with its own set of reference centroids and tumor-specific classifiers: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9"/>
      </w:tblGrid>
      <w:tr>
        <w:trPr>
          <w:tblHeader/>
        </w:trPr>
        <w:tc>
          <w:tcPr>
            <w:tcW w:type="dxa" w:w="22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7439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Tumor Type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BLCA</w:t>
            </w:r>
          </w:p>
        </w:tc>
        <w:tc>
          <w:tcPr>
            <w:tcW w:type="dxa" w:w="743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Bladder Cancer</w:t>
            </w:r>
          </w:p>
        </w:tc>
      </w:tr>
      <w:tr>
        <w:tc>
          <w:tcPr>
            <w:tcW w:type="dxa" w:w="2200"/>
            <w:shd w:fill="F0FD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BRCA</w:t>
            </w:r>
          </w:p>
        </w:tc>
        <w:tc>
          <w:tcPr>
            <w:tcW w:type="dxa" w:w="7439"/>
            <w:shd w:fill="F0FD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Breast Cancer (PAM50)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COAD</w:t>
            </w:r>
          </w:p>
        </w:tc>
        <w:tc>
          <w:tcPr>
            <w:tcW w:type="dxa" w:w="743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Colon Adenocarcinoma</w:t>
            </w:r>
          </w:p>
        </w:tc>
      </w:tr>
      <w:tr>
        <w:tc>
          <w:tcPr>
            <w:tcW w:type="dxa" w:w="2200"/>
            <w:shd w:fill="F0FD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GBM</w:t>
            </w:r>
          </w:p>
        </w:tc>
        <w:tc>
          <w:tcPr>
            <w:tcW w:type="dxa" w:w="7439"/>
            <w:shd w:fill="F0FD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Glioblastoma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HNSCC</w:t>
            </w:r>
          </w:p>
        </w:tc>
        <w:tc>
          <w:tcPr>
            <w:tcW w:type="dxa" w:w="743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Head and Neck Squamous Cell Carcinoma</w:t>
            </w:r>
          </w:p>
        </w:tc>
      </w:tr>
      <w:tr>
        <w:tc>
          <w:tcPr>
            <w:tcW w:type="dxa" w:w="2200"/>
            <w:shd w:fill="F0FD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LUAD</w:t>
            </w:r>
          </w:p>
        </w:tc>
        <w:tc>
          <w:tcPr>
            <w:tcW w:type="dxa" w:w="7439"/>
            <w:shd w:fill="F0FD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Lung Adenocarcinoma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LUSC</w:t>
            </w:r>
          </w:p>
        </w:tc>
        <w:tc>
          <w:tcPr>
            <w:tcW w:type="dxa" w:w="743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Lung Squamous Cell Carcinoma</w:t>
            </w:r>
          </w:p>
        </w:tc>
      </w:tr>
      <w:tr>
        <w:tc>
          <w:tcPr>
            <w:tcW w:type="dxa" w:w="2200"/>
            <w:shd w:fill="F0FD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MESO</w:t>
            </w:r>
          </w:p>
        </w:tc>
        <w:tc>
          <w:tcPr>
            <w:tcW w:type="dxa" w:w="7439"/>
            <w:shd w:fill="F0FD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Mesothelioma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OV</w:t>
            </w:r>
          </w:p>
        </w:tc>
        <w:tc>
          <w:tcPr>
            <w:tcW w:type="dxa" w:w="743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Ovarian Cancer</w:t>
            </w:r>
          </w:p>
        </w:tc>
      </w:tr>
      <w:tr>
        <w:tc>
          <w:tcPr>
            <w:tcW w:type="dxa" w:w="2200"/>
            <w:shd w:fill="F0FD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PDAC</w:t>
            </w:r>
          </w:p>
        </w:tc>
        <w:tc>
          <w:tcPr>
            <w:tcW w:type="dxa" w:w="7439"/>
            <w:shd w:fill="F0FD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Pancreatic Adenocarcinoma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SARC</w:t>
            </w:r>
          </w:p>
        </w:tc>
        <w:tc>
          <w:tcPr>
            <w:tcW w:type="dxa" w:w="743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Sarcoma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0f172a"/>
          <w:sz w:val="32"/>
          <w:szCs w:val="32"/>
        </w:rPr>
        <w:t xml:space="preserve">3. How It Works</w:t>
      </w:r>
    </w:p>
    <w:p>
      <w:pPr>
        <w:pStyle w:val="Heading2"/>
        <w:spacing w:after="140" w:before="280"/>
      </w:pPr>
      <w:r>
        <w:rPr>
          <w:b/>
          <w:bCs/>
          <w:color w:val="0F766E"/>
          <w:sz w:val="26"/>
          <w:szCs w:val="26"/>
        </w:rPr>
        <w:t xml:space="preserve">3.1 Classification methods</w:t>
      </w:r>
    </w:p>
    <w:p>
      <w:pPr>
        <w:spacing w:after="160" w:line="300"/>
      </w:pPr>
      <w:r>
        <w:rPr>
          <w:i w:val="false"/>
          <w:iCs w:val="false"/>
          <w:color w:val="0f172a"/>
          <w:sz w:val="22"/>
          <w:szCs w:val="22"/>
        </w:rPr>
        <w:t xml:space="preserve">For a given tumor type, SiGMaR runs several independent classifiers on the uploaded expression matrix and reports every method's call side by side: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  <w:color w:val="0f172a"/>
          <w:sz w:val="22"/>
          <w:szCs w:val="22"/>
        </w:rPr>
        <w:t xml:space="preserve">Tumor Molecular Pathology Toolkit (TMP) models</w:t>
      </w:r>
      <w:r>
        <w:rPr>
          <w:color w:val="0f172a"/>
          <w:sz w:val="22"/>
          <w:szCs w:val="22"/>
        </w:rPr>
        <w:t xml:space="preserve"> — aklimate, cloudforest, jadbio and skgrid, four independently trained machine-learning classifiers.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  <w:color w:val="0f172a"/>
          <w:sz w:val="22"/>
          <w:szCs w:val="22"/>
        </w:rPr>
        <w:t xml:space="preserve">PCE (Pearson / Cosine / Euclidean)</w:t>
      </w:r>
      <w:r>
        <w:rPr>
          <w:color w:val="0f172a"/>
          <w:sz w:val="22"/>
          <w:szCs w:val="22"/>
        </w:rPr>
        <w:t xml:space="preserve"> — nearest-centroid classification using three different distance/similarity metrics against reference subtype centroids.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  <w:color w:val="0f172a"/>
          <w:sz w:val="22"/>
          <w:szCs w:val="22"/>
        </w:rPr>
        <w:t xml:space="preserve">ssGSEA</w:t>
      </w:r>
      <w:r>
        <w:rPr>
          <w:color w:val="0f172a"/>
          <w:sz w:val="22"/>
          <w:szCs w:val="22"/>
        </w:rPr>
        <w:t xml:space="preserve"> — single-sample Gene Set Enrichment Analysis against subtype-defining gene sets.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  <w:color w:val="0f172a"/>
          <w:sz w:val="22"/>
          <w:szCs w:val="22"/>
        </w:rPr>
        <w:t xml:space="preserve">Nearest Template Prediction (NTP)</w:t>
      </w:r>
      <w:r>
        <w:rPr>
          <w:color w:val="0f172a"/>
          <w:sz w:val="22"/>
          <w:szCs w:val="22"/>
        </w:rPr>
        <w:t xml:space="preserve"> — template-matching classification against per-subtype marker gene templates.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  <w:color w:val="0f172a"/>
          <w:sz w:val="22"/>
          <w:szCs w:val="22"/>
        </w:rPr>
        <w:t xml:space="preserve">Tumor-specific tools</w:t>
      </w:r>
      <w:r>
        <w:rPr>
          <w:color w:val="0f172a"/>
          <w:sz w:val="22"/>
          <w:szCs w:val="22"/>
        </w:rPr>
        <w:t xml:space="preserve"> — additional classifiers available only for certain tumor types (e.g. consensusOV for ovarian cancer, subscope for others).</w:t>
      </w:r>
    </w:p>
    <w:p>
      <w:pPr>
        <w:spacing w:after="160" w:line="300"/>
      </w:pPr>
      <w:r>
        <w:rPr>
          <w:color w:val="0f172a"/>
          <w:sz w:val="22"/>
          <w:szCs w:val="22"/>
        </w:rPr>
        <w:t xml:space="preserve">SiGMaR then derives a </w:t>
      </w:r>
      <w:r>
        <w:rPr>
          <w:b/>
          <w:bCs/>
          <w:color w:val="0f172a"/>
          <w:sz w:val="22"/>
          <w:szCs w:val="22"/>
        </w:rPr>
        <w:t xml:space="preserve">consensus subtype</w:t>
      </w:r>
      <w:r>
        <w:rPr>
          <w:color w:val="0f172a"/>
          <w:sz w:val="22"/>
          <w:szCs w:val="22"/>
        </w:rPr>
        <w:t xml:space="preserve"> for each sample — the subtype most methods agree on — plus an </w:t>
      </w:r>
      <w:r>
        <w:rPr>
          <w:b/>
          <w:bCs/>
          <w:color w:val="0f172a"/>
          <w:sz w:val="22"/>
          <w:szCs w:val="22"/>
        </w:rPr>
        <w:t xml:space="preserve">agreement score</w:t>
      </w:r>
      <w:r>
        <w:rPr>
          <w:color w:val="0f172a"/>
          <w:sz w:val="22"/>
          <w:szCs w:val="22"/>
        </w:rPr>
        <w:t xml:space="preserve"> (the share of methods that voted for that call), which is used downstream to flag or filter low-confidence samples.</w:t>
      </w:r>
    </w:p>
    <w:p>
      <w:pPr>
        <w:pStyle w:val="Heading2"/>
        <w:spacing w:after="140" w:before="280"/>
      </w:pPr>
      <w:r>
        <w:rPr>
          <w:b/>
          <w:bCs/>
          <w:color w:val="0F766E"/>
          <w:sz w:val="26"/>
          <w:szCs w:val="26"/>
        </w:rPr>
        <w:t xml:space="preserve">3.2 End-to-end workflow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/>
          <w:bCs/>
          <w:color w:val="0f172a"/>
          <w:sz w:val="22"/>
          <w:szCs w:val="22"/>
        </w:rPr>
        <w:t xml:space="preserve">Start a run — </w:t>
      </w:r>
      <w:r>
        <w:rPr>
          <w:color w:val="0f172a"/>
          <w:sz w:val="22"/>
          <w:szCs w:val="22"/>
        </w:rPr>
        <w:t xml:space="preserve">Open Subtyping and name the run.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/>
          <w:bCs/>
          <w:color w:val="0f172a"/>
          <w:sz w:val="22"/>
          <w:szCs w:val="22"/>
        </w:rPr>
        <w:t xml:space="preserve">Pick the tumor type — </w:t>
      </w:r>
      <w:r>
        <w:rPr>
          <w:color w:val="0f172a"/>
          <w:sz w:val="22"/>
          <w:szCs w:val="22"/>
        </w:rPr>
        <w:t xml:space="preserve">Determines which centroids, tumor-specific tools and TMP models are used.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/>
          <w:bCs/>
          <w:color w:val="0f172a"/>
          <w:sz w:val="22"/>
          <w:szCs w:val="22"/>
        </w:rPr>
        <w:t xml:space="preserve">Upload data — </w:t>
      </w:r>
      <w:r>
        <w:rPr>
          <w:color w:val="0f172a"/>
          <w:sz w:val="22"/>
          <w:szCs w:val="22"/>
        </w:rPr>
        <w:t xml:space="preserve">A counts file (required) and, optionally, a clinical file. Select the gene column (counts) and the sample-ID column (clinical).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/>
          <w:bCs/>
          <w:color w:val="0f172a"/>
          <w:sz w:val="22"/>
          <w:szCs w:val="22"/>
        </w:rPr>
        <w:t xml:space="preserve">Normalize (optional) — </w:t>
      </w:r>
      <w:r>
        <w:rPr>
          <w:color w:val="0f172a"/>
          <w:sz w:val="22"/>
          <w:szCs w:val="22"/>
        </w:rPr>
        <w:t xml:space="preserve">Normalize raw counts with DESeq2. Only needed if the input matrix contains raw counts; a clinical variable can be modeled to account for confounding.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/>
          <w:bCs/>
          <w:color w:val="0f172a"/>
          <w:sz w:val="22"/>
          <w:szCs w:val="22"/>
        </w:rPr>
        <w:t xml:space="preserve">Run Subtyping — </w:t>
      </w:r>
      <w:r>
        <w:rPr>
          <w:color w:val="0f172a"/>
          <w:sz w:val="22"/>
          <w:szCs w:val="22"/>
        </w:rPr>
        <w:t xml:space="preserve">SiGMaR executes all methods in sequence and computes the consensus call and agreement score.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/>
          <w:bCs/>
          <w:color w:val="0f172a"/>
          <w:sz w:val="22"/>
          <w:szCs w:val="22"/>
        </w:rPr>
        <w:t xml:space="preserve">Review results — </w:t>
      </w:r>
      <w:r>
        <w:rPr>
          <w:color w:val="0f172a"/>
          <w:sz w:val="22"/>
          <w:szCs w:val="22"/>
        </w:rPr>
        <w:t xml:space="preserve">Open Results to inspect per-method predictions, the consensus subtype, and (if clinical data was supplied) run Clinical Association to test subtype–clinical-variable relationships.</w:t>
      </w:r>
    </w:p>
    <w:p>
      <w:pPr>
        <w:spacing w:after="160" w:line="300"/>
      </w:pPr>
      <w:r>
        <w:rPr>
          <w:i/>
          <w:iCs/>
          <w:color w:val="0f172a"/>
          <w:sz w:val="22"/>
          <w:szCs w:val="22"/>
        </w:rPr>
        <w:t xml:space="preserve">Every run is saved to disk as a study and can be reopened, re-inspected or downloaded at any time; studies can also be deleted permanently from the Results page.</w:t>
      </w:r>
    </w:p>
    <w:p>
      <w:pPr>
        <w:pStyle w:val="Heading2"/>
        <w:spacing w:after="140" w:before="280"/>
      </w:pPr>
      <w:r>
        <w:rPr>
          <w:b/>
          <w:bCs/>
          <w:color w:val="0F766E"/>
          <w:sz w:val="26"/>
          <w:szCs w:val="26"/>
        </w:rPr>
        <w:t xml:space="preserve">3.3 Clinical Association</w:t>
      </w:r>
    </w:p>
    <w:p>
      <w:pPr>
        <w:spacing w:after="160" w:line="300"/>
      </w:pPr>
      <w:r>
        <w:rPr>
          <w:i w:val="false"/>
          <w:iCs w:val="false"/>
          <w:color w:val="0f172a"/>
          <w:sz w:val="22"/>
          <w:szCs w:val="22"/>
        </w:rPr>
        <w:t xml:space="preserve">Once a Subtyping run has completed, its consensus calls can be tested against clinical or biological variables (e.g. stage, sex, survival status): pick the reference study, attach a clinical file, choose the variable(s) to test, optionally restrict the analysis to samples above an agreement-score threshold (default 70%), and run the association.</w:t>
      </w:r>
    </w:p>
    <w:p>
      <w:pPr>
        <w:pStyle w:val="Heading1"/>
        <w:spacing w:after="200" w:before="360"/>
      </w:pPr>
      <w:r>
        <w:rPr>
          <w:b/>
          <w:bCs/>
          <w:color w:val="0f172a"/>
          <w:sz w:val="32"/>
          <w:szCs w:val="32"/>
        </w:rPr>
        <w:t xml:space="preserve">4. Input Files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639"/>
      </w:tblGrid>
      <w:tr>
        <w:trPr>
          <w:tblHeader/>
        </w:trPr>
        <w:tc>
          <w:tcPr>
            <w:tcW w:type="dxa" w:w="22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8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39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Counts matrix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Required</w:t>
            </w:r>
          </w:p>
        </w:tc>
        <w:tc>
          <w:tcPr>
            <w:tcW w:type="dxa" w:w="463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CSV / TSV / TXT / XLSX. One column of gene identifiers, one numeric column per sample. SiGMaR auto-detects the gene column.</w:t>
            </w:r>
          </w:p>
        </w:tc>
      </w:tr>
      <w:tr>
        <w:tc>
          <w:tcPr>
            <w:tcW w:type="dxa" w:w="2200"/>
            <w:shd w:fill="F0FD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Clinical file</w:t>
            </w:r>
          </w:p>
        </w:tc>
        <w:tc>
          <w:tcPr>
            <w:tcW w:type="dxa" w:w="2800"/>
            <w:shd w:fill="F0FD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Optional (required for Clinical Association)</w:t>
            </w:r>
          </w:p>
        </w:tc>
        <w:tc>
          <w:tcPr>
            <w:tcW w:type="dxa" w:w="4639"/>
            <w:shd w:fill="F0FD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CSV / TSV / TXT / XLSX. One sample-ID column plus one or more clinical/biological variable columns.</w:t>
            </w:r>
          </w:p>
        </w:tc>
      </w:tr>
    </w:tbl>
    <w:p>
      <w:pPr>
        <w:spacing w:after="160" w:line="300"/>
      </w:pPr>
      <w:r>
        <w:rPr>
          <w:i/>
          <w:iCs/>
          <w:color w:val="0f172a"/>
          <w:sz w:val="22"/>
          <w:szCs w:val="22"/>
        </w:rPr>
        <w:t xml:space="preserve">Sample IDs in the counts file (column headers) and the clinical file (sample-ID column) must match exactly.</w:t>
      </w:r>
    </w:p>
    <w:p>
      <w:pPr>
        <w:pStyle w:val="Heading1"/>
        <w:spacing w:after="200" w:before="360"/>
      </w:pPr>
      <w:r>
        <w:rPr>
          <w:b/>
          <w:bCs/>
          <w:color w:val="0f172a"/>
          <w:sz w:val="32"/>
          <w:szCs w:val="32"/>
        </w:rPr>
        <w:t xml:space="preserve">5. Results &amp; Outputs</w:t>
      </w:r>
    </w:p>
    <w:p>
      <w:pPr>
        <w:spacing w:after="160" w:line="300"/>
      </w:pPr>
      <w:r>
        <w:rPr>
          <w:i w:val="false"/>
          <w:iCs w:val="false"/>
          <w:color w:val="0f172a"/>
          <w:sz w:val="22"/>
          <w:szCs w:val="22"/>
        </w:rPr>
        <w:t xml:space="preserve">Every run opens as a report with three tabs: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  <w:color w:val="0f172a"/>
          <w:sz w:val="22"/>
          <w:szCs w:val="22"/>
        </w:rPr>
        <w:t xml:space="preserve">Table</w:t>
      </w:r>
      <w:r>
        <w:rPr>
          <w:color w:val="0f172a"/>
          <w:sz w:val="22"/>
          <w:szCs w:val="22"/>
        </w:rPr>
        <w:t xml:space="preserve"> — per-sample predictions from every method, the consensus subtype, and the agreement score.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  <w:color w:val="0f172a"/>
          <w:sz w:val="22"/>
          <w:szCs w:val="22"/>
        </w:rPr>
        <w:t xml:space="preserve">Graphics</w:t>
      </w:r>
      <w:r>
        <w:rPr>
          <w:color w:val="0f172a"/>
          <w:sz w:val="22"/>
          <w:szCs w:val="22"/>
        </w:rPr>
        <w:t xml:space="preserve"> — Subtype View (distribution of samples across predicted subtypes) and Sample View (per-method calls per sample, color-coded, so disagreement stands out).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  <w:color w:val="0f172a"/>
          <w:sz w:val="22"/>
          <w:szCs w:val="22"/>
        </w:rPr>
        <w:t xml:space="preserve">Clinical Associations</w:t>
      </w:r>
      <w:r>
        <w:rPr>
          <w:color w:val="0f172a"/>
          <w:sz w:val="22"/>
          <w:szCs w:val="22"/>
        </w:rPr>
        <w:t xml:space="preserve"> — statistical tests and plots relating subtypes to clinical variables, once a clinical file is attached.</w:t>
      </w:r>
    </w:p>
    <w:p>
      <w:pPr>
        <w:spacing w:after="160" w:line="300"/>
      </w:pPr>
      <w:r>
        <w:rPr>
          <w:i w:val="false"/>
          <w:iCs w:val="false"/>
          <w:color w:val="0f172a"/>
          <w:sz w:val="22"/>
          <w:szCs w:val="22"/>
        </w:rPr>
        <w:t xml:space="preserve">The full report can be exported as CSV, PDF, HTML or a ZIP archive; individual charts can be downloaded separately as PNG, TIFF or PDF at 150 or 300 dpi.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f172a"/>
          <w:sz w:val="32"/>
          <w:szCs w:val="32"/>
        </w:rPr>
        <w:t xml:space="preserve">6. Guided Test Case</w:t>
      </w:r>
    </w:p>
    <w:p>
      <w:pPr>
        <w:spacing w:after="160" w:line="300"/>
      </w:pPr>
      <w:r>
        <w:rPr>
          <w:i w:val="false"/>
          <w:iCs w:val="false"/>
          <w:color w:val="0f172a"/>
          <w:sz w:val="22"/>
          <w:szCs w:val="22"/>
        </w:rPr>
        <w:t xml:space="preserve">This section walks through a complete Subtyping run using a small synthetic dataset, purely to verify that a fresh SiGMaR installation starts, accepts data and produces a report end to end. The values are randomly generated (fixed seed) — they exercise the pipeline but carry no biological meaning, so the resulting subtype calls should not be interpreted.</w:t>
      </w:r>
    </w:p>
    <w:p>
      <w:pPr>
        <w:pStyle w:val="Heading2"/>
        <w:spacing w:after="140" w:before="280"/>
      </w:pPr>
      <w:r>
        <w:rPr>
          <w:b/>
          <w:bCs/>
          <w:color w:val="0F766E"/>
          <w:sz w:val="26"/>
          <w:szCs w:val="26"/>
        </w:rPr>
        <w:t xml:space="preserve">6.1 Test data</w:t>
      </w:r>
    </w:p>
    <w:p>
      <w:pPr>
        <w:spacing w:after="160" w:line="300"/>
      </w:pPr>
      <w:r>
        <w:rPr>
          <w:i w:val="false"/>
          <w:iCs w:val="false"/>
          <w:color w:val="0f172a"/>
          <w:sz w:val="22"/>
          <w:szCs w:val="22"/>
        </w:rPr>
        <w:t xml:space="preserve">Two files are provided alongside this guide: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9"/>
        <w:gridCol w:w="6800"/>
      </w:tblGrid>
      <w:tr>
        <w:trPr>
          <w:tblHeader/>
        </w:trPr>
        <w:tc>
          <w:tcPr>
            <w:tcW w:type="dxa" w:w="2839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8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39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dummy_counts.csv</w:t>
            </w:r>
          </w:p>
        </w:tc>
        <w:tc>
          <w:tcPr>
            <w:tcW w:type="dxa" w:w="6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25 genes x 12 samples (SAMPLE_01 ... SAMPLE_12), column 'gene_id' + one numeric column per sample.</w:t>
            </w:r>
          </w:p>
        </w:tc>
      </w:tr>
      <w:tr>
        <w:tc>
          <w:tcPr>
            <w:tcW w:type="dxa" w:w="2839"/>
            <w:shd w:fill="F0FD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dummy_clinical.csv</w:t>
            </w:r>
          </w:p>
        </w:tc>
        <w:tc>
          <w:tcPr>
            <w:tcW w:type="dxa" w:w="6800"/>
            <w:shd w:fill="F0FD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12 samples with columns: sample_id, age, sex, tumor_stage, os_time_days, os_status.</w:t>
            </w:r>
          </w:p>
        </w:tc>
      </w:tr>
    </w:tbl>
    <w:p>
      <w:pPr>
        <w:spacing w:after="160" w:line="300"/>
      </w:pPr>
      <w:r>
        <w:rPr>
          <w:i w:val="false"/>
          <w:iCs w:val="false"/>
          <w:color w:val="0f172a"/>
          <w:sz w:val="22"/>
          <w:szCs w:val="22"/>
        </w:rPr>
        <w:t xml:space="preserve">Both column names (gene_id, sample_id) match SiGMaR's automatic-detection rules, so the app should pre-select the right column for each file without manual adjustment.</w:t>
      </w:r>
    </w:p>
    <w:p>
      <w:pPr>
        <w:pStyle w:val="Heading2"/>
        <w:spacing w:after="140" w:before="280"/>
      </w:pPr>
      <w:r>
        <w:rPr>
          <w:b/>
          <w:bCs/>
          <w:color w:val="0F766E"/>
          <w:sz w:val="26"/>
          <w:szCs w:val="26"/>
        </w:rPr>
        <w:t xml:space="preserve">6.2 Steps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/>
          <w:bCs/>
          <w:color w:val="0f172a"/>
          <w:sz w:val="22"/>
          <w:szCs w:val="22"/>
        </w:rPr>
        <w:t xml:space="preserve">Launch SiGMaR — </w:t>
      </w:r>
      <w:r>
        <w:rPr>
          <w:color w:val="0f172a"/>
          <w:sz w:val="22"/>
          <w:szCs w:val="22"/>
        </w:rPr>
        <w:t xml:space="preserve">Start the app from the desktop shortcut created by the installer and wait for it to open in the browser.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/>
          <w:bCs/>
          <w:color w:val="0f172a"/>
          <w:sz w:val="22"/>
          <w:szCs w:val="22"/>
        </w:rPr>
        <w:t xml:space="preserve">Start a run — </w:t>
      </w:r>
      <w:r>
        <w:rPr>
          <w:color w:val="0f172a"/>
          <w:sz w:val="22"/>
          <w:szCs w:val="22"/>
        </w:rPr>
        <w:t xml:space="preserve">Go to Subtyping, give the run a name (e.g. "test_run_01").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/>
          <w:bCs/>
          <w:color w:val="0f172a"/>
          <w:sz w:val="22"/>
          <w:szCs w:val="22"/>
        </w:rPr>
        <w:t xml:space="preserve">Pick a tumor type — </w:t>
      </w:r>
      <w:r>
        <w:rPr>
          <w:color w:val="0f172a"/>
          <w:sz w:val="22"/>
          <w:szCs w:val="22"/>
        </w:rPr>
        <w:t xml:space="preserve">Select any tumor type from the list (e.g. Ovarian Cancer (OV)) — the dataset is synthetic, so the specific choice does not matter for this connectivity test.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/>
          <w:bCs/>
          <w:color w:val="0f172a"/>
          <w:sz w:val="22"/>
          <w:szCs w:val="22"/>
        </w:rPr>
        <w:t xml:space="preserve">Upload the counts file — </w:t>
      </w:r>
      <w:r>
        <w:rPr>
          <w:color w:val="0f172a"/>
          <w:sz w:val="22"/>
          <w:szCs w:val="22"/>
        </w:rPr>
        <w:t xml:space="preserve">Upload dummy_counts.csv. Confirm the gene column is set to gene_id.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/>
          <w:bCs/>
          <w:color w:val="0f172a"/>
          <w:sz w:val="22"/>
          <w:szCs w:val="22"/>
        </w:rPr>
        <w:t xml:space="preserve">Upload the clinical file — </w:t>
      </w:r>
      <w:r>
        <w:rPr>
          <w:color w:val="0f172a"/>
          <w:sz w:val="22"/>
          <w:szCs w:val="22"/>
        </w:rPr>
        <w:t xml:space="preserve">Upload dummy_clinical.csv. Confirm the sample-ID column is set to sample_id.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/>
          <w:bCs/>
          <w:color w:val="0f172a"/>
          <w:sz w:val="22"/>
          <w:szCs w:val="22"/>
        </w:rPr>
        <w:t xml:space="preserve">Skip normalization — </w:t>
      </w:r>
      <w:r>
        <w:rPr>
          <w:color w:val="0f172a"/>
          <w:sz w:val="22"/>
          <w:szCs w:val="22"/>
        </w:rPr>
        <w:t xml:space="preserve">The counts are already small random integers; normalization can be skipped or run for a full pipeline check.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/>
          <w:bCs/>
          <w:color w:val="0f172a"/>
          <w:sz w:val="22"/>
          <w:szCs w:val="22"/>
        </w:rPr>
        <w:t xml:space="preserve">Run Subtyping — </w:t>
      </w:r>
      <w:r>
        <w:rPr>
          <w:color w:val="0f172a"/>
          <w:sz w:val="22"/>
          <w:szCs w:val="22"/>
        </w:rPr>
        <w:t xml:space="preserve">Click Run and wait for all methods to complete.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/>
          <w:bCs/>
          <w:color w:val="0f172a"/>
          <w:sz w:val="22"/>
          <w:szCs w:val="22"/>
        </w:rPr>
        <w:t xml:space="preserve">Check the results — </w:t>
      </w:r>
      <w:r>
        <w:rPr>
          <w:color w:val="0f172a"/>
          <w:sz w:val="22"/>
          <w:szCs w:val="22"/>
        </w:rPr>
        <w:t xml:space="preserve">Open Results: the Table tab should list all 12 samples with a prediction from each method, a consensus subtype and an agreement score; the Graphics tab should render Subtype View and Sample View without errors.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/>
          <w:bCs/>
          <w:color w:val="0f172a"/>
          <w:sz w:val="22"/>
          <w:szCs w:val="22"/>
        </w:rPr>
        <w:t xml:space="preserve">Run Clinical Association (optional) — </w:t>
      </w:r>
      <w:r>
        <w:rPr>
          <w:color w:val="0f172a"/>
          <w:sz w:val="22"/>
          <w:szCs w:val="22"/>
        </w:rPr>
        <w:t xml:space="preserve">From Clinical Association, pick this run as the reference, choose a variable such as tumor_stage or os_status, and confirm the analysis runs and returns statistics/plots.</w:t>
      </w:r>
    </w:p>
    <w:p>
      <w:pPr>
        <w:pStyle w:val="Heading2"/>
        <w:spacing w:after="140" w:before="280"/>
      </w:pPr>
      <w:r>
        <w:rPr>
          <w:b/>
          <w:bCs/>
          <w:color w:val="0F766E"/>
          <w:sz w:val="26"/>
          <w:szCs w:val="26"/>
        </w:rPr>
        <w:t xml:space="preserve">6.3 Expected outcome</w:t>
      </w:r>
    </w:p>
    <w:p>
      <w:pPr>
        <w:spacing w:after="160" w:line="300"/>
      </w:pPr>
      <w:r>
        <w:rPr>
          <w:i w:val="false"/>
          <w:iCs w:val="false"/>
          <w:color w:val="0f172a"/>
          <w:sz w:val="22"/>
          <w:szCs w:val="22"/>
        </w:rPr>
        <w:t xml:space="preserve">A successful test means: the run completes without errors, all 12 samples appear in the report, every method returns a call, and the report can be exported (CSV/HTML/PDF). This confirms the installation (Docker images, app, and dependencies) is working correctly. The actual subtype assignments are not meaningful, since the input is random data.</w:t>
      </w:r>
    </w:p>
    <w:p>
      <w:pPr>
        <w:pBdr>
          <w:bottom w:val="single" w:color="CBD5E1" w:sz="6" w:space="4"/>
        </w:pBdr>
        <w:spacing w:after="260" w:before="100"/>
      </w:pPr>
    </w:p>
    <w:p>
      <w:pPr>
        <w:spacing w:after="160" w:line="300"/>
      </w:pPr>
      <w:r>
        <w:rPr>
          <w:i/>
          <w:iCs/>
          <w:color w:val="475569"/>
          <w:sz w:val="22"/>
          <w:szCs w:val="22"/>
        </w:rPr>
        <w:t xml:space="preserve">For details on every field and page, see the in-app Documentation and About pages.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6"/>
        <w:szCs w:val="16"/>
      </w:rPr>
      <w:t xml:space="preserve">Page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6"/>
        <w:szCs w:val="16"/>
      </w:rPr>
      <w:t xml:space="preserve"> of </w:t>
    </w:r>
    <w:r>
      <w:rPr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75569"/>
        <w:sz w:val="16"/>
        <w:szCs w:val="16"/>
      </w:rPr>
      <w:t xml:space="preserve">SiGMaR — User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5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2026-08-27T10:45:11.842Z</dcterms:created>
  <dcterms:modified xsi:type="dcterms:W3CDTF">2026-08-27T10:45:11.843Z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