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Table 1. </w:t>
      </w:r>
      <w:r>
        <w:rPr>
          <w:rtl w:val="0"/>
        </w:rPr>
        <w:t xml:space="preserve">Covariates retained in the final parsimonious main effects model derived from the stepwise selection model building method. </w:t>
      </w:r>
      <w:r>
        <w:rPr>
          <w:rtl w:val="0"/>
        </w:rPr>
        <w:t xml:space="preserve">Quality of outfit was excluded from the model selection, and variables Hometown City, Race and Body type were collapsed. </w:t>
      </w:r>
      <w:r>
        <w:br w:type="textWrapping"/>
        <w:br w:type="textWrapping"/>
      </w:r>
      <w:r>
        <w:rPr>
          <w:rtl w:val="0"/>
        </w:rPr>
        <w:t xml:space="preserve">final_model </w:t>
      </w:r>
      <w:r>
        <w:rPr>
          <w:rtl w:val="0"/>
        </w:rPr>
        <w:t xml:space="preserve">&lt;- glm(OUTCOME_LOSS ~ Lip_Sync_Ass:Expressed_Hardship + Age_Range + </w:t>
      </w:r>
      <w:r>
        <w:rPr>
          <w:rtl w:val="0"/>
        </w:rPr>
        <w:tab/>
        <w:tab/>
        <w:t xml:space="preserve">      </w:t>
      </w:r>
      <w:r>
        <w:rPr>
          <w:rtl w:val="0"/>
        </w:rPr>
        <w:t xml:space="preserve">Carson + Dancing + Outfit_Reveal + Ross + Do_They_Know_Words </w:t>
      </w:r>
      <w:r>
        <w:rPr>
          <w:rtl w:val="0"/>
        </w:rPr>
        <w:t xml:space="preserve">+ </w:t>
      </w:r>
      <w:r>
        <w:rPr>
          <w:rtl w:val="0"/>
        </w:rPr>
        <w:t xml:space="preserve">Sewing + </w:t>
      </w:r>
      <w:r>
        <w:rPr>
          <w:rtl w:val="0"/>
        </w:rPr>
        <w:tab/>
        <w:tab/>
        <w:tab/>
        <w:t xml:space="preserve">         </w:t>
      </w:r>
      <w:r>
        <w:rPr>
          <w:rtl w:val="0"/>
        </w:rPr>
        <w:t xml:space="preserve">Lip_Sync_Ass + Expressed_Hardship, family = binomial(link='logit'), data = </w:t>
      </w:r>
      <w:r>
        <w:rPr>
          <w:rtl w:val="0"/>
        </w:rPr>
        <w:tab/>
        <w:tab/>
        <w:tab/>
        <w:t xml:space="preserve">         </w:t>
      </w:r>
      <w:r>
        <w:rPr>
          <w:rtl w:val="0"/>
        </w:rPr>
        <w:t>Bottom_Two_2))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077"/>
        <w:gridCol w:w="2744"/>
        <w:gridCol w:w="219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Predictor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Estimate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Odds Ratio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Pr(&gt;|z|)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" w:hAnsi="Helvetica"/>
                <w:rtl w:val="0"/>
                <w14:textOutline w14:w="12700" w14:cap="flat">
                  <w14:noFill/>
                  <w14:miter w14:lim="400000"/>
                </w14:textOutline>
              </w:rPr>
              <w:t>Age (40+)</w:t>
            </w:r>
          </w:p>
        </w:tc>
        <w:tc>
          <w:tcPr>
            <w:tcW w:type="dxa" w:w="20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1440"/>
              </w:tabs>
              <w:suppressAutoHyphens w:val="1"/>
              <w:jc w:val="right"/>
              <w:outlineLvl w:val="0"/>
            </w:pPr>
            <w:r>
              <w:rPr>
                <w:rFonts w:ascii="Helvetica" w:hAnsi="Helvetica"/>
                <w:b w:val="0"/>
                <w:bCs w:val="0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  <w:t>ref</w:t>
            </w:r>
          </w:p>
        </w:tc>
        <w:tc>
          <w:tcPr>
            <w:tcW w:type="dxa" w:w="2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1440"/>
              </w:tabs>
              <w:suppressAutoHyphens w:val="1"/>
              <w:jc w:val="right"/>
              <w:outlineLvl w:val="0"/>
            </w:pPr>
            <w:r>
              <w:rPr>
                <w:rFonts w:ascii="Helvetica" w:hAnsi="Helvetica"/>
                <w:b w:val="0"/>
                <w:bCs w:val="0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  <w:t>ref</w:t>
            </w:r>
          </w:p>
        </w:tc>
        <w:tc>
          <w:tcPr>
            <w:tcW w:type="dxa" w:w="21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1440"/>
              </w:tabs>
              <w:suppressAutoHyphens w:val="1"/>
              <w:jc w:val="right"/>
              <w:outlineLvl w:val="0"/>
            </w:pPr>
            <w:r>
              <w:rPr>
                <w:rFonts w:ascii="Helvetica" w:hAnsi="Helvetica"/>
                <w:b w:val="0"/>
                <w:bCs w:val="0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  <w:t>ref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" w:hAnsi="Helvetica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Age (20-25) 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-1.4045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0.2455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0.130678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Age (26-30)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-0.9770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0.3764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0.281370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 xml:space="preserve">Age (31-35) 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-1.4697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0.2300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0.122070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Age (36-40)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-1.7330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0.1768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0.079089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Carson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-0.4306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0.6501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0.196522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Dancing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0.2165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1.2417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0.504926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Outfit Reveal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-0.7106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0.4913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0.282721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Ross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-0.2669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0.7657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0.392456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Do They Know Words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-2.3233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0.0979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0.042539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Sewing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-0.7032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0.4950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0.014422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 xml:space="preserve">Lip Sync Ass (yes) 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-2.2021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0.1106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0.000104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Expressed Hardship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-0.7173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0.4881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0.056600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Lip Sync Ass (yes): Expressed Hardship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0.4441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1.5591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0.515006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Table 2. </w:t>
      </w:r>
      <w:r>
        <w:rPr>
          <w:rtl w:val="0"/>
        </w:rPr>
        <w:t xml:space="preserve">Covariates retained in the final parsimonious </w:t>
      </w:r>
      <w:r>
        <w:rPr>
          <w:rtl w:val="0"/>
        </w:rPr>
        <w:t xml:space="preserve">main effects model derived from the stepwise selection model building method. </w:t>
      </w:r>
      <w:r>
        <w:rPr>
          <w:rtl w:val="0"/>
        </w:rPr>
        <w:t xml:space="preserve">Quality of outfit was </w:t>
      </w:r>
      <w:r>
        <w:rPr>
          <w:rtl w:val="0"/>
        </w:rPr>
        <w:t xml:space="preserve">included in </w:t>
      </w:r>
      <w:r>
        <w:rPr>
          <w:rtl w:val="0"/>
        </w:rPr>
        <w:t>the model selectio</w:t>
      </w:r>
      <w:r>
        <w:rPr>
          <w:rtl w:val="0"/>
        </w:rPr>
        <w:t xml:space="preserve">n, and variable Hometown City was collapsed.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final_model_1 &lt;- </w:t>
      </w:r>
      <w:r>
        <w:rPr>
          <w:rtl w:val="0"/>
        </w:rPr>
        <w:t xml:space="preserve"> &lt;- glm(OUTCOME_LOSS ~ Outfit_Reveal + Quality_Of_Outfit </w:t>
      </w:r>
      <w:r>
        <w:rPr>
          <w:rtl w:val="0"/>
        </w:rPr>
        <w:t xml:space="preserve">+    </w:t>
        <w:tab/>
        <w:tab/>
        <w:t xml:space="preserve">Do_They_Know_Words + </w:t>
      </w:r>
      <w:r>
        <w:rPr>
          <w:rtl w:val="0"/>
        </w:rPr>
        <w:t>Gender + Sewing + Lip_Sync_Ass + Expressed_Hardship, family = binomial(link='logit'), data = Bottom_Two))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077"/>
        <w:gridCol w:w="2744"/>
        <w:gridCol w:w="219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Predictor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Estimate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Odds Ratio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Pr(&gt;|z|)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Intercept</w:t>
            </w:r>
          </w:p>
        </w:tc>
        <w:tc>
          <w:tcPr>
            <w:tcW w:type="dxa" w:w="20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ref</w:t>
            </w:r>
          </w:p>
        </w:tc>
        <w:tc>
          <w:tcPr>
            <w:tcW w:type="dxa" w:w="2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ref</w:t>
            </w:r>
          </w:p>
        </w:tc>
        <w:tc>
          <w:tcPr>
            <w:tcW w:type="dxa" w:w="21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ref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Outfit_Reveal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-0.9586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0.3834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0.17597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Quality of Outfit (Toot)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-1.2376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0.2901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6.6e-05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Do They Know Words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-2.5913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0.0749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0.03280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Gender (Trans)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0.7644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2.1477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0.19214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Sewing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-0.4042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0.6675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0.17573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 xml:space="preserve">Lip Sync Ass (yes) 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-1.8168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0.1625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2.1e-09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rtl w:val="0"/>
              </w:rPr>
              <w:t>Expressed Hardship (yes)</w:t>
            </w:r>
          </w:p>
        </w:tc>
        <w:tc>
          <w:tcPr>
            <w:tcW w:type="dxa" w:w="207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-0.4986</w:t>
            </w:r>
          </w:p>
        </w:tc>
        <w:tc>
          <w:tcPr>
            <w:tcW w:type="dxa" w:w="2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0.6074</w:t>
            </w:r>
          </w:p>
        </w:tc>
        <w:tc>
          <w:tcPr>
            <w:tcW w:type="dxa" w:w="21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0.10399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  <w:rtl w:val="0"/>
        <w:lang w:val="en-US"/>
      </w:rPr>
      <w:t>Aug  31, 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