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A1A2E"/>
          <w:sz w:val="40"/>
          <w:szCs w:val="40"/>
        </w:rPr>
        <w:t xml:space="preserve">IP ASSIGNMENT AGREEMENT</w:t>
      </w:r>
    </w:p>
    <w:p>
      <w:pPr>
        <w:spacing w:after="80" w:before="0"/>
        <w:jc w:val="center"/>
      </w:pPr>
      <w:r>
        <w:rPr>
          <w:rFonts w:ascii="Arial" w:cs="Arial" w:eastAsia="Arial" w:hAnsi="Arial"/>
          <w:color w:val="444444"/>
          <w:sz w:val="26"/>
          <w:szCs w:val="26"/>
        </w:rPr>
        <w:t xml:space="preserve">Assignment of Software Intellectual Property</w:t>
      </w:r>
    </w:p>
    <w:p>
      <w:pPr>
        <w:spacing w:after="480" w:before="0"/>
        <w:jc w:val="center"/>
      </w:pPr>
      <w:r>
        <w:rPr>
          <w:rFonts w:ascii="Arial" w:cs="Arial" w:eastAsia="Arial" w:hAnsi="Arial"/>
          <w:b/>
          <w:bCs/>
          <w:color w:val="2E7D32"/>
          <w:sz w:val="22"/>
          <w:szCs w:val="22"/>
        </w:rPr>
        <w:t xml:space="preserve">NODE-3 Energy Arbitrage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ASSIGNOR</w:t>
            </w:r>
          </w:p>
        </w:tc>
        <w:tc>
          <w:tcPr>
            <w:tcW w:type="dxa" w:w="72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Matthew Brander, of England and Wales ("the Assignor")</w:t>
            </w:r>
          </w:p>
        </w:tc>
      </w:tr>
      <w:tr>
        <w:tc>
          <w:tcPr>
            <w:tcW w:type="dxa" w:w="1800"/>
            <w:tcBorders>
              <w:top w:val="single" w:color="CCCCCC" w:sz="1"/>
              <w:left w:val="single" w:color="CCCCCC" w:sz="1"/>
              <w:bottom w:val="single" w:color="CCCCCC" w:sz="1"/>
              <w:right w:val="single" w:color="CCCCCC" w:sz="1"/>
            </w:tcBorders>
            <w:shd w:fill="2E7D32" w:val="clear"/>
            <w:tcMar>
              <w:top w:type="dxa" w:w="100"/>
              <w:left w:type="dxa" w:w="160"/>
              <w:bottom w:type="dxa" w:w="100"/>
              <w:right w:type="dxa" w:w="160"/>
            </w:tcMar>
          </w:tcPr>
          <w:p>
            <w:r>
              <w:rPr>
                <w:rFonts w:ascii="Arial" w:cs="Arial" w:eastAsia="Arial" w:hAnsi="Arial"/>
                <w:b/>
                <w:bCs/>
                <w:color w:val="FFFFFF"/>
                <w:sz w:val="20"/>
                <w:szCs w:val="20"/>
              </w:rPr>
              <w:t xml:space="preserve">ASSIGNEE</w:t>
            </w:r>
          </w:p>
        </w:tc>
        <w:tc>
          <w:tcPr>
            <w:tcW w:type="dxa" w:w="72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Dovecote Systems Ltd, Company No. 17160178, registered in England and Wales ("the Assignee")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1A1A2E"/>
                <w:sz w:val="20"/>
                <w:szCs w:val="20"/>
              </w:rPr>
              <w:t xml:space="preserve">DATE</w:t>
            </w:r>
          </w:p>
        </w:tc>
        <w:tc>
          <w:tcPr>
            <w:tcW w:type="dxa" w:w="72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25 April 2026</w:t>
            </w:r>
          </w:p>
        </w:tc>
      </w:tr>
    </w:tbl>
    <w:p>
      <w:pPr>
        <w:spacing w:after="80" w:before="80"/>
      </w:pPr>
      <w:r>
        <w:t xml:space="preserve"/>
      </w:r>
    </w:p>
    <w:p>
      <w:pPr>
        <w:pStyle w:val="Heading1"/>
        <w:pBdr>
          <w:bottom w:val="single" w:color="2E7D32" w:sz="4" w:space="4"/>
        </w:pBdr>
        <w:spacing w:after="160" w:before="320"/>
      </w:pPr>
      <w:r>
        <w:rPr>
          <w:rFonts w:ascii="Arial" w:cs="Arial" w:eastAsia="Arial" w:hAnsi="Arial"/>
          <w:b/>
          <w:bCs/>
          <w:color w:val="1A1A2E"/>
          <w:sz w:val="28"/>
          <w:szCs w:val="28"/>
        </w:rPr>
        <w:t xml:space="preserve">Background</w:t>
      </w:r>
    </w:p>
    <w:p>
      <w:pPr>
        <w:spacing w:after="80" w:before="80" w:line="276"/>
      </w:pPr>
      <w:r>
        <w:rPr>
          <w:rFonts w:ascii="Arial" w:cs="Arial" w:eastAsia="Arial" w:hAnsi="Arial"/>
          <w:sz w:val="22"/>
          <w:szCs w:val="22"/>
        </w:rPr>
        <w:t xml:space="preserve">The Assignor is the sole creator and owner of certain software, algorithms, source code, and associated intellectual property forming the NODE-3 Energy Arbitrage Portal ("the Software"), developed for the purpose of automated home battery energy storage arbitrage using the Octopus Agile electricity tariff.</w:t>
      </w:r>
    </w:p>
    <w:p>
      <w:pPr>
        <w:spacing w:after="80" w:before="80"/>
      </w:pPr>
      <w:r>
        <w:t xml:space="preserve"/>
      </w:r>
    </w:p>
    <w:p>
      <w:pPr>
        <w:spacing w:after="80" w:before="80" w:line="276"/>
      </w:pPr>
      <w:r>
        <w:rPr>
          <w:rFonts w:ascii="Arial" w:cs="Arial" w:eastAsia="Arial" w:hAnsi="Arial"/>
          <w:sz w:val="22"/>
          <w:szCs w:val="22"/>
        </w:rPr>
        <w:t xml:space="preserve">The Assignee, Dovecote Systems Ltd, is a company incorporated in England and Wales (Company No. 17160178) of which the Assignor is Director, and through which the Assignor intends to commercialise the Software.</w:t>
      </w:r>
    </w:p>
    <w:p>
      <w:pPr>
        <w:spacing w:after="80" w:before="80"/>
      </w:pPr>
      <w:r>
        <w:t xml:space="preserve"/>
      </w:r>
    </w:p>
    <w:p>
      <w:pPr>
        <w:spacing w:after="80" w:before="80" w:line="276"/>
      </w:pPr>
      <w:r>
        <w:rPr>
          <w:rFonts w:ascii="Arial" w:cs="Arial" w:eastAsia="Arial" w:hAnsi="Arial"/>
          <w:sz w:val="22"/>
          <w:szCs w:val="22"/>
        </w:rPr>
        <w:t xml:space="preserve">The parties have agreed that the Assignor shall assign all intellectual property rights in the Software to the Assignee on the terms set out in this Agreement.</w:t>
      </w:r>
    </w:p>
    <w:p>
      <w:pPr>
        <w:spacing w:after="80" w:before="80"/>
      </w:pPr>
      <w:r>
        <w:t xml:space="preserve"/>
      </w:r>
    </w:p>
    <w:p>
      <w:pPr>
        <w:pStyle w:val="Heading1"/>
        <w:pBdr>
          <w:bottom w:val="single" w:color="2E7D32" w:sz="4" w:space="4"/>
        </w:pBdr>
        <w:spacing w:after="160" w:before="320"/>
      </w:pPr>
      <w:r>
        <w:rPr>
          <w:rFonts w:ascii="Arial" w:cs="Arial" w:eastAsia="Arial" w:hAnsi="Arial"/>
          <w:b/>
          <w:bCs/>
          <w:color w:val="1A1A2E"/>
          <w:sz w:val="28"/>
          <w:szCs w:val="28"/>
        </w:rPr>
        <w:t xml:space="preserve">Assigned IP — Schedule of Software</w:t>
      </w:r>
    </w:p>
    <w:p>
      <w:pPr>
        <w:spacing w:after="80" w:before="80" w:line="276"/>
      </w:pPr>
      <w:r>
        <w:rPr>
          <w:rFonts w:ascii="Arial" w:cs="Arial" w:eastAsia="Arial" w:hAnsi="Arial"/>
          <w:sz w:val="22"/>
          <w:szCs w:val="22"/>
        </w:rPr>
        <w:t xml:space="preserve">The following software components and intellectual property are hereby assigned ("the Assigned IP"):</w:t>
      </w:r>
    </w:p>
    <w:p>
      <w:pPr>
        <w:spacing w:after="80" w:before="80"/>
      </w:pPr>
      <w:r>
        <w:t xml:space="preserve"/>
      </w:r>
    </w:p>
    <w:p>
      <w:pPr>
        <w:spacing w:after="40" w:before="40"/>
        <w:ind w:left="720" w:hanging="360"/>
      </w:pPr>
      <w:r>
        <w:rPr>
          <w:rFonts w:ascii="Arial" w:cs="Arial" w:eastAsia="Arial" w:hAnsi="Arial"/>
          <w:sz w:val="22"/>
          <w:szCs w:val="22"/>
        </w:rPr>
        <w:t xml:space="preserve">•  server.py — Flask REST API server providing live data endpoints, background simulation scheduling, and historical backtest engine for the NODE-3 portal</w:t>
      </w:r>
    </w:p>
    <w:p>
      <w:pPr>
        <w:spacing w:after="40" w:before="40"/>
        <w:ind w:left="720" w:hanging="360"/>
      </w:pPr>
      <w:r>
        <w:rPr>
          <w:rFonts w:ascii="Arial" w:cs="Arial" w:eastAsia="Arial" w:hAnsi="Arial"/>
          <w:sz w:val="22"/>
          <w:szCs w:val="22"/>
        </w:rPr>
        <w:t xml:space="preserve">•  simulate.py — Core arbitrage algorithm: LP greedy optimiser, dynamic buy/sell threshold engine (context-adjusted for wind generation, weekday/weekend, and seasonal factors), Octopus Agile price discovery, dispatch plan generation, and single-slot simulation engine</w:t>
      </w:r>
    </w:p>
    <w:p>
      <w:pPr>
        <w:spacing w:after="40" w:before="40"/>
        <w:ind w:left="720" w:hanging="360"/>
      </w:pPr>
      <w:r>
        <w:rPr>
          <w:rFonts w:ascii="Arial" w:cs="Arial" w:eastAsia="Arial" w:hAnsi="Arial"/>
          <w:sz w:val="22"/>
          <w:szCs w:val="22"/>
        </w:rPr>
        <w:t xml:space="preserve">•  dashboard.html — Real-time web portal: forward schedule visualisation, profit timeline, price charts, historical analysis, and projection engine</w:t>
      </w:r>
    </w:p>
    <w:p>
      <w:pPr>
        <w:spacing w:after="40" w:before="40"/>
        <w:ind w:left="720" w:hanging="360"/>
      </w:pPr>
      <w:r>
        <w:rPr>
          <w:rFonts w:ascii="Arial" w:cs="Arial" w:eastAsia="Arial" w:hAnsi="Arial"/>
          <w:sz w:val="22"/>
          <w:szCs w:val="22"/>
        </w:rPr>
        <w:t xml:space="preserve">•  All associated configuration files, data schemas, and supporting scripts</w:t>
      </w:r>
    </w:p>
    <w:p>
      <w:pPr>
        <w:spacing w:after="40" w:before="40"/>
        <w:ind w:left="720" w:hanging="360"/>
      </w:pPr>
      <w:r>
        <w:rPr>
          <w:rFonts w:ascii="Arial" w:cs="Arial" w:eastAsia="Arial" w:hAnsi="Arial"/>
          <w:sz w:val="22"/>
          <w:szCs w:val="22"/>
        </w:rPr>
        <w:t xml:space="preserve">•  The proprietary dynamicBuyCeil algorithm: calculates the maximum viable charge price as a function of forward export price, round-trip efficiency, and context-adjusted minimum profit margin</w:t>
      </w:r>
    </w:p>
    <w:p>
      <w:pPr>
        <w:spacing w:after="40" w:before="40"/>
        <w:ind w:left="720" w:hanging="360"/>
      </w:pPr>
      <w:r>
        <w:rPr>
          <w:rFonts w:ascii="Arial" w:cs="Arial" w:eastAsia="Arial" w:hAnsi="Arial"/>
          <w:sz w:val="22"/>
          <w:szCs w:val="22"/>
        </w:rPr>
        <w:t xml:space="preserve">•  All trade secrets, know-how, and methodologies embodied in the above</w:t>
      </w:r>
    </w:p>
    <w:p>
      <w:pPr>
        <w:spacing w:after="40" w:before="40"/>
        <w:ind w:left="720" w:hanging="360"/>
      </w:pPr>
      <w:r>
        <w:rPr>
          <w:rFonts w:ascii="Arial" w:cs="Arial" w:eastAsia="Arial" w:hAnsi="Arial"/>
          <w:sz w:val="22"/>
          <w:szCs w:val="22"/>
        </w:rPr>
        <w:t xml:space="preserve">•  All copyright, database rights, and other intellectual property rights subsisting in the above</w:t>
      </w:r>
    </w:p>
    <w:p>
      <w:pPr>
        <w:spacing w:after="40" w:before="40"/>
        <w:ind w:left="720" w:hanging="360"/>
      </w:pPr>
      <w:r>
        <w:rPr>
          <w:rFonts w:ascii="Arial" w:cs="Arial" w:eastAsia="Arial" w:hAnsi="Arial"/>
          <w:sz w:val="22"/>
          <w:szCs w:val="22"/>
        </w:rPr>
        <w:t xml:space="preserve">•  All derivative works and improvements developed by the Assignor prior to the date of this Agreement</w:t>
      </w:r>
    </w:p>
    <w:p>
      <w:pPr>
        <w:spacing w:after="80" w:before="80"/>
      </w:pPr>
      <w:r>
        <w:t xml:space="preserve"/>
      </w:r>
    </w:p>
    <w:p>
      <w:pPr>
        <w:pStyle w:val="Heading1"/>
        <w:pBdr>
          <w:bottom w:val="single" w:color="2E7D32" w:sz="4" w:space="4"/>
        </w:pBdr>
        <w:spacing w:after="160" w:before="320"/>
      </w:pPr>
      <w:r>
        <w:rPr>
          <w:rFonts w:ascii="Arial" w:cs="Arial" w:eastAsia="Arial" w:hAnsi="Arial"/>
          <w:b/>
          <w:bCs/>
          <w:color w:val="1A1A2E"/>
          <w:sz w:val="28"/>
          <w:szCs w:val="28"/>
        </w:rPr>
        <w:t xml:space="preserve">Clauses</w:t>
      </w:r>
    </w:p>
    <w:p>
      <w:pPr>
        <w:spacing w:after="80" w:before="200"/>
      </w:pPr>
      <w:r>
        <w:rPr>
          <w:rFonts w:ascii="Arial" w:cs="Arial" w:eastAsia="Arial" w:hAnsi="Arial"/>
          <w:b/>
          <w:bCs/>
          <w:color w:val="1A1A2E"/>
          <w:sz w:val="22"/>
          <w:szCs w:val="22"/>
        </w:rPr>
        <w:t xml:space="preserve">1.  </w:t>
      </w:r>
      <w:r>
        <w:rPr>
          <w:rFonts w:ascii="Arial" w:cs="Arial" w:eastAsia="Arial" w:hAnsi="Arial"/>
          <w:b/>
          <w:bCs/>
          <w:color w:val="1A1A2E"/>
          <w:sz w:val="22"/>
          <w:szCs w:val="22"/>
        </w:rPr>
        <w:t xml:space="preserve">Assignment</w:t>
      </w:r>
    </w:p>
    <w:p>
      <w:pPr>
        <w:spacing w:after="120" w:before="60"/>
        <w:ind w:left="480"/>
      </w:pPr>
      <w:r>
        <w:rPr>
          <w:rFonts w:ascii="Arial" w:cs="Arial" w:eastAsia="Arial" w:hAnsi="Arial"/>
          <w:sz w:val="22"/>
          <w:szCs w:val="22"/>
        </w:rPr>
        <w:t xml:space="preserve">In consideration of the sum of one pound (£1.00) and other good and valuable consideration (the receipt and sufficiency of which the Assignor acknowledges), the Assignor hereby assigns to the Assignee absolutely, with full title guarantee, all intellectual property rights in and to the Assigned IP, including all copyright, database rights, trade secrets, and know-how, together with the right to sue for past infringement.</w:t>
      </w:r>
    </w:p>
    <w:p>
      <w:pPr>
        <w:spacing w:after="80" w:before="200"/>
      </w:pPr>
      <w:r>
        <w:rPr>
          <w:rFonts w:ascii="Arial" w:cs="Arial" w:eastAsia="Arial" w:hAnsi="Arial"/>
          <w:b/>
          <w:bCs/>
          <w:color w:val="1A1A2E"/>
          <w:sz w:val="22"/>
          <w:szCs w:val="22"/>
        </w:rPr>
        <w:t xml:space="preserve">2.  </w:t>
      </w:r>
      <w:r>
        <w:rPr>
          <w:rFonts w:ascii="Arial" w:cs="Arial" w:eastAsia="Arial" w:hAnsi="Arial"/>
          <w:b/>
          <w:bCs/>
          <w:color w:val="1A1A2E"/>
          <w:sz w:val="22"/>
          <w:szCs w:val="22"/>
        </w:rPr>
        <w:t xml:space="preserve">Warranties</w:t>
      </w:r>
    </w:p>
    <w:p>
      <w:pPr>
        <w:spacing w:after="120" w:before="60"/>
        <w:ind w:left="480"/>
      </w:pPr>
      <w:r>
        <w:rPr>
          <w:rFonts w:ascii="Arial" w:cs="Arial" w:eastAsia="Arial" w:hAnsi="Arial"/>
          <w:sz w:val="22"/>
          <w:szCs w:val="22"/>
        </w:rPr>
        <w:t xml:space="preserve">The Assignor warrants that: (a) the Assignor is the sole author and owner of the Assigned IP and has the right to assign it; (b) the Assigned IP does not infringe the intellectual property rights of any third party; (c) the Assignor has not previously assigned, licensed, or encumbered the Assigned IP to any third party.</w:t>
      </w:r>
    </w:p>
    <w:p>
      <w:pPr>
        <w:spacing w:after="80" w:before="200"/>
      </w:pPr>
      <w:r>
        <w:rPr>
          <w:rFonts w:ascii="Arial" w:cs="Arial" w:eastAsia="Arial" w:hAnsi="Arial"/>
          <w:b/>
          <w:bCs/>
          <w:color w:val="1A1A2E"/>
          <w:sz w:val="22"/>
          <w:szCs w:val="22"/>
        </w:rPr>
        <w:t xml:space="preserve">3.  </w:t>
      </w:r>
      <w:r>
        <w:rPr>
          <w:rFonts w:ascii="Arial" w:cs="Arial" w:eastAsia="Arial" w:hAnsi="Arial"/>
          <w:b/>
          <w:bCs/>
          <w:color w:val="1A1A2E"/>
          <w:sz w:val="22"/>
          <w:szCs w:val="22"/>
        </w:rPr>
        <w:t xml:space="preserve">Further Assurance</w:t>
      </w:r>
    </w:p>
    <w:p>
      <w:pPr>
        <w:spacing w:after="120" w:before="60"/>
        <w:ind w:left="480"/>
      </w:pPr>
      <w:r>
        <w:rPr>
          <w:rFonts w:ascii="Arial" w:cs="Arial" w:eastAsia="Arial" w:hAnsi="Arial"/>
          <w:sz w:val="22"/>
          <w:szCs w:val="22"/>
        </w:rPr>
        <w:t xml:space="preserve">The Assignor shall, at the request of the Assignee and at the Assignee's expense, execute all documents and do all acts and things as may be reasonably required to vest the Assigned IP in the Assignee and to protect and enforce the Assignee's rights therein.</w:t>
      </w:r>
    </w:p>
    <w:p>
      <w:pPr>
        <w:spacing w:after="80" w:before="200"/>
      </w:pPr>
      <w:r>
        <w:rPr>
          <w:rFonts w:ascii="Arial" w:cs="Arial" w:eastAsia="Arial" w:hAnsi="Arial"/>
          <w:b/>
          <w:bCs/>
          <w:color w:val="1A1A2E"/>
          <w:sz w:val="22"/>
          <w:szCs w:val="22"/>
        </w:rPr>
        <w:t xml:space="preserve">4.  </w:t>
      </w:r>
      <w:r>
        <w:rPr>
          <w:rFonts w:ascii="Arial" w:cs="Arial" w:eastAsia="Arial" w:hAnsi="Arial"/>
          <w:b/>
          <w:bCs/>
          <w:color w:val="1A1A2E"/>
          <w:sz w:val="22"/>
          <w:szCs w:val="22"/>
        </w:rPr>
        <w:t xml:space="preserve">Retained Licence</w:t>
      </w:r>
    </w:p>
    <w:p>
      <w:pPr>
        <w:spacing w:after="120" w:before="60"/>
        <w:ind w:left="480"/>
      </w:pPr>
      <w:r>
        <w:rPr>
          <w:rFonts w:ascii="Arial" w:cs="Arial" w:eastAsia="Arial" w:hAnsi="Arial"/>
          <w:sz w:val="22"/>
          <w:szCs w:val="22"/>
        </w:rPr>
        <w:t xml:space="preserve">Notwithstanding the assignment, the Assignee hereby grants back to the Assignor a non-exclusive, royalty-free, personal licence to use the Assigned IP solely in the Assignor's capacity as Director of the Assignee and in furtherance of the Assignee's business.</w:t>
      </w:r>
    </w:p>
    <w:p>
      <w:pPr>
        <w:spacing w:after="80" w:before="200"/>
      </w:pPr>
      <w:r>
        <w:rPr>
          <w:rFonts w:ascii="Arial" w:cs="Arial" w:eastAsia="Arial" w:hAnsi="Arial"/>
          <w:b/>
          <w:bCs/>
          <w:color w:val="1A1A2E"/>
          <w:sz w:val="22"/>
          <w:szCs w:val="22"/>
        </w:rPr>
        <w:t xml:space="preserve">5.  </w:t>
      </w:r>
      <w:r>
        <w:rPr>
          <w:rFonts w:ascii="Arial" w:cs="Arial" w:eastAsia="Arial" w:hAnsi="Arial"/>
          <w:b/>
          <w:bCs/>
          <w:color w:val="1A1A2E"/>
          <w:sz w:val="22"/>
          <w:szCs w:val="22"/>
        </w:rPr>
        <w:t xml:space="preserve">Governing Law</w:t>
      </w:r>
    </w:p>
    <w:p>
      <w:pPr>
        <w:spacing w:after="120" w:before="60"/>
        <w:ind w:left="480"/>
      </w:pPr>
      <w:r>
        <w:rPr>
          <w:rFonts w:ascii="Arial" w:cs="Arial" w:eastAsia="Arial" w:hAnsi="Arial"/>
          <w:sz w:val="22"/>
          <w:szCs w:val="22"/>
        </w:rPr>
        <w:t xml:space="preserve">This Agreement shall be governed by and construed in accordance with the laws of England and Wales. The parties submit to the exclusive jurisdiction of the courts of England and Wales.</w:t>
      </w:r>
    </w:p>
    <w:p>
      <w:pPr>
        <w:spacing w:after="80" w:before="200"/>
      </w:pPr>
      <w:r>
        <w:rPr>
          <w:rFonts w:ascii="Arial" w:cs="Arial" w:eastAsia="Arial" w:hAnsi="Arial"/>
          <w:b/>
          <w:bCs/>
          <w:color w:val="1A1A2E"/>
          <w:sz w:val="22"/>
          <w:szCs w:val="22"/>
        </w:rPr>
        <w:t xml:space="preserve">6.  </w:t>
      </w:r>
      <w:r>
        <w:rPr>
          <w:rFonts w:ascii="Arial" w:cs="Arial" w:eastAsia="Arial" w:hAnsi="Arial"/>
          <w:b/>
          <w:bCs/>
          <w:color w:val="1A1A2E"/>
          <w:sz w:val="22"/>
          <w:szCs w:val="22"/>
        </w:rPr>
        <w:t xml:space="preserve">Entire Agreement</w:t>
      </w:r>
    </w:p>
    <w:p>
      <w:pPr>
        <w:spacing w:after="120" w:before="60"/>
        <w:ind w:left="480"/>
      </w:pPr>
      <w:r>
        <w:rPr>
          <w:rFonts w:ascii="Arial" w:cs="Arial" w:eastAsia="Arial" w:hAnsi="Arial"/>
          <w:sz w:val="22"/>
          <w:szCs w:val="22"/>
        </w:rPr>
        <w:t xml:space="preserve">This Agreement constitutes the entire agreement between the parties relating to the subject matter hereof and supersedes all prior agreements, representations, and understandings.</w:t>
      </w:r>
    </w:p>
    <w:p>
      <w:pPr>
        <w:spacing w:after="80" w:before="80"/>
      </w:pPr>
      <w:r>
        <w:t xml:space="preserve"/>
      </w:r>
    </w:p>
    <w:p>
      <w:pPr>
        <w:spacing w:after="80" w:before="80"/>
      </w:pPr>
      <w:r>
        <w:t xml:space="preserve"/>
      </w:r>
    </w:p>
    <w:p>
      <w:pPr>
        <w:pStyle w:val="Heading1"/>
        <w:pBdr>
          <w:bottom w:val="single" w:color="2E7D32" w:sz="4" w:space="4"/>
        </w:pBdr>
        <w:spacing w:after="160" w:before="320"/>
      </w:pPr>
      <w:r>
        <w:rPr>
          <w:rFonts w:ascii="Arial" w:cs="Arial" w:eastAsia="Arial" w:hAnsi="Arial"/>
          <w:b/>
          <w:bCs/>
          <w:color w:val="1A1A2E"/>
          <w:sz w:val="28"/>
          <w:szCs w:val="28"/>
        </w:rPr>
        <w:t xml:space="preserve">Signatures</w:t>
      </w:r>
    </w:p>
    <w:p>
      <w:pPr>
        <w:spacing w:after="80" w:before="80" w:line="276"/>
      </w:pPr>
      <w:r>
        <w:rPr>
          <w:rFonts w:ascii="Arial" w:cs="Arial" w:eastAsia="Arial" w:hAnsi="Arial"/>
          <w:sz w:val="22"/>
          <w:szCs w:val="22"/>
        </w:rPr>
        <w:t xml:space="preserve">Executed as a deed by the parties on the date first written above.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200"/>
        <w:gridCol w:w="4826"/>
      </w:tblGrid>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ASSIGNOR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Signed:</w:t>
            </w:r>
          </w:p>
        </w:tc>
        <w:tc>
          <w:tcPr>
            <w:tcW w:type="dxa" w:w="4826"/>
            <w:tcBorders>
              <w:top w:val="single" w:color="CCCCCC" w:sz="1"/>
              <w:left w:val="single" w:color="CCCCCC" w:sz="1"/>
              <w:bottom w:val="single" w:color="CCCCCC" w:sz="1"/>
              <w:right w:val="single" w:color="CCCCCC" w:sz="1"/>
            </w:tcBorders>
            <w:tcMar>
              <w:top w:type="dxa" w:w="80"/>
              <w:left w:type="dxa" w:w="120"/>
              <w:bottom w:type="dxa" w:w="160"/>
              <w:right w:type="dxa" w:w="120"/>
            </w:tcMar>
          </w:tcPr>
          <w:p>
            <w:r>
              <w:rPr>
                <w:rFonts w:ascii="Arial" w:cs="Arial" w:eastAsia="Arial" w:hAnsi="Arial"/>
                <w:color w:val="AAAAAA"/>
                <w:sz w:val="20"/>
                <w:szCs w:val="20"/>
              </w:rPr>
              <w:t xml:space="preserve">_______________________________</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Name: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Matthew Brander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Role: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4826"/>
            <w:tcBorders>
              <w:top w:val="single" w:color="CCCCCC" w:sz="1"/>
              <w:left w:val="single" w:color="CCCCCC" w:sz="1"/>
              <w:bottom w:val="single" w:color="CCCCCC" w:sz="1"/>
              <w:right w:val="single" w:color="CCCCCC" w:sz="1"/>
            </w:tcBorders>
            <w:tcMar>
              <w:top w:type="dxa" w:w="80"/>
              <w:left w:type="dxa" w:w="120"/>
              <w:bottom w:type="dxa" w:w="160"/>
              <w:right w:type="dxa" w:w="120"/>
            </w:tcMar>
          </w:tcPr>
          <w:p>
            <w:r>
              <w:rPr>
                <w:rFonts w:ascii="Arial" w:cs="Arial" w:eastAsia="Arial" w:hAnsi="Arial"/>
                <w:color w:val="AAAAAA"/>
                <w:sz w:val="20"/>
                <w:szCs w:val="20"/>
              </w:rPr>
              <w:t xml:space="preserve">_______________________________</w:t>
            </w:r>
          </w:p>
        </w:tc>
      </w:tr>
    </w:tbl>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200"/>
        <w:gridCol w:w="4826"/>
      </w:tblGrid>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ASSIGNEE — on behalf of Dovecote Systems Ltd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Signed:</w:t>
            </w:r>
          </w:p>
        </w:tc>
        <w:tc>
          <w:tcPr>
            <w:tcW w:type="dxa" w:w="4826"/>
            <w:tcBorders>
              <w:top w:val="single" w:color="CCCCCC" w:sz="1"/>
              <w:left w:val="single" w:color="CCCCCC" w:sz="1"/>
              <w:bottom w:val="single" w:color="CCCCCC" w:sz="1"/>
              <w:right w:val="single" w:color="CCCCCC" w:sz="1"/>
            </w:tcBorders>
            <w:tcMar>
              <w:top w:type="dxa" w:w="80"/>
              <w:left w:type="dxa" w:w="120"/>
              <w:bottom w:type="dxa" w:w="160"/>
              <w:right w:type="dxa" w:w="120"/>
            </w:tcMar>
          </w:tcPr>
          <w:p>
            <w:r>
              <w:rPr>
                <w:rFonts w:ascii="Arial" w:cs="Arial" w:eastAsia="Arial" w:hAnsi="Arial"/>
                <w:color w:val="AAAAAA"/>
                <w:sz w:val="20"/>
                <w:szCs w:val="20"/>
              </w:rPr>
              <w:t xml:space="preserve">_______________________________</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Name: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Matthew Brander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Role: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 Dovecote Systems Ltd (Company No. 17160178)</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4826"/>
            <w:tcBorders>
              <w:top w:val="single" w:color="CCCCCC" w:sz="1"/>
              <w:left w:val="single" w:color="CCCCCC" w:sz="1"/>
              <w:bottom w:val="single" w:color="CCCCCC" w:sz="1"/>
              <w:right w:val="single" w:color="CCCCCC" w:sz="1"/>
            </w:tcBorders>
            <w:tcMar>
              <w:top w:type="dxa" w:w="80"/>
              <w:left w:type="dxa" w:w="120"/>
              <w:bottom w:type="dxa" w:w="160"/>
              <w:right w:type="dxa" w:w="120"/>
            </w:tcMar>
          </w:tcPr>
          <w:p>
            <w:r>
              <w:rPr>
                <w:rFonts w:ascii="Arial" w:cs="Arial" w:eastAsia="Arial" w:hAnsi="Arial"/>
                <w:color w:val="AAAAAA"/>
                <w:sz w:val="20"/>
                <w:szCs w:val="20"/>
              </w:rPr>
              <w:t xml:space="preserve">_______________________________</w:t>
            </w:r>
          </w:p>
        </w:tc>
      </w:tr>
    </w:tbl>
    <w:p>
      <w:pPr>
        <w:spacing w:after="80" w:before="80"/>
      </w:pPr>
      <w:r>
        <w:t xml:space="preserve"/>
      </w:r>
    </w:p>
    <w:p>
      <w:pPr>
        <w:pBdr>
          <w:top w:val="single" w:color="CCCCCC" w:sz="2" w:space="8"/>
        </w:pBdr>
        <w:spacing w:after="80" w:before="240"/>
      </w:pPr>
      <w:r>
        <w:rPr>
          <w:rFonts w:ascii="Arial" w:cs="Arial" w:eastAsia="Arial" w:hAnsi="Arial"/>
          <w:color w:val="AAAAAA"/>
          <w:sz w:val="16"/>
          <w:szCs w:val="16"/>
        </w:rPr>
        <w:t xml:space="preserve">Dovecote Systems Ltd  |  Company No. 17160178  |  Registered in England and Wales  |  Incorporated 15 April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AAAAAA"/>
        <w:sz w:val="16"/>
        <w:szCs w:val="16"/>
      </w:rPr>
      <w:t xml:space="preserve">CONFIDENTIAL — Dovecote Systems Ltd</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b/>
        <w:bCs/>
        <w:color w:val="1A1A2E"/>
        <w:sz w:val="18"/>
        <w:szCs w:val="18"/>
      </w:rPr>
      <w:t xml:space="preserve">DOVECOTE SYSTEMS LTD</w:t>
    </w:r>
    <w:r>
      <w:rPr>
        <w:rFonts w:ascii="Arial" w:cs="Arial" w:eastAsia="Arial" w:hAnsi="Arial"/>
        <w:color w:val="888888"/>
        <w:sz w:val="18"/>
        <w:szCs w:val="18"/>
      </w:rPr>
      <w:t xml:space="preserve">   |   Company No. 17160178   |   IP Assignment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2026-04-27T14:24:30.161Z</dcterms:created>
  <dcterms:modified xsi:type="dcterms:W3CDTF">2026-04-27T14:24:30.161Z</dcterms:modified>
</cp:coreProperties>
</file>

<file path=docProps/custom.xml><?xml version="1.0" encoding="utf-8"?>
<Properties xmlns="http://schemas.openxmlformats.org/officeDocument/2006/custom-properties" xmlns:vt="http://schemas.openxmlformats.org/officeDocument/2006/docPropsVTypes"/>
</file>