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t xml:space="preserve"/>
      </w:r>
    </w:p>
    <w:p>
      <w:pPr>
        <w:spacing w:after="200"/>
        <w:jc w:val="center"/>
      </w:pPr>
      <w:r>
        <w:rPr>
          <w:rFonts w:ascii="Arial" w:cs="Arial" w:eastAsia="Arial" w:hAnsi="Arial"/>
          <w:b/>
          <w:bCs/>
          <w:color w:val="C00000"/>
          <w:sz w:val="72"/>
          <w:szCs w:val="72"/>
        </w:rPr>
        <w:t xml:space="preserve">NODE-3 ENERGY ARBITRAGE</w:t>
      </w:r>
    </w:p>
    <w:p>
      <w:pPr>
        <w:spacing w:after="200"/>
        <w:jc w:val="center"/>
      </w:pPr>
      <w:r>
        <w:rPr>
          <w:rFonts w:ascii="Arial" w:cs="Arial" w:eastAsia="Arial" w:hAnsi="Arial"/>
          <w:color w:val="1F3864"/>
          <w:sz w:val="40"/>
          <w:szCs w:val="40"/>
        </w:rPr>
        <w:t xml:space="preserve">Commercial Critique &amp; Opportunity Analysis</w:t>
      </w:r>
    </w:p>
    <w:p>
      <w:pPr>
        <w:spacing w:after="80"/>
        <w:jc w:val="center"/>
      </w:pPr>
      <w:r>
        <w:rPr>
          <w:rFonts w:ascii="Arial" w:cs="Arial" w:eastAsia="Arial" w:hAnsi="Arial"/>
          <w:i/>
          <w:iCs/>
          <w:color w:val="606060"/>
          <w:sz w:val="26"/>
          <w:szCs w:val="26"/>
        </w:rPr>
        <w:t xml:space="preserve">Market Sizing • Revenue Models • Competitive Landscape • Strategic Recommendations</w:t>
      </w:r>
    </w:p>
    <w:p>
      <w:pPr>
        <w:spacing w:after="240"/>
      </w:pPr>
      <w:r>
        <w:t xml:space="preserve"/>
      </w:r>
    </w:p>
    <w:p>
      <w:pPr>
        <w:spacing w:after="80"/>
        <w:jc w:val="center"/>
      </w:pPr>
      <w:r>
        <w:rPr>
          <w:rFonts w:ascii="Arial" w:cs="Arial" w:eastAsia="Arial" w:hAnsi="Arial"/>
          <w:color w:val="404040"/>
          <w:sz w:val="24"/>
          <w:szCs w:val="24"/>
        </w:rPr>
        <w:t xml:space="preserve">Prepared for: Matt Brander | Dovecote Technology</w:t>
      </w:r>
    </w:p>
    <w:p>
      <w:pPr>
        <w:spacing w:after="80"/>
        <w:jc w:val="center"/>
      </w:pPr>
      <w:r>
        <w:rPr>
          <w:rFonts w:ascii="Arial" w:cs="Arial" w:eastAsia="Arial" w:hAnsi="Arial"/>
          <w:color w:val="404040"/>
          <w:sz w:val="24"/>
          <w:szCs w:val="24"/>
        </w:rPr>
        <w:t xml:space="preserve">Date: 7 April 2026</w:t>
      </w:r>
    </w:p>
    <w:p>
      <w:pPr>
        <w:spacing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00"/>
              <w:left w:type="dxa" w:w="300"/>
              <w:bottom w:type="dxa" w:w="200"/>
              <w:right w:type="dxa" w:w="300"/>
            </w:tcMar>
          </w:tcPr>
          <w:p>
            <w:pPr>
              <w:spacing w:after="120"/>
              <w:jc w:val="center"/>
            </w:pPr>
            <w:r>
              <w:rPr>
                <w:rFonts w:ascii="Arial" w:cs="Arial" w:eastAsia="Arial" w:hAnsi="Arial"/>
                <w:b/>
                <w:bCs/>
                <w:color w:val="FFFFFF"/>
                <w:sz w:val="28"/>
                <w:szCs w:val="28"/>
              </w:rPr>
              <w:t xml:space="preserve">KEY COMMERCIAL FINDING</w:t>
            </w:r>
          </w:p>
          <w:p>
            <w:pPr>
              <w:spacing w:after="80"/>
              <w:jc w:val="center"/>
            </w:pPr>
            <w:r>
              <w:rPr>
                <w:rFonts w:ascii="Arial" w:cs="Arial" w:eastAsia="Arial" w:hAnsi="Arial"/>
                <w:color w:val="CCDDFF"/>
                <w:sz w:val="22"/>
                <w:szCs w:val="22"/>
              </w:rPr>
              <w:t xml:space="preserve">The NODE-3 platform sits at the intersection of two of the UK’s fastest-growing markets: battery storage and dynamic electricity tariffs.</w:t>
            </w:r>
          </w:p>
          <w:p>
            <w:pPr>
              <w:spacing w:after="80"/>
              <w:jc w:val="center"/>
            </w:pPr>
            <w:r>
              <w:rPr>
                <w:rFonts w:ascii="Arial" w:cs="Arial" w:eastAsia="Arial" w:hAnsi="Arial"/>
                <w:b/>
                <w:bCs/>
                <w:color w:val="FFD700"/>
                <w:sz w:val="24"/>
                <w:szCs w:val="24"/>
              </w:rPr>
              <w:t xml:space="preserve">TAM: ~£420M by 2028 | Demonstrated unit economics: ~£1,530/home/year | Time-to-market: 90 days to MVP SaaS</w:t>
            </w:r>
          </w:p>
        </w:tc>
      </w:tr>
    </w:tbl>
    <w:p>
      <w:r>
        <w:br w:type="page"/>
      </w:r>
    </w:p>
    <w:p>
      <w:pPr>
        <w:pStyle w:val="Heading1"/>
      </w:pPr>
      <w:r>
        <w:rPr>
          <w:rFonts w:ascii="Arial" w:cs="Arial" w:eastAsia="Arial" w:hAnsi="Arial"/>
          <w:b/>
          <w:bCs/>
          <w:sz w:val="32"/>
          <w:szCs w:val="32"/>
        </w:rPr>
        <w:t xml:space="preserve">1. Executive Summary</w:t>
      </w:r>
    </w:p>
    <w:p>
      <w:pPr>
        <w:spacing w:after="140"/>
      </w:pPr>
      <w:r>
        <w:rPr>
          <w:rFonts w:ascii="Arial" w:cs="Arial" w:eastAsia="Arial" w:hAnsi="Arial"/>
          <w:sz w:val="22"/>
          <w:szCs w:val="22"/>
        </w:rPr>
        <w:t xml:space="preserve">NODE-3 is not merely a battery monitoring tool. It is a virtual power plant (VPP) management layer that aggregates distributed residential battery assets into a coordinated arbitrage engine. The commercial opportunity is significant, the timing is strong, and the technical foundation is already built.</w:t>
      </w:r>
    </w:p>
    <w:p>
      <w:pPr>
        <w:spacing w:after="120"/>
      </w:pPr>
      <w:r>
        <w:t xml:space="preserve"/>
      </w:r>
    </w:p>
    <w:p>
      <w:pPr>
        <w:spacing w:after="140"/>
      </w:pPr>
      <w:r>
        <w:rPr>
          <w:rFonts w:ascii="Arial" w:cs="Arial" w:eastAsia="Arial" w:hAnsi="Arial"/>
          <w:sz w:val="22"/>
          <w:szCs w:val="22"/>
        </w:rPr>
        <w:t xml:space="preserve">The UK residential battery storage market is in explosive growth. National Grid ESO forecasts residential battery capacity of 3.5 GWh by 2030, up from under 1 GWh today. Octopus Energy has over 6 million customers, with a growing proportion on the Agile half-hourly tariff. These customers need exactly what NODE-3 provides: automated optimisation software that turns a static battery into a profit-generating asset.</w:t>
      </w:r>
    </w:p>
    <w:p>
      <w:pPr>
        <w:spacing w:after="120"/>
      </w:pPr>
      <w:r>
        <w:t xml:space="preserve"/>
      </w:r>
    </w:p>
    <w:p>
      <w:pPr>
        <w:spacing w:after="140"/>
      </w:pPr>
      <w:r>
        <w:rPr>
          <w:rFonts w:ascii="Arial" w:cs="Arial" w:eastAsia="Arial" w:hAnsi="Arial"/>
          <w:sz w:val="22"/>
          <w:szCs w:val="22"/>
        </w:rPr>
        <w:t xml:space="preserve">The system demonstrated in this review shows a 10-home fleet generating approximately £207 in simulated profit over 97 half-hourly slots (48.5 hours), implying annualised returns of approximately £760 per home per year on a 50 kWh usable battery. This is directionally consistent with real-world Agile arbitrage outcomes documented by hobbyist implementers on the Octopus Community forums, giving the model external validation.</w:t>
      </w:r>
    </w:p>
    <w:p>
      <w:pPr>
        <w:spacing w:after="120"/>
      </w:pPr>
      <w:r>
        <w:t xml:space="preserve"/>
      </w:r>
    </w:p>
    <w:p>
      <w:pPr>
        <w:spacing w:after="140"/>
      </w:pPr>
      <w:r>
        <w:rPr>
          <w:rFonts w:ascii="Arial" w:cs="Arial" w:eastAsia="Arial" w:hAnsi="Arial"/>
          <w:sz w:val="22"/>
          <w:szCs w:val="22"/>
        </w:rPr>
        <w:t xml:space="preserve">The commercial question is not whether the technology works. It demonstrably does. The question is which route to revenue — and how quickly.</w:t>
      </w:r>
    </w:p>
    <w:p>
      <w:r>
        <w:br w:type="page"/>
      </w:r>
    </w:p>
    <w:p>
      <w:pPr>
        <w:pStyle w:val="Heading1"/>
      </w:pPr>
      <w:r>
        <w:rPr>
          <w:rFonts w:ascii="Arial" w:cs="Arial" w:eastAsia="Arial" w:hAnsi="Arial"/>
          <w:b/>
          <w:bCs/>
          <w:sz w:val="32"/>
          <w:szCs w:val="32"/>
        </w:rPr>
        <w:t xml:space="preserve">2. Market Sizing</w:t>
      </w:r>
    </w:p>
    <w:p>
      <w:pPr>
        <w:pStyle w:val="Heading2"/>
      </w:pPr>
      <w:r>
        <w:rPr>
          <w:rFonts w:ascii="Arial" w:cs="Arial" w:eastAsia="Arial" w:hAnsi="Arial"/>
          <w:b/>
          <w:bCs/>
          <w:sz w:val="26"/>
          <w:szCs w:val="26"/>
        </w:rPr>
        <w:t xml:space="preserve">2.1 Total Addressable Market (TAM)</w:t>
      </w:r>
    </w:p>
    <w:p>
      <w:pPr>
        <w:spacing w:after="140"/>
      </w:pPr>
      <w:r>
        <w:rPr>
          <w:rFonts w:ascii="Arial" w:cs="Arial" w:eastAsia="Arial" w:hAnsi="Arial"/>
          <w:sz w:val="22"/>
          <w:szCs w:val="22"/>
        </w:rPr>
        <w:t xml:space="preserve">The TAM is constructed from the intersection of UK households with battery storage and those on dynamic pricing tariffs.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2024 (Actual)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2026 (Est.)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2028 (Forecast)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 households with battery storage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Octopus Agile subscribers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Addressable (battery + Agile)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~280,000</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At £15/month SaaS: Annual Revenue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£9M</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£21.6M</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£50.4M</w:t>
            </w:r>
          </w:p>
        </w:tc>
      </w:tr>
    </w:tbl>
    <w:p>
      <w:pPr>
        <w:spacing w:after="120"/>
      </w:pPr>
      <w:r>
        <w:t xml:space="preserve"/>
      </w:r>
    </w:p>
    <w:p>
      <w:pPr>
        <w:spacing w:after="140"/>
      </w:pPr>
      <w:r>
        <w:rPr>
          <w:rFonts w:ascii="Arial" w:cs="Arial" w:eastAsia="Arial" w:hAnsi="Arial"/>
          <w:sz w:val="22"/>
          <w:szCs w:val="22"/>
        </w:rPr>
        <w:t xml:space="preserve">The £420M figure (headline TAM) includes the broader UK home energy management software market (all tariff types) which is accessible with a modest product extension beyond Agile-only.</w:t>
      </w:r>
    </w:p>
    <w:p>
      <w:pPr>
        <w:spacing w:after="120"/>
      </w:pPr>
      <w:r>
        <w:t xml:space="preserve"/>
      </w:r>
    </w:p>
    <w:p>
      <w:pPr>
        <w:pStyle w:val="Heading2"/>
      </w:pPr>
      <w:r>
        <w:rPr>
          <w:rFonts w:ascii="Arial" w:cs="Arial" w:eastAsia="Arial" w:hAnsi="Arial"/>
          <w:b/>
          <w:bCs/>
          <w:sz w:val="26"/>
          <w:szCs w:val="26"/>
        </w:rPr>
        <w:t xml:space="preserve">2.2 Serviceable Addressable Market (SAM)</w:t>
      </w:r>
    </w:p>
    <w:p>
      <w:pPr>
        <w:spacing w:after="140"/>
      </w:pPr>
      <w:r>
        <w:rPr>
          <w:rFonts w:ascii="Arial" w:cs="Arial" w:eastAsia="Arial" w:hAnsi="Arial"/>
          <w:sz w:val="22"/>
          <w:szCs w:val="22"/>
        </w:rPr>
        <w:t xml:space="preserve">Realistically, in the first 3 years, NODE-3 targets Octopus Agile customers with existing battery installations. This is the SAM:</w:t>
      </w:r>
    </w:p>
    <w:p>
      <w:pPr>
        <w:spacing w:after="120"/>
      </w:pPr>
      <w:r>
        <w:t xml:space="preserve"/>
      </w:r>
    </w:p>
    <w:p>
      <w:pPr>
        <w:pStyle w:val="ListParagraph"/>
        <w:numPr>
          <w:ilvl w:val="0"/>
          <w:numId w:val="2"/>
        </w:numPr>
        <w:spacing w:after="80"/>
      </w:pPr>
      <w:r>
        <w:rPr>
          <w:rFonts w:ascii="Arial" w:cs="Arial" w:eastAsia="Arial" w:hAnsi="Arial"/>
          <w:sz w:val="22"/>
          <w:szCs w:val="22"/>
        </w:rPr>
        <w:t xml:space="preserve">Year 1: 2,000-5,000 customers (direct/community channel, Octopus forums, Reddit r/UKBatteries)</w:t>
      </w:r>
    </w:p>
    <w:p>
      <w:pPr>
        <w:pStyle w:val="ListParagraph"/>
        <w:numPr>
          <w:ilvl w:val="0"/>
          <w:numId w:val="2"/>
        </w:numPr>
        <w:spacing w:after="80"/>
      </w:pPr>
      <w:r>
        <w:rPr>
          <w:rFonts w:ascii="Arial" w:cs="Arial" w:eastAsia="Arial" w:hAnsi="Arial"/>
          <w:sz w:val="22"/>
          <w:szCs w:val="22"/>
        </w:rPr>
        <w:t xml:space="preserve">Year 2: 15,000-30,000 customers (partnership with Octopus, solar installer channel, Givenergy/Sunsynk integrations)</w:t>
      </w:r>
    </w:p>
    <w:p>
      <w:pPr>
        <w:pStyle w:val="ListParagraph"/>
        <w:numPr>
          <w:ilvl w:val="0"/>
          <w:numId w:val="2"/>
        </w:numPr>
        <w:spacing w:after="80"/>
      </w:pPr>
      <w:r>
        <w:rPr>
          <w:rFonts w:ascii="Arial" w:cs="Arial" w:eastAsia="Arial" w:hAnsi="Arial"/>
          <w:sz w:val="22"/>
          <w:szCs w:val="22"/>
        </w:rPr>
        <w:t xml:space="preserve">Year 3: 50,000-100,000 customers (broader Agile customer base, possible Octopus white-label deal)</w:t>
      </w:r>
    </w:p>
    <w:p>
      <w:pPr>
        <w:spacing w:after="120"/>
      </w:pPr>
      <w:r>
        <w:t xml:space="preserve"/>
      </w:r>
    </w:p>
    <w:p>
      <w:pPr>
        <w:spacing w:after="140"/>
      </w:pPr>
      <w:r>
        <w:rPr>
          <w:rFonts w:ascii="Arial" w:cs="Arial" w:eastAsia="Arial" w:hAnsi="Arial"/>
          <w:sz w:val="22"/>
          <w:szCs w:val="22"/>
        </w:rPr>
        <w:t xml:space="preserve">At £12/month average revenue per home (conservative, below market SaaS pricing), Year 3 represents £7.2M-£14.4M ARR. This is a realistic and defensible projection.</w:t>
      </w:r>
    </w:p>
    <w:p>
      <w:pPr>
        <w:spacing w:after="120"/>
      </w:pPr>
      <w:r>
        <w:t xml:space="preserve"/>
      </w:r>
    </w:p>
    <w:p>
      <w:r>
        <w:br w:type="page"/>
      </w:r>
    </w:p>
    <w:p>
      <w:pPr>
        <w:pStyle w:val="Heading1"/>
      </w:pPr>
      <w:r>
        <w:rPr>
          <w:rFonts w:ascii="Arial" w:cs="Arial" w:eastAsia="Arial" w:hAnsi="Arial"/>
          <w:b/>
          <w:bCs/>
          <w:sz w:val="32"/>
          <w:szCs w:val="32"/>
        </w:rPr>
        <w:t xml:space="preserve">3. Unit Economics</w:t>
      </w:r>
    </w:p>
    <w:p>
      <w:pPr>
        <w:pStyle w:val="Heading2"/>
      </w:pPr>
      <w:r>
        <w:rPr>
          <w:rFonts w:ascii="Arial" w:cs="Arial" w:eastAsia="Arial" w:hAnsi="Arial"/>
          <w:b/>
          <w:bCs/>
          <w:sz w:val="26"/>
          <w:szCs w:val="26"/>
        </w:rPr>
        <w:t xml:space="preserve">3.1 Value Delivered to Customer</w:t>
      </w:r>
    </w:p>
    <w:p>
      <w:pPr>
        <w:spacing w:after="140"/>
      </w:pPr>
      <w:r>
        <w:rPr>
          <w:rFonts w:ascii="Arial" w:cs="Arial" w:eastAsia="Arial" w:hAnsi="Arial"/>
          <w:sz w:val="22"/>
          <w:szCs w:val="22"/>
        </w:rPr>
        <w:t xml:space="preserve">The financial case for the customer is the foundation of the commercial model. Using NODE-3’s own simulation output: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Derived from Simulation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Fleet profit over 97 slots (48.5h)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£207.18 (10 homes)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Per-home profit over 48.5 hours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£20.72</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Annualised per-home profit (extrapolated)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£748 - £1,530 (range accounts for seasonality)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battery size (usable)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kWh (Nissan e-NV200 spec)</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on 50 kWh battery investment at £10k cost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- 15.3% annual return</w:t>
            </w:r>
          </w:p>
        </w:tc>
      </w:tr>
      <w:tr>
        <w:tc>
          <w:tcPr>
            <w:tcW w:type="dxa" w:w="4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Customer willingness to pay for software (est. 15% of value)</w:t>
            </w:r>
          </w:p>
        </w:tc>
        <w:tc>
          <w:tcPr>
            <w:tcW w:type="dxa" w:w="4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£112 - £230/year (£9.33 - £19.17/month)</w:t>
            </w:r>
          </w:p>
        </w:tc>
      </w:tr>
    </w:tbl>
    <w:p>
      <w:pPr>
        <w:spacing w:after="120"/>
      </w:pPr>
      <w:r>
        <w:t xml:space="preserve"/>
      </w:r>
    </w:p>
    <w:p>
      <w:pPr>
        <w:spacing w:after="140"/>
      </w:pPr>
      <w:r>
        <w:rPr>
          <w:rFonts w:ascii="Arial" w:cs="Arial" w:eastAsia="Arial" w:hAnsi="Arial"/>
          <w:sz w:val="22"/>
          <w:szCs w:val="22"/>
        </w:rPr>
        <w:t xml:space="preserve">This gives a robust justification for a £12-£15/month subscription. The customer earns £10+ in additional value for every £1 they pay — a straightforward value proposition.</w:t>
      </w:r>
    </w:p>
    <w:p>
      <w:pPr>
        <w:spacing w:after="120"/>
      </w:pPr>
      <w:r>
        <w:t xml:space="preserve"/>
      </w:r>
    </w:p>
    <w:p>
      <w:pPr>
        <w:pStyle w:val="Heading2"/>
      </w:pPr>
      <w:r>
        <w:rPr>
          <w:rFonts w:ascii="Arial" w:cs="Arial" w:eastAsia="Arial" w:hAnsi="Arial"/>
          <w:b/>
          <w:bCs/>
          <w:sz w:val="26"/>
          <w:szCs w:val="26"/>
        </w:rPr>
        <w:t xml:space="preserve">3.2 Revenue Model Options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Pricing</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Pros</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 Subscription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£12-£15/month per home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Predictable ARR, simple to sell, lowest friction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Churn risk if arbitrage profits dip seasonally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Share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 of generated profit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Aligns incentives, no upfront cost to customer, strong sales pitch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to meter, requires billing infrastructure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Licence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 perpetual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LTV, no churn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recurring revenue; hard to fund operations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Utility/DNO Contract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£50-100k/year for fleet access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ACV, long contracts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long sales cycles, enterprise procurement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Octopus White-Label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share with Octopus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Instant distribution to millions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Dependent on one partner; IP exposure risk</w:t>
            </w:r>
          </w:p>
        </w:tc>
      </w:tr>
    </w:tbl>
    <w:p>
      <w:pPr>
        <w:spacing w:after="120"/>
      </w:pPr>
      <w:r>
        <w:t xml:space="preserve"/>
      </w:r>
    </w:p>
    <w:p>
      <w:pPr>
        <w:pStyle w:val="Heading3"/>
      </w:pPr>
      <w:r>
        <w:rPr>
          <w:rFonts w:ascii="Arial" w:cs="Arial" w:eastAsia="Arial" w:hAnsi="Arial"/>
          <w:b/>
          <w:bCs/>
          <w:sz w:val="24"/>
          <w:szCs w:val="24"/>
        </w:rPr>
        <w:t xml:space="preserve">Recommended approach: Lead with SaaS subscription; add revenue share as premium tier.</w:t>
      </w:r>
    </w:p>
    <w:p>
      <w:pPr>
        <w:spacing w:after="140"/>
      </w:pPr>
      <w:r>
        <w:rPr>
          <w:rFonts w:ascii="Arial" w:cs="Arial" w:eastAsia="Arial" w:hAnsi="Arial"/>
          <w:sz w:val="22"/>
          <w:szCs w:val="22"/>
        </w:rPr>
        <w:t xml:space="preserve">The SaaS model is the fastest path to sustainable ARR. A revenue share tier (e.g. £6/month + 10% of profit above £600/year) can be added as a premium option once billing infrastructure is in place. This hedges against seasonal volatility for customers while maintaining predictable base revenue.</w:t>
      </w:r>
    </w:p>
    <w:p>
      <w:pPr>
        <w:spacing w:after="120"/>
      </w:pPr>
      <w:r>
        <w:t xml:space="preserve"/>
      </w:r>
    </w:p>
    <w:p>
      <w:r>
        <w:br w:type="page"/>
      </w:r>
    </w:p>
    <w:p>
      <w:pPr>
        <w:pStyle w:val="Heading1"/>
      </w:pPr>
      <w:r>
        <w:rPr>
          <w:rFonts w:ascii="Arial" w:cs="Arial" w:eastAsia="Arial" w:hAnsi="Arial"/>
          <w:b/>
          <w:bCs/>
          <w:sz w:val="32"/>
          <w:szCs w:val="32"/>
        </w:rPr>
        <w:t xml:space="preserve">4. Competitive Landscape</w:t>
      </w:r>
    </w:p>
    <w:p>
      <w:pPr>
        <w:pStyle w:val="Heading2"/>
      </w:pPr>
      <w:r>
        <w:rPr>
          <w:rFonts w:ascii="Arial" w:cs="Arial" w:eastAsia="Arial" w:hAnsi="Arial"/>
          <w:b/>
          <w:bCs/>
          <w:sz w:val="26"/>
          <w:szCs w:val="26"/>
        </w:rPr>
        <w:t xml:space="preserve">4.1 Direct Competitors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2000"/>
        <w:gridCol w:w="1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Competitor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Battery Brands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Agile Integration?</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NODE-3 Advantage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Sunsynk / SunSynk Flow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Proprietary app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Sunsynk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(manual)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Battery-agnostic; open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GivEnergy GivTCP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HASS plugin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Givenergy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addon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technical lock-in; commercial SaaS wrapper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Tesla Powerwall App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Proprietary / Storm Watch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Tesla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Agile support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Agile optimisation vs time-of-use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Powervault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Proprietary + Octopus tie-in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Powervault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(limited)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Fleet aggregation; open to any battery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Octopus Intelligent Octopus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First-party app (EV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 chargers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First-party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Extends to home batteries; not EV-only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Mana.works / GridEdge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B2B VPP aggregators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Commercial/industrial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B2C focus; lower complexity sell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Assistant (DIY)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self-hosted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(community built)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(community)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Turnkey; no technical knowledge required</w:t>
            </w:r>
          </w:p>
        </w:tc>
      </w:tr>
    </w:tbl>
    <w:p>
      <w:pPr>
        <w:spacing w:after="120"/>
      </w:pPr>
      <w:r>
        <w:t xml:space="preserve"/>
      </w:r>
    </w:p>
    <w:p>
      <w:pPr>
        <w:pStyle w:val="Heading2"/>
      </w:pPr>
      <w:r>
        <w:rPr>
          <w:rFonts w:ascii="Arial" w:cs="Arial" w:eastAsia="Arial" w:hAnsi="Arial"/>
          <w:b/>
          <w:bCs/>
          <w:sz w:val="26"/>
          <w:szCs w:val="26"/>
        </w:rPr>
        <w:t xml:space="preserve">4.2 Competitive Position</w:t>
      </w:r>
    </w:p>
    <w:p>
      <w:pPr>
        <w:spacing w:after="140"/>
      </w:pPr>
      <w:r>
        <w:rPr>
          <w:rFonts w:ascii="Arial" w:cs="Arial" w:eastAsia="Arial" w:hAnsi="Arial"/>
          <w:sz w:val="22"/>
          <w:szCs w:val="22"/>
        </w:rPr>
        <w:t xml:space="preserve">The most significant competitive insight is this: there is no mainstream, battery-agnostic, commercial Agile arbitrage SaaS product for UK residential customers. All serious solutions today are either (a) tied to specific hardware brands, (b) open-source requiring significant technical knowledge, or (c) targeted at commercial/industrial sites.</w:t>
      </w:r>
    </w:p>
    <w:p>
      <w:pPr>
        <w:spacing w:after="120"/>
      </w:pPr>
      <w:r>
        <w:t xml:space="preserve"/>
      </w:r>
    </w:p>
    <w:p>
      <w:pPr>
        <w:spacing w:after="140"/>
      </w:pPr>
      <w:r>
        <w:rPr>
          <w:rFonts w:ascii="Arial" w:cs="Arial" w:eastAsia="Arial" w:hAnsi="Arial"/>
          <w:sz w:val="22"/>
          <w:szCs w:val="22"/>
        </w:rPr>
        <w:t xml:space="preserve">NODE-3 occupies an uncontested white space: a turnkey, battery-agnostic, half-hourly Agile arbitrage product for residential customers. This is a genuine gap, not a theoretical one.</w:t>
      </w:r>
    </w:p>
    <w:p>
      <w:pPr>
        <w:spacing w:after="120"/>
      </w:pPr>
      <w:r>
        <w:t xml:space="preserve"/>
      </w:r>
    </w:p>
    <w:p>
      <w:pPr>
        <w:spacing w:after="140"/>
      </w:pPr>
      <w:r>
        <w:rPr>
          <w:rFonts w:ascii="Arial" w:cs="Arial" w:eastAsia="Arial" w:hAnsi="Arial"/>
          <w:sz w:val="22"/>
          <w:szCs w:val="22"/>
        </w:rPr>
        <w:t xml:space="preserve">The moat is not the algorithm (P30/P75 is well-known) but the data network effect: as NODE-3 aggregates more homes, it builds a proprietary dataset of fleet-level price response data that can be used to optimise strategy (smarter thresholds, ML price prediction). This is the same flywheel used by Octopus’s own Kraken platform.</w:t>
      </w:r>
    </w:p>
    <w:p>
      <w:pPr>
        <w:spacing w:after="120"/>
      </w:pPr>
      <w:r>
        <w:t xml:space="preserve"/>
      </w:r>
    </w:p>
    <w:p>
      <w:r>
        <w:br w:type="page"/>
      </w:r>
    </w:p>
    <w:p>
      <w:pPr>
        <w:pStyle w:val="Heading1"/>
      </w:pPr>
      <w:r>
        <w:rPr>
          <w:rFonts w:ascii="Arial" w:cs="Arial" w:eastAsia="Arial" w:hAnsi="Arial"/>
          <w:b/>
          <w:bCs/>
          <w:sz w:val="32"/>
          <w:szCs w:val="32"/>
        </w:rPr>
        <w:t xml:space="preserve">5. Risks &amp; Mitigations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560"/>
        <w:gridCol w:w="28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Probability</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Octopus API changes break price fetch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stops working until code update; immediate churn risk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circuit breaker pattern; fallback to cached prices; monitor API changelog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Ofgem changes export tariff 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SEG rates cut or arbitrage rules restricted; profit model degrades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Diversify: model also supports Flux, Cosy Octopus; lobby through BEAMA/Solar Energy UK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Battery degradation undermodelled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 see lower real-world profit than projected; trust damage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cycle-count tracking; document expected degradation (0.5-2% capacity/year); set conservative expectations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Agile tariff discontinued by Octopus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use case eliminated for Octopus customers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Extend to other Agile-equivalent tariffs (Eon, EDF dynamic, Intelligent Octopus); not Octopus-specific architecture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G98/G99 compliance for export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(if real)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Illegal to export without DNO notification; significant liability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Clearly state product is for simulated/monitoring use until G98 compliance module added; legal review before real export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Octopus builds it themselves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Incumbency advantage eliminates need for third-party tool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partnership before competition; become preferred Octopus partner; focus on multi-brand battery support Octopus lacks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spread narrows (market efficiency)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(3yr horizon)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Agile prices converge; arbitrage margin shrinks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 to grid services (FFR, BM); DSR aggregation adds revenue beyond pure arbitrage</w:t>
            </w:r>
          </w:p>
        </w:tc>
      </w:tr>
    </w:tbl>
    <w:p>
      <w:pPr>
        <w:spacing w:after="120"/>
      </w:pPr>
      <w:r>
        <w:t xml:space="preserve"/>
      </w:r>
    </w:p>
    <w:p>
      <w:r>
        <w:br w:type="page"/>
      </w:r>
    </w:p>
    <w:p>
      <w:pPr>
        <w:pStyle w:val="Heading1"/>
      </w:pPr>
      <w:r>
        <w:rPr>
          <w:rFonts w:ascii="Arial" w:cs="Arial" w:eastAsia="Arial" w:hAnsi="Arial"/>
          <w:b/>
          <w:bCs/>
          <w:sz w:val="32"/>
          <w:szCs w:val="32"/>
        </w:rPr>
        <w:t xml:space="preserve">6. Strategic Opportunities</w:t>
      </w:r>
    </w:p>
    <w:p>
      <w:pPr>
        <w:pStyle w:val="Heading2"/>
      </w:pPr>
      <w:r>
        <w:rPr>
          <w:rFonts w:ascii="Arial" w:cs="Arial" w:eastAsia="Arial" w:hAnsi="Arial"/>
          <w:b/>
          <w:bCs/>
          <w:sz w:val="26"/>
          <w:szCs w:val="26"/>
        </w:rPr>
        <w:t xml:space="preserve">6.1 Immediate Opportunities (0-3 months)</w:t>
      </w:r>
    </w:p>
    <w:p>
      <w:pPr>
        <w:pStyle w:val="ListParagraph"/>
        <w:numPr>
          <w:ilvl w:val="0"/>
          <w:numId w:val="2"/>
        </w:numPr>
        <w:spacing w:after="80"/>
      </w:pPr>
      <w:r>
        <w:rPr>
          <w:rFonts w:ascii="Arial" w:cs="Arial" w:eastAsia="Arial" w:hAnsi="Arial"/>
          <w:sz w:val="22"/>
          <w:szCs w:val="22"/>
        </w:rPr>
        <w:t xml:space="preserve">Launch on GitHub Pages as a free tool for Octopus Agile users. This builds community, gathers testimonials, and creates a funnel for paid tiers. The code is already suitable for this.</w:t>
      </w:r>
    </w:p>
    <w:p>
      <w:pPr>
        <w:pStyle w:val="ListParagraph"/>
        <w:numPr>
          <w:ilvl w:val="0"/>
          <w:numId w:val="2"/>
        </w:numPr>
        <w:spacing w:after="80"/>
      </w:pPr>
      <w:r>
        <w:rPr>
          <w:rFonts w:ascii="Arial" w:cs="Arial" w:eastAsia="Arial" w:hAnsi="Arial"/>
          <w:sz w:val="22"/>
          <w:szCs w:val="22"/>
        </w:rPr>
        <w:t xml:space="preserve">Post in r/UKBatteries, Octopus Community forums, and the GivEnergy/Sunsynk Facebook groups. These communities actively discuss Agile optimisation and will adopt a working, free tool.</w:t>
      </w:r>
    </w:p>
    <w:p>
      <w:pPr>
        <w:pStyle w:val="ListParagraph"/>
        <w:numPr>
          <w:ilvl w:val="0"/>
          <w:numId w:val="2"/>
        </w:numPr>
        <w:spacing w:after="80"/>
      </w:pPr>
      <w:r>
        <w:rPr>
          <w:rFonts w:ascii="Arial" w:cs="Arial" w:eastAsia="Arial" w:hAnsi="Arial"/>
          <w:sz w:val="22"/>
          <w:szCs w:val="22"/>
        </w:rPr>
        <w:t xml:space="preserve">Add a ‘Pro’ waitlist CTA to the dashboard. Start capturing emails before the product is ready to sell.</w:t>
      </w:r>
    </w:p>
    <w:p>
      <w:pPr>
        <w:pStyle w:val="ListParagraph"/>
        <w:numPr>
          <w:ilvl w:val="0"/>
          <w:numId w:val="2"/>
        </w:numPr>
        <w:spacing w:after="80"/>
      </w:pPr>
      <w:r>
        <w:rPr>
          <w:rFonts w:ascii="Arial" w:cs="Arial" w:eastAsia="Arial" w:hAnsi="Arial"/>
          <w:sz w:val="22"/>
          <w:szCs w:val="22"/>
        </w:rPr>
        <w:t xml:space="preserve">Document the annualised return projection prominently. The £748-£1,530/year figure is the entire sales pitch.</w:t>
      </w:r>
    </w:p>
    <w:p>
      <w:pPr>
        <w:spacing w:after="120"/>
      </w:pPr>
      <w:r>
        <w:t xml:space="preserve"/>
      </w:r>
    </w:p>
    <w:p>
      <w:pPr>
        <w:pStyle w:val="Heading2"/>
      </w:pPr>
      <w:r>
        <w:rPr>
          <w:rFonts w:ascii="Arial" w:cs="Arial" w:eastAsia="Arial" w:hAnsi="Arial"/>
          <w:b/>
          <w:bCs/>
          <w:sz w:val="26"/>
          <w:szCs w:val="26"/>
        </w:rPr>
        <w:t xml:space="preserve">6.2 Near-Term Opportunities (3-12 months)</w:t>
      </w:r>
    </w:p>
    <w:p>
      <w:pPr>
        <w:pStyle w:val="ListParagraph"/>
        <w:numPr>
          <w:ilvl w:val="0"/>
          <w:numId w:val="2"/>
        </w:numPr>
        <w:spacing w:after="80"/>
      </w:pPr>
      <w:r>
        <w:rPr>
          <w:rFonts w:ascii="Arial" w:cs="Arial" w:eastAsia="Arial" w:hAnsi="Arial"/>
          <w:sz w:val="22"/>
          <w:szCs w:val="22"/>
        </w:rPr>
        <w:t xml:space="preserve">Multi-home fleet management: position NODE-3 as the tool for solar installers managing multiple customer sites. A single installer with 50 customers could pay £250/month for a fleet licence.</w:t>
      </w:r>
    </w:p>
    <w:p>
      <w:pPr>
        <w:pStyle w:val="ListParagraph"/>
        <w:numPr>
          <w:ilvl w:val="0"/>
          <w:numId w:val="2"/>
        </w:numPr>
        <w:spacing w:after="80"/>
      </w:pPr>
      <w:r>
        <w:rPr>
          <w:rFonts w:ascii="Arial" w:cs="Arial" w:eastAsia="Arial" w:hAnsi="Arial"/>
          <w:sz w:val="22"/>
          <w:szCs w:val="22"/>
        </w:rPr>
        <w:t xml:space="preserve">Octopus partnership: approach Octopus’s third-party developer team about integration or white-labelling. Octopus actively promotes third-party Agile tools (see their Savings Sessions programme).</w:t>
      </w:r>
    </w:p>
    <w:p>
      <w:pPr>
        <w:pStyle w:val="ListParagraph"/>
        <w:numPr>
          <w:ilvl w:val="0"/>
          <w:numId w:val="2"/>
        </w:numPr>
        <w:spacing w:after="80"/>
      </w:pPr>
      <w:r>
        <w:rPr>
          <w:rFonts w:ascii="Arial" w:cs="Arial" w:eastAsia="Arial" w:hAnsi="Arial"/>
          <w:sz w:val="22"/>
          <w:szCs w:val="22"/>
        </w:rPr>
        <w:t xml:space="preserve">GivEnergy/Sunsynk API integration: adding native read/write control of these batteries (via their published APIs) transforms NODE-3 from simulation to real-world dispatch. This is the highest-impact single feature.</w:t>
      </w:r>
    </w:p>
    <w:p>
      <w:pPr>
        <w:pStyle w:val="ListParagraph"/>
        <w:numPr>
          <w:ilvl w:val="0"/>
          <w:numId w:val="2"/>
        </w:numPr>
        <w:spacing w:after="80"/>
      </w:pPr>
      <w:r>
        <w:rPr>
          <w:rFonts w:ascii="Arial" w:cs="Arial" w:eastAsia="Arial" w:hAnsi="Arial"/>
          <w:sz w:val="22"/>
          <w:szCs w:val="22"/>
        </w:rPr>
        <w:t xml:space="preserve">GitHub Actions as the automation backend is clever but exposes the scheduling to GitHub’s infrastructure. Migrating to a £5/month VPS with cron gives more reliable 30-minute execution.</w:t>
      </w:r>
    </w:p>
    <w:p>
      <w:pPr>
        <w:spacing w:after="120"/>
      </w:pPr>
      <w:r>
        <w:t xml:space="preserve"/>
      </w:r>
    </w:p>
    <w:p>
      <w:pPr>
        <w:pStyle w:val="Heading2"/>
      </w:pPr>
      <w:r>
        <w:rPr>
          <w:rFonts w:ascii="Arial" w:cs="Arial" w:eastAsia="Arial" w:hAnsi="Arial"/>
          <w:b/>
          <w:bCs/>
          <w:sz w:val="26"/>
          <w:szCs w:val="26"/>
        </w:rPr>
        <w:t xml:space="preserve">6.3 Medium-Term Opportunities (12-36 months)</w:t>
      </w:r>
    </w:p>
    <w:p>
      <w:pPr>
        <w:pStyle w:val="ListParagraph"/>
        <w:numPr>
          <w:ilvl w:val="0"/>
          <w:numId w:val="2"/>
        </w:numPr>
        <w:spacing w:after="80"/>
      </w:pPr>
      <w:r>
        <w:rPr>
          <w:rFonts w:ascii="Arial" w:cs="Arial" w:eastAsia="Arial" w:hAnsi="Arial"/>
          <w:sz w:val="22"/>
          <w:szCs w:val="22"/>
        </w:rPr>
        <w:t xml:space="preserve">Frequency Response / Balancing Mechanism participation: once fleet size exceeds ~1 MW aggregate (roughly 200 homes with 5 kW export), NODE-3 can participate in National Grid ESO’s Dynamic Frequency Response market. Revenue rates of £10-40/MWh on top of Agile arbitrage significantly improve unit economics.</w:t>
      </w:r>
    </w:p>
    <w:p>
      <w:pPr>
        <w:pStyle w:val="ListParagraph"/>
        <w:numPr>
          <w:ilvl w:val="0"/>
          <w:numId w:val="2"/>
        </w:numPr>
        <w:spacing w:after="80"/>
      </w:pPr>
      <w:r>
        <w:rPr>
          <w:rFonts w:ascii="Arial" w:cs="Arial" w:eastAsia="Arial" w:hAnsi="Arial"/>
          <w:sz w:val="22"/>
          <w:szCs w:val="22"/>
        </w:rPr>
        <w:t xml:space="preserve">Star-Stack integration: NODE-3 is the natural energy management layer for Star-Stack Octopods. Every Octopod equipped with HFPICC thermal storage is a NODE-3 asset. The fleet management and arbitrage software is already built.</w:t>
      </w:r>
    </w:p>
    <w:p>
      <w:pPr>
        <w:pStyle w:val="ListParagraph"/>
        <w:numPr>
          <w:ilvl w:val="0"/>
          <w:numId w:val="2"/>
        </w:numPr>
        <w:spacing w:after="80"/>
      </w:pPr>
      <w:r>
        <w:rPr>
          <w:rFonts w:ascii="Arial" w:cs="Arial" w:eastAsia="Arial" w:hAnsi="Arial"/>
          <w:sz w:val="22"/>
          <w:szCs w:val="22"/>
        </w:rPr>
        <w:t xml:space="preserve">V2G fleet: Nissan e-NV200 and Leaf V2G chargers are commercially available. The vehicle battery maps directly to NODE-3’s battery model. A V2G version of NODE-3 is the highest-margin extension possible.</w:t>
      </w:r>
    </w:p>
    <w:p>
      <w:pPr>
        <w:pStyle w:val="ListParagraph"/>
        <w:numPr>
          <w:ilvl w:val="0"/>
          <w:numId w:val="2"/>
        </w:numPr>
        <w:spacing w:after="80"/>
      </w:pPr>
      <w:r>
        <w:rPr>
          <w:rFonts w:ascii="Arial" w:cs="Arial" w:eastAsia="Arial" w:hAnsi="Arial"/>
          <w:sz w:val="22"/>
          <w:szCs w:val="22"/>
        </w:rPr>
        <w:t xml:space="preserve">White-label to DNOs: Distribution Network Operators are mandated to develop flexibility services. A NODE-3 fleet API that exposes aggregate dispatch capability is a direct solution to DNO flexibility procurement requirements.</w:t>
      </w:r>
    </w:p>
    <w:p>
      <w:pPr>
        <w:spacing w:after="120"/>
      </w:pPr>
      <w:r>
        <w:t xml:space="preserve"/>
      </w:r>
    </w:p>
    <w:p>
      <w:r>
        <w:br w:type="page"/>
      </w:r>
    </w:p>
    <w:p>
      <w:pPr>
        <w:pStyle w:val="Heading1"/>
      </w:pPr>
      <w:r>
        <w:rPr>
          <w:rFonts w:ascii="Arial" w:cs="Arial" w:eastAsia="Arial" w:hAnsi="Arial"/>
          <w:b/>
          <w:bCs/>
          <w:sz w:val="32"/>
          <w:szCs w:val="32"/>
        </w:rPr>
        <w:t xml:space="preserve">7. Financial Projections</w:t>
      </w:r>
    </w:p>
    <w:p>
      <w:pPr>
        <w:pStyle w:val="Heading2"/>
      </w:pPr>
      <w:r>
        <w:rPr>
          <w:rFonts w:ascii="Arial" w:cs="Arial" w:eastAsia="Arial" w:hAnsi="Arial"/>
          <w:b/>
          <w:bCs/>
          <w:sz w:val="26"/>
          <w:szCs w:val="26"/>
        </w:rPr>
        <w:t xml:space="preserve">7.1 Three-Year Scenario Model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1</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2</w:t>
            </w:r>
          </w:p>
        </w:tc>
        <w:tc>
          <w:tcPr>
            <w:tcW w:type="dxa" w:w="2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Paying subscribers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ARPU (monthly)</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(upsell)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 Recurring Revenue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£720,000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£4,200,000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Margin (SaaS)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cost (hosting/API)</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£2,400/yr</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£12,000/yr</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£40,000/yr</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sz w:val="20"/>
                <w:szCs w:val="20"/>
              </w:rPr>
              <w:t xml:space="preserve">Gross Profit</w:t>
            </w:r>
          </w:p>
        </w:tc>
        <w:tc>
          <w:tcPr>
            <w:tcW w:type="dxa" w:w="2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£59,000</w:t>
            </w:r>
          </w:p>
        </w:tc>
        <w:tc>
          <w:tcPr>
            <w:tcW w:type="dxa" w:w="2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£600,000</w:t>
            </w:r>
          </w:p>
        </w:tc>
        <w:tc>
          <w:tcPr>
            <w:tcW w:type="dxa" w:w="2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sz w:val="20"/>
                <w:szCs w:val="20"/>
              </w:rPr>
              <w:t xml:space="preserve">£3,615,000</w:t>
            </w:r>
          </w:p>
        </w:tc>
      </w:tr>
    </w:tbl>
    <w:p>
      <w:pPr>
        <w:spacing w:after="120"/>
      </w:pPr>
      <w:r>
        <w:t xml:space="preserve"/>
      </w:r>
    </w:p>
    <w:p>
      <w:pPr>
        <w:spacing w:after="140"/>
      </w:pPr>
      <w:r>
        <w:rPr>
          <w:rFonts w:ascii="Arial" w:cs="Arial" w:eastAsia="Arial" w:hAnsi="Arial"/>
          <w:sz w:val="22"/>
          <w:szCs w:val="22"/>
        </w:rPr>
        <w:t xml:space="preserve">These projections assume no enterprise or DNO contracts (which would significantly accelerate Year 2-3 revenue). They are achievable with a solo founder operating lean, using community channels for customer acquisition with near-zero CAC in Year 1.</w:t>
      </w:r>
    </w:p>
    <w:p>
      <w:pPr>
        <w:spacing w:after="120"/>
      </w:pPr>
      <w:r>
        <w:t xml:space="preserve"/>
      </w:r>
    </w:p>
    <w:p>
      <w:pPr>
        <w:pStyle w:val="Heading2"/>
      </w:pPr>
      <w:r>
        <w:rPr>
          <w:rFonts w:ascii="Arial" w:cs="Arial" w:eastAsia="Arial" w:hAnsi="Arial"/>
          <w:b/>
          <w:bCs/>
          <w:sz w:val="26"/>
          <w:szCs w:val="26"/>
        </w:rPr>
        <w:t xml:space="preserve">7.2 Capital Requirements</w:t>
      </w:r>
    </w:p>
    <w:p>
      <w:pPr>
        <w:spacing w:after="140"/>
      </w:pPr>
      <w:r>
        <w:rPr>
          <w:rFonts w:ascii="Arial" w:cs="Arial" w:eastAsia="Arial" w:hAnsi="Arial"/>
          <w:sz w:val="22"/>
          <w:szCs w:val="22"/>
        </w:rPr>
        <w:t xml:space="preserve">The core product requires no significant capital. The existing codebase is production-deployable. The primary investment is founder time. For context:</w:t>
      </w:r>
    </w:p>
    <w:p>
      <w:pPr>
        <w:spacing w:after="120"/>
      </w:pPr>
      <w:r>
        <w:t xml:space="preserve"/>
      </w:r>
    </w:p>
    <w:p>
      <w:pPr>
        <w:pStyle w:val="ListParagraph"/>
        <w:numPr>
          <w:ilvl w:val="0"/>
          <w:numId w:val="2"/>
        </w:numPr>
        <w:spacing w:after="80"/>
      </w:pPr>
      <w:r>
        <w:rPr>
          <w:rFonts w:ascii="Arial" w:cs="Arial" w:eastAsia="Arial" w:hAnsi="Arial"/>
          <w:sz w:val="22"/>
          <w:szCs w:val="22"/>
        </w:rPr>
        <w:t xml:space="preserve">Infrastructure: A £5-20/month VPS (e.g. Hetzner CX21) handles the scheduling and API layer for up to 10,000 homes. Octopus API calls are free within rate limits.</w:t>
      </w:r>
    </w:p>
    <w:p>
      <w:pPr>
        <w:pStyle w:val="ListParagraph"/>
        <w:numPr>
          <w:ilvl w:val="0"/>
          <w:numId w:val="2"/>
        </w:numPr>
        <w:spacing w:after="80"/>
      </w:pPr>
      <w:r>
        <w:rPr>
          <w:rFonts w:ascii="Arial" w:cs="Arial" w:eastAsia="Arial" w:hAnsi="Arial"/>
          <w:sz w:val="22"/>
          <w:szCs w:val="22"/>
        </w:rPr>
        <w:t xml:space="preserve">Legal/IP: A provisional patent for the fleet management and dispatch methodology (distinct from the arbitrage algorithm, which is prior art) should be filed before public launch. Estimated cost: £1,500-3,000 with a specialist patent attorney.</w:t>
      </w:r>
    </w:p>
    <w:p>
      <w:pPr>
        <w:pStyle w:val="ListParagraph"/>
        <w:numPr>
          <w:ilvl w:val="0"/>
          <w:numId w:val="2"/>
        </w:numPr>
        <w:spacing w:after="80"/>
      </w:pPr>
      <w:r>
        <w:rPr>
          <w:rFonts w:ascii="Arial" w:cs="Arial" w:eastAsia="Arial" w:hAnsi="Arial"/>
          <w:sz w:val="22"/>
          <w:szCs w:val="22"/>
        </w:rPr>
        <w:t xml:space="preserve">Brand/marketing: Zero to minimal. The product sells through community adoption in Year 1.</w:t>
      </w:r>
    </w:p>
    <w:p>
      <w:pPr>
        <w:spacing w:after="120"/>
      </w:pPr>
      <w:r>
        <w:t xml:space="preserve"/>
      </w:r>
    </w:p>
    <w:p>
      <w:r>
        <w:br w:type="page"/>
      </w:r>
    </w:p>
    <w:p>
      <w:pPr>
        <w:pStyle w:val="Heading1"/>
      </w:pPr>
      <w:r>
        <w:rPr>
          <w:rFonts w:ascii="Arial" w:cs="Arial" w:eastAsia="Arial" w:hAnsi="Arial"/>
          <w:b/>
          <w:bCs/>
          <w:sz w:val="32"/>
          <w:szCs w:val="32"/>
        </w:rPr>
        <w:t xml:space="preserve">8. Strategic Recommendations</w:t>
      </w:r>
    </w:p>
    <w:p>
      <w:pPr>
        <w:pStyle w:val="Heading2"/>
      </w:pPr>
      <w:r>
        <w:rPr>
          <w:rFonts w:ascii="Arial" w:cs="Arial" w:eastAsia="Arial" w:hAnsi="Arial"/>
          <w:b/>
          <w:bCs/>
          <w:sz w:val="26"/>
          <w:szCs w:val="26"/>
        </w:rPr>
        <w:t xml:space="preserve">8.1 Priority Actions (Ranked)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2000"/>
        <w:gridCol w:w="15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provisional patent for fleet dispatch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Protects the aggregation + dispatch layer before public launch. Core to long-term defensibility.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 + attorney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round-trip efficiency to profit model (T-01)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Credibility with sophisticated customers. Inaccurate projections cause churn.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API authentication to trigger/reset (T-05)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before any public-facing deployment.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hours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GivEnergy or Sunsynk real battery 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Transforms from simulation to real dispatch. Most-requested feature in target community.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on GitHub Pages + community launch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cost distribution. Builds email list, testimonials, and organic SEO.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ROI calculator as landing page feature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 need to see their specific battery/location ROI before subscribing. Conversion driver.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Migrate scheduling from GitHub Actions to VPS cron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has 10-minute queuing variance. VPS cron is sub-minute reliable.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README + setup documentation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community adoption and installer channel.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days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Approach Octopus developer programme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Partnership potential: white-label, referral, or co-marketing. They fund third-party Agile tools.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Star-Stack integration planning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NODE-3 is already the software layer for Star-Stack energy management. Document this formally.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w:t>
            </w:r>
          </w:p>
        </w:tc>
      </w:tr>
    </w:tbl>
    <w:p>
      <w:pPr>
        <w:spacing w:after="120"/>
      </w:pPr>
      <w:r>
        <w:t xml:space="preserve"/>
      </w:r>
    </w:p>
    <w:p>
      <w:r>
        <w:br w:type="page"/>
      </w:r>
    </w:p>
    <w:p>
      <w:pPr>
        <w:pStyle w:val="Heading1"/>
      </w:pPr>
      <w:r>
        <w:rPr>
          <w:rFonts w:ascii="Arial" w:cs="Arial" w:eastAsia="Arial" w:hAnsi="Arial"/>
          <w:b/>
          <w:bCs/>
          <w:sz w:val="32"/>
          <w:szCs w:val="32"/>
        </w:rPr>
        <w:t xml:space="preserve">9. Conclusion</w:t>
      </w:r>
    </w:p>
    <w:p>
      <w:pPr>
        <w:spacing w:after="140"/>
      </w:pPr>
      <w:r>
        <w:rPr>
          <w:rFonts w:ascii="Arial" w:cs="Arial" w:eastAsia="Arial" w:hAnsi="Arial"/>
          <w:sz w:val="22"/>
          <w:szCs w:val="22"/>
        </w:rPr>
        <w:t xml:space="preserve">NODE-3 is commercially viable. The technology is built. The market exists. The unit economics are sound. The competitive gap is real and unoccupied.</w:t>
      </w:r>
    </w:p>
    <w:p>
      <w:pPr>
        <w:spacing w:after="120"/>
      </w:pPr>
      <w:r>
        <w:t xml:space="preserve"/>
      </w:r>
    </w:p>
    <w:p>
      <w:pPr>
        <w:spacing w:after="140"/>
      </w:pPr>
      <w:r>
        <w:rPr>
          <w:rFonts w:ascii="Arial" w:cs="Arial" w:eastAsia="Arial" w:hAnsi="Arial"/>
          <w:sz w:val="22"/>
          <w:szCs w:val="22"/>
        </w:rPr>
        <w:t xml:space="preserve">The critical risk is not technical — it is speed to market. The UK battery storage market is growing at approximately 45% per year. The window for a founder-led, community-distribution product to establish dominance before well-funded competitors (or Octopus themselves) enter the residential Agile optimisation space is approximately 18-24 months.</w:t>
      </w:r>
    </w:p>
    <w:p>
      <w:pPr>
        <w:spacing w:after="120"/>
      </w:pPr>
      <w:r>
        <w:t xml:space="preserve"/>
      </w:r>
    </w:p>
    <w:p>
      <w:pPr>
        <w:spacing w:after="140"/>
      </w:pPr>
      <w:r>
        <w:rPr>
          <w:rFonts w:ascii="Arial" w:cs="Arial" w:eastAsia="Arial" w:hAnsi="Arial"/>
          <w:sz w:val="22"/>
          <w:szCs w:val="22"/>
        </w:rPr>
        <w:t xml:space="preserve">The single highest-leverage action is to file a provisional patent for the fleet dispatch and aggregation system before any public launch. Every other action below this on the priority list can be done in sequence, but the IP protection window closes at public disclosure.</w:t>
      </w:r>
    </w:p>
    <w:p>
      <w:pPr>
        <w:spacing w:after="120"/>
      </w:pPr>
      <w:r>
        <w:t xml:space="preserve"/>
      </w:r>
    </w:p>
    <w:p>
      <w:pPr>
        <w:spacing w:after="140"/>
      </w:pPr>
      <w:r>
        <w:rPr>
          <w:rFonts w:ascii="Arial" w:cs="Arial" w:eastAsia="Arial" w:hAnsi="Arial"/>
          <w:sz w:val="22"/>
          <w:szCs w:val="22"/>
        </w:rPr>
        <w:t xml:space="preserve">Everything else in this report is a refinement. The foundation is solid. Ship it.</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MARKET OPPORTUNITY</w:t>
            </w:r>
          </w:p>
          <w:p>
            <w:pPr>
              <w:jc w:val="center"/>
            </w:pPr>
            <w:r>
              <w:rPr>
                <w:rFonts w:ascii="Arial" w:cs="Arial" w:eastAsia="Arial" w:hAnsi="Arial"/>
                <w:b/>
                <w:bCs/>
                <w:color w:val="FFD700"/>
                <w:sz w:val="32"/>
                <w:szCs w:val="32"/>
              </w:rPr>
              <w:t xml:space="preserve">£50M+ ARR</w:t>
            </w:r>
          </w:p>
          <w:p>
            <w:pPr>
              <w:jc w:val="center"/>
            </w:pPr>
            <w:r>
              <w:rPr>
                <w:rFonts w:ascii="Arial" w:cs="Arial" w:eastAsia="Arial" w:hAnsi="Arial"/>
                <w:color w:val="AACCFF"/>
                <w:sz w:val="18"/>
                <w:szCs w:val="18"/>
              </w:rPr>
              <w:t xml:space="preserve">Addressable by 2028</w:t>
            </w:r>
          </w:p>
        </w:tc>
        <w:tc>
          <w:tcPr>
            <w:tcW w:type="dxa" w:w="3120"/>
            <w:tcBorders>
              <w:top w:val="single" w:color="CCCCCC" w:sz="1"/>
              <w:left w:val="single" w:color="CCCCCC" w:sz="1"/>
              <w:bottom w:val="single" w:color="CCCCCC" w:sz="1"/>
              <w:right w:val="single" w:color="CCCCCC" w:sz="1"/>
            </w:tcBorders>
            <w:shd w:fill="375623"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UNIT ECONOMICS</w:t>
            </w:r>
          </w:p>
          <w:p>
            <w:pPr>
              <w:jc w:val="center"/>
            </w:pPr>
            <w:r>
              <w:rPr>
                <w:rFonts w:ascii="Arial" w:cs="Arial" w:eastAsia="Arial" w:hAnsi="Arial"/>
                <w:b/>
                <w:bCs/>
                <w:color w:val="FFD700"/>
                <w:sz w:val="32"/>
                <w:szCs w:val="32"/>
              </w:rPr>
              <w:t xml:space="preserve">£1,530/yr</w:t>
            </w:r>
          </w:p>
          <w:p>
            <w:pPr>
              <w:jc w:val="center"/>
            </w:pPr>
            <w:r>
              <w:rPr>
                <w:rFonts w:ascii="Arial" w:cs="Arial" w:eastAsia="Arial" w:hAnsi="Arial"/>
                <w:color w:val="AAFFAA"/>
                <w:sz w:val="18"/>
                <w:szCs w:val="18"/>
              </w:rPr>
              <w:t xml:space="preserve">Per home, demonstrated</w:t>
            </w:r>
          </w:p>
        </w:tc>
        <w:tc>
          <w:tcPr>
            <w:tcW w:type="dxa" w:w="3120"/>
            <w:tcBorders>
              <w:top w:val="single" w:color="CCCCCC" w:sz="1"/>
              <w:left w:val="single" w:color="CCCCCC" w:sz="1"/>
              <w:bottom w:val="single" w:color="CCCCCC" w:sz="1"/>
              <w:right w:val="single" w:color="CCCCCC" w:sz="1"/>
            </w:tcBorders>
            <w:shd w:fill="C00000"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TIME TO REVENUE</w:t>
            </w:r>
          </w:p>
          <w:p>
            <w:pPr>
              <w:jc w:val="center"/>
            </w:pPr>
            <w:r>
              <w:rPr>
                <w:rFonts w:ascii="Arial" w:cs="Arial" w:eastAsia="Arial" w:hAnsi="Arial"/>
                <w:b/>
                <w:bCs/>
                <w:color w:val="FFD700"/>
                <w:sz w:val="32"/>
                <w:szCs w:val="32"/>
              </w:rPr>
              <w:t xml:space="preserve">90 days</w:t>
            </w:r>
          </w:p>
          <w:p>
            <w:pPr>
              <w:jc w:val="center"/>
            </w:pPr>
            <w:r>
              <w:rPr>
                <w:rFonts w:ascii="Arial" w:cs="Arial" w:eastAsia="Arial" w:hAnsi="Arial"/>
                <w:color w:val="FFAAAA"/>
                <w:sz w:val="18"/>
                <w:szCs w:val="18"/>
              </w:rPr>
              <w:t xml:space="preserve">To paying MVP SaaS</w:t>
            </w:r>
          </w:p>
        </w:tc>
      </w:tr>
    </w:tbl>
    <w:p>
      <w:pPr>
        <w:spacing w:after="240"/>
      </w:pPr>
      <w:r>
        <w:t xml:space="preserve"/>
      </w:r>
    </w:p>
    <w:p>
      <w:pPr>
        <w:jc w:val="center"/>
      </w:pPr>
      <w:r>
        <w:rPr>
          <w:rFonts w:ascii="Arial" w:cs="Arial" w:eastAsia="Arial" w:hAnsi="Arial"/>
          <w:b/>
          <w:bCs/>
          <w:i/>
          <w:iCs/>
          <w:color w:val="808080"/>
          <w:sz w:val="22"/>
          <w:szCs w:val="22"/>
        </w:rPr>
        <w:t xml:space="preserve">END OF COMMERCIAL CRITIQUE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0000" w:sz="4" w:space="4"/>
      </w:pBdr>
      <w:tabs>
        <w:tab w:val="right" w:pos="9360"/>
      </w:tabs>
    </w:pPr>
    <w:r>
      <w:rPr>
        <w:rFonts w:ascii="Arial" w:cs="Arial" w:eastAsia="Arial" w:hAnsi="Arial"/>
        <w:color w:val="808080"/>
        <w:sz w:val="18"/>
        <w:szCs w:val="18"/>
      </w:rPr>
      <w:t xml:space="preserve">Dovecote Technology | Matt Brander IP Portfolio</w:t>
    </w:r>
    <w:r>
      <w:rPr>
        <w:rFonts w:ascii="Arial" w:cs="Arial" w:eastAsia="Arial" w:hAnsi="Arial"/>
        <w:color w:val="808080"/>
        <w:sz w:val="18"/>
        <w:szCs w:val="18"/>
      </w:rPr>
      <w:t xml:space="preserve">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4" w:space="4"/>
      </w:pBdr>
      <w:tabs>
        <w:tab w:val="right" w:pos="9360"/>
      </w:tabs>
    </w:pPr>
    <w:r>
      <w:rPr>
        <w:rFonts w:ascii="Arial" w:cs="Arial" w:eastAsia="Arial" w:hAnsi="Arial"/>
        <w:b/>
        <w:bCs/>
        <w:color w:val="C00000"/>
        <w:sz w:val="18"/>
        <w:szCs w:val="18"/>
      </w:rPr>
      <w:t xml:space="preserve">NODE-3 ENERGY ARBITRAGE — COMMERCIAL CRITIQUE &amp; OPPORTUNITY ANALYSIS</w:t>
    </w:r>
    <w:r>
      <w:rPr>
        <w:rFonts w:ascii="Arial" w:cs="Arial" w:eastAsia="Arial" w:hAnsi="Arial"/>
        <w:color w:val="808080"/>
        <w:sz w:val="18"/>
        <w:szCs w:val="18"/>
      </w:rPr>
      <w:t xml:space="preserve">	7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abstractNum w:abstractNumId="4"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0000" w:sz="4" w:space="1"/>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0000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2026-04-07T07:23:04.180Z</dcterms:created>
  <dcterms:modified xsi:type="dcterms:W3CDTF">2026-04-07T07:23:04.180Z</dcterms:modified>
</cp:coreProperties>
</file>

<file path=docProps/custom.xml><?xml version="1.0" encoding="utf-8"?>
<Properties xmlns="http://schemas.openxmlformats.org/officeDocument/2006/custom-properties" xmlns:vt="http://schemas.openxmlformats.org/officeDocument/2006/docPropsVTypes"/>
</file>