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4"/>
          <w:szCs w:val="44"/>
        </w:rPr>
        <w:t xml:space="preserve">NODE-3 ENERGY ARBITRAGE PORTAL</w:t>
      </w:r>
    </w:p>
    <w:p>
      <w:pPr>
        <w:spacing w:after="80" w:before="0"/>
        <w:jc w:val="center"/>
      </w:pPr>
      <w:r>
        <w:rPr>
          <w:rFonts w:ascii="Arial" w:cs="Arial" w:eastAsia="Arial" w:hAnsi="Arial"/>
          <w:color w:val="444444"/>
          <w:sz w:val="26"/>
          <w:szCs w:val="26"/>
        </w:rPr>
        <w:t xml:space="preserve">Software Architecture &amp; Intellectual Property Documentation</w:t>
      </w:r>
    </w:p>
    <w:p>
      <w:pPr>
        <w:spacing w:after="480" w:before="0"/>
        <w:jc w:val="center"/>
      </w:pPr>
      <w:r>
        <w:rPr>
          <w:rFonts w:ascii="Arial" w:cs="Arial" w:eastAsia="Arial" w:hAnsi="Arial"/>
          <w:color w:val="888888"/>
          <w:sz w:val="20"/>
          <w:szCs w:val="20"/>
        </w:rPr>
        <w:t xml:space="preserve">Dovecote Systems Ltd  |  Version 1.0  |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Dovecote Systems Ltd (Company No. 17160178)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Matthew Brander, Director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&amp; Confidential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April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Live Deployment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NODE-3, Hampshire, England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Grid Reference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G99 Application Ref: 260420-000198 (SSEN Southern)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MPAN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2000022678841</w:t>
            </w:r>
          </w:p>
        </w:tc>
      </w:tr>
    </w:tbl>
    <w:p>
      <w:pPr>
        <w:spacing w:after="60" w:before="60"/>
      </w:pPr>
      <w:r>
        <w:t xml:space="preserve"/>
      </w:r>
    </w:p>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1.  Executive Summary</w:t>
      </w:r>
    </w:p>
    <w:p>
      <w:pPr>
        <w:spacing w:after="60" w:before="60" w:line="280"/>
      </w:pPr>
      <w:r>
        <w:rPr>
          <w:rFonts w:ascii="Arial" w:cs="Arial" w:eastAsia="Arial" w:hAnsi="Arial"/>
          <w:sz w:val="22"/>
          <w:szCs w:val="22"/>
        </w:rPr>
        <w:t xml:space="preserve">The NODE-3 Energy Arbitrage Portal is a proprietary software platform developed by Dovecote Systems Ltd for automated home battery energy storage (BESS) arbitrage. The system monitors real-time Octopus Agile half-hourly electricity prices, executes an LP-optimised dispatch schedule to charge the battery during low-price periods and export or discharge during high-price periods, and provides a live operational portal for monitoring and performance analysis.</w:t>
      </w:r>
    </w:p>
    <w:p>
      <w:pPr>
        <w:spacing w:after="60" w:before="60"/>
      </w:pPr>
      <w:r>
        <w:t xml:space="preserve"/>
      </w:r>
    </w:p>
    <w:p>
      <w:pPr>
        <w:spacing w:after="60" w:before="60" w:line="280"/>
      </w:pPr>
      <w:r>
        <w:rPr>
          <w:rFonts w:ascii="Arial" w:cs="Arial" w:eastAsia="Arial" w:hAnsi="Arial"/>
          <w:sz w:val="22"/>
          <w:szCs w:val="22"/>
        </w:rPr>
        <w:t xml:space="preserve">The software is currently deployed in a live grid-connected installation: a 72 kWh BESS (3x Nissan e-NV200 24 kWh packs) connected to a FoxESS KH10.5 hybrid inverter, with G99 application submitted to SSEN Southern (ref: 260420-000198). The platform is architected for multi-node fleet management and VLP/BM market entry.</w:t>
      </w:r>
    </w:p>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2.  System Architecture Overview</w:t>
      </w:r>
    </w:p>
    <w:p>
      <w:pPr>
        <w:spacing w:after="60" w:before="60" w:line="280"/>
      </w:pPr>
      <w:r>
        <w:rPr>
          <w:rFonts w:ascii="Arial" w:cs="Arial" w:eastAsia="Arial" w:hAnsi="Arial"/>
          <w:sz w:val="22"/>
          <w:szCs w:val="22"/>
        </w:rPr>
        <w:t xml:space="preserve">The platform comprises three primary software components operating as an integrated system: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API Server &amp; Backtest Engine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7D32"/>
                <w:sz w:val="20"/>
                <w:szCs w:val="20"/>
              </w:rPr>
              <w:t xml:space="preserve">server.py</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Flask REST API; live data endpoints; background slot-boundary scheduler; 12-month backtest engine; result caching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Arbitrage Algorithm Engine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D32"/>
                <w:sz w:val="20"/>
                <w:szCs w:val="20"/>
              </w:rPr>
              <w:t xml:space="preserve">simulate.py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Octopus Agile price discovery; LP greedy optimiser; dynamicBuyCeil algorithm; context engine; dispatch planning; solar integration; single-source simulation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Operational Portal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7D32"/>
                <w:sz w:val="20"/>
                <w:szCs w:val="20"/>
              </w:rPr>
              <w:t xml:space="preserve">dashboard.html</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monitoring portal; 48h forward schedule; profit timeline; price charts; historical analysis; projection engine; automatic slot-boundary refresh</w:t>
            </w:r>
          </w:p>
        </w:tc>
      </w:tr>
    </w:tbl>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3.  Proprietary Intellectual Property</w:t>
      </w:r>
    </w:p>
    <w:p>
      <w:pPr>
        <w:pStyle w:val="Heading2"/>
        <w:spacing w:after="100" w:before="240"/>
      </w:pPr>
      <w:r>
        <w:rPr>
          <w:rFonts w:ascii="Arial" w:cs="Arial" w:eastAsia="Arial" w:hAnsi="Arial"/>
          <w:b/>
          <w:bCs/>
          <w:color w:val="2E7D32"/>
          <w:sz w:val="24"/>
          <w:szCs w:val="24"/>
        </w:rPr>
        <w:t xml:space="preserve">3.1  The dynamicBuyCeil Algorithm</w:t>
      </w:r>
    </w:p>
    <w:p>
      <w:pPr>
        <w:spacing w:after="60" w:before="60" w:line="280"/>
      </w:pPr>
      <w:r>
        <w:rPr>
          <w:rFonts w:ascii="Arial" w:cs="Arial" w:eastAsia="Arial" w:hAnsi="Arial"/>
          <w:sz w:val="22"/>
          <w:szCs w:val="22"/>
        </w:rPr>
        <w:t xml:space="preserve">The core proprietary innovation in the NODE-3 platform is the dynamicBuyCeil algorithm, which determines the maximum viable import price for any given charging slot. Unlike naive percentile-based threshold approaches used in commodity energy management systems, dynamicBuyCeil computes a forward-looking, spread-aware ceiling price using the following methodology:</w:t>
      </w:r>
    </w:p>
    <w:p>
      <w:pPr>
        <w:spacing w:after="60" w:before="60"/>
      </w:pPr>
      <w:r>
        <w:t xml:space="preserve"/>
      </w:r>
    </w:p>
    <w:p>
      <w:pPr>
        <w:spacing w:after="40" w:before="40"/>
        <w:ind w:left="720" w:hanging="360"/>
      </w:pPr>
      <w:r>
        <w:rPr>
          <w:rFonts w:ascii="Arial" w:cs="Arial" w:eastAsia="Arial" w:hAnsi="Arial"/>
          <w:sz w:val="22"/>
          <w:szCs w:val="22"/>
        </w:rPr>
        <w:t xml:space="preserve">•  Calculates the best available export price across all forward slots in the current planning window</w:t>
      </w:r>
    </w:p>
    <w:p>
      <w:pPr>
        <w:spacing w:after="40" w:before="40"/>
        <w:ind w:left="720" w:hanging="360"/>
      </w:pPr>
      <w:r>
        <w:rPr>
          <w:rFonts w:ascii="Arial" w:cs="Arial" w:eastAsia="Arial" w:hAnsi="Arial"/>
          <w:sz w:val="22"/>
          <w:szCs w:val="22"/>
        </w:rPr>
        <w:t xml:space="preserve">•  Applies the system round-trip efficiency factor (88% — FoxESS inverter + Nissan cell losses combined)</w:t>
      </w:r>
    </w:p>
    <w:p>
      <w:pPr>
        <w:spacing w:after="40" w:before="40"/>
        <w:ind w:left="720" w:hanging="360"/>
      </w:pPr>
      <w:r>
        <w:rPr>
          <w:rFonts w:ascii="Arial" w:cs="Arial" w:eastAsia="Arial" w:hAnsi="Arial"/>
          <w:sz w:val="22"/>
          <w:szCs w:val="22"/>
        </w:rPr>
        <w:t xml:space="preserve">•  Deducts a context-adjusted minimum profit margin (minProfitAdj) to guarantee net positive arbitrage</w:t>
      </w:r>
    </w:p>
    <w:p>
      <w:pPr>
        <w:spacing w:after="40" w:before="40"/>
        <w:ind w:left="720" w:hanging="360"/>
      </w:pPr>
      <w:r>
        <w:rPr>
          <w:rFonts w:ascii="Arial" w:cs="Arial" w:eastAsia="Arial" w:hAnsi="Arial"/>
          <w:sz w:val="22"/>
          <w:szCs w:val="22"/>
        </w:rPr>
        <w:t xml:space="preserve">•  Takes the minimum of this ceiling and the relative percentile threshold, ensuring the stricter constraint always wins</w:t>
      </w:r>
    </w:p>
    <w:p>
      <w:pPr>
        <w:spacing w:after="40" w:before="40"/>
        <w:ind w:left="720" w:hanging="360"/>
      </w:pPr>
      <w:r>
        <w:rPr>
          <w:rFonts w:ascii="Arial" w:cs="Arial" w:eastAsia="Arial" w:hAnsi="Arial"/>
          <w:sz w:val="22"/>
          <w:szCs w:val="22"/>
        </w:rPr>
        <w:t xml:space="preserve">•  Includes a hard absolute guard price to prevent charging during unexpected price spikes</w:t>
      </w:r>
    </w:p>
    <w:p>
      <w:pPr>
        <w:spacing w:after="60" w:before="60"/>
      </w:pPr>
      <w:r>
        <w:t xml:space="preserve"/>
      </w:r>
    </w:p>
    <w:p>
      <w:pPr>
        <w:spacing w:after="60" w:before="60" w:line="280"/>
      </w:pPr>
      <w:r>
        <w:rPr>
          <w:rFonts w:ascii="Arial" w:cs="Arial" w:eastAsia="Arial" w:hAnsi="Arial"/>
          <w:sz w:val="22"/>
          <w:szCs w:val="22"/>
        </w:rPr>
        <w:t xml:space="preserve">The result is a buy ceiling that automatically adapts to the available spread in any given price environment, rather than applying a fixed threshold that may be profitable in some conditions and loss-making in others.</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3.2  Context-Adjusted Threshold Engine</w:t>
      </w:r>
    </w:p>
    <w:p>
      <w:pPr>
        <w:spacing w:after="60" w:before="60" w:line="280"/>
      </w:pPr>
      <w:r>
        <w:rPr>
          <w:rFonts w:ascii="Arial" w:cs="Arial" w:eastAsia="Arial" w:hAnsi="Arial"/>
          <w:sz w:val="22"/>
          <w:szCs w:val="22"/>
        </w:rPr>
        <w:t xml:space="preserve">The platform applies a multi-factor context engine that adjusts dispatch thresholds based on three independent variables:</w:t>
      </w:r>
    </w:p>
    <w:p>
      <w:pPr>
        <w:spacing w:after="60" w:before="60"/>
      </w:pPr>
      <w:r>
        <w:t xml:space="preserve"/>
      </w:r>
    </w:p>
    <w:p>
      <w:pPr>
        <w:spacing w:after="40" w:before="40"/>
        <w:ind w:left="720" w:hanging="360"/>
      </w:pPr>
      <w:r>
        <w:rPr>
          <w:rFonts w:ascii="Arial" w:cs="Arial" w:eastAsia="Arial" w:hAnsi="Arial"/>
          <w:sz w:val="22"/>
          <w:szCs w:val="22"/>
        </w:rPr>
        <w:t xml:space="preserve">•  Wind generation context: high wind periods suppress export prices; the engine raises the sell threshold and tightens the buy ceiling during forecast high-wind periods to avoid charging at prices that cannot be recouped</w:t>
      </w:r>
    </w:p>
    <w:p>
      <w:pPr>
        <w:spacing w:after="40" w:before="40"/>
        <w:ind w:left="720" w:hanging="360"/>
      </w:pPr>
      <w:r>
        <w:rPr>
          <w:rFonts w:ascii="Arial" w:cs="Arial" w:eastAsia="Arial" w:hAnsi="Arial"/>
          <w:sz w:val="22"/>
          <w:szCs w:val="22"/>
        </w:rPr>
        <w:t xml:space="preserve">•  Day-of-week context: weekday peak demand patterns differ materially from weekend patterns; the engine applies separate percentile adjustments for weekday and weekend slots</w:t>
      </w:r>
    </w:p>
    <w:p>
      <w:pPr>
        <w:spacing w:after="40" w:before="40"/>
        <w:ind w:left="720" w:hanging="360"/>
      </w:pPr>
      <w:r>
        <w:rPr>
          <w:rFonts w:ascii="Arial" w:cs="Arial" w:eastAsia="Arial" w:hAnsi="Arial"/>
          <w:sz w:val="22"/>
          <w:szCs w:val="22"/>
        </w:rPr>
        <w:t xml:space="preserve">•  Seasonal context: winter pricing distributions differ from summer; the engine applies seasonal multipliers to minimum profit requirements</w:t>
      </w:r>
    </w:p>
    <w:p>
      <w:pPr>
        <w:spacing w:after="60" w:before="60"/>
      </w:pPr>
      <w:r>
        <w:t xml:space="preserve"/>
      </w:r>
    </w:p>
    <w:p>
      <w:pPr>
        <w:spacing w:after="60" w:before="60" w:line="280"/>
      </w:pPr>
      <w:r>
        <w:rPr>
          <w:rFonts w:ascii="Arial" w:cs="Arial" w:eastAsia="Arial" w:hAnsi="Arial"/>
          <w:sz w:val="22"/>
          <w:szCs w:val="22"/>
        </w:rPr>
        <w:t xml:space="preserve">This three-factor context model is implemented identically in both the real-time forward planning module (dashboard.html) and the historical simulation engine (simulate.py / server.py), ensuring consistency between live operation and backtested performance figures.</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3.3  Single-Source Algorithm Architecture</w:t>
      </w:r>
    </w:p>
    <w:p>
      <w:pPr>
        <w:spacing w:after="60" w:before="60" w:line="280"/>
      </w:pPr>
      <w:r>
        <w:rPr>
          <w:rFonts w:ascii="Arial" w:cs="Arial" w:eastAsia="Arial" w:hAnsi="Arial"/>
          <w:sz w:val="22"/>
          <w:szCs w:val="22"/>
        </w:rPr>
        <w:t xml:space="preserve">A key architectural decision — and a source of proprietary value — is the single-source-of-truth principle: the arbitrage algorithm is implemented once in simulate.py and all other system components (forward schedule, backtest, live simulation) call or mirror this same implementation. This eliminates the common failure mode in energy management software where forward projections and historical backtests use different logic, producing results that cannot be directly compared.</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3.4  Slot-Boundary Aligned Scheduling</w:t>
      </w:r>
    </w:p>
    <w:p>
      <w:pPr>
        <w:spacing w:after="60" w:before="60" w:line="280"/>
      </w:pPr>
      <w:r>
        <w:rPr>
          <w:rFonts w:ascii="Arial" w:cs="Arial" w:eastAsia="Arial" w:hAnsi="Arial"/>
          <w:sz w:val="22"/>
          <w:szCs w:val="22"/>
        </w:rPr>
        <w:t xml:space="preserve">The platform's scheduling architecture aligns all data refresh cycles to Octopus Agile half-hourly slot boundaries (HH:00 and HH:30 UTC). Both the server-side simulation scheduler and the client-side dashboard refresh engine compute the precise millisecond offset to the next slot boundary and schedule updates accordingly. This ensures that price data, dispatch decisions, and performance metrics are always current and aligned with the tariff periods they represent.</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3.5  Integrated Backtest Engine</w:t>
      </w:r>
    </w:p>
    <w:p>
      <w:pPr>
        <w:spacing w:after="60" w:before="60" w:line="280"/>
      </w:pPr>
      <w:r>
        <w:rPr>
          <w:rFonts w:ascii="Arial" w:cs="Arial" w:eastAsia="Arial" w:hAnsi="Arial"/>
          <w:sz w:val="22"/>
          <w:szCs w:val="22"/>
        </w:rPr>
        <w:t xml:space="preserve">The server embeds a full 12-month historical backtest engine that fetches real Octopus Agile import and export price history, runs the proprietary algorithm across all historical slots, and returns calibrated annual performance projections. Results are cached server-side for 24 hours to balance data freshness against API rate limits. The backtest engine uses the same algorithm constants as the live dispatch engine, ensuring projections are directly comparable to live results.</w:t>
      </w:r>
    </w:p>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4.  Hardware Integration &amp; Deployment</w:t>
      </w:r>
    </w:p>
    <w:p>
      <w:pPr>
        <w:pStyle w:val="Heading2"/>
        <w:spacing w:after="100" w:before="240"/>
      </w:pPr>
      <w:r>
        <w:rPr>
          <w:rFonts w:ascii="Arial" w:cs="Arial" w:eastAsia="Arial" w:hAnsi="Arial"/>
          <w:b/>
          <w:bCs/>
          <w:color w:val="2E7D32"/>
          <w:sz w:val="24"/>
          <w:szCs w:val="24"/>
        </w:rPr>
        <w:t xml:space="preserve">4.1  Live Installation — NODE-3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BESS Capacity</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72 kWh nominal (3x Nissan e-NV200 24 kWh battery packs)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Inverter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FoxESS KH10.5 hybrid inverter (10.5 kW AC, proprietary HV battery 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CAN Bridge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DALA Battery-Emulator on LilyGo T-2CAN (ESP32-S3); Nissan OEM BMS to FoxESS HV2600 protocol translation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Grid Connection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G99 single-phase export; SSEN Southern DNO; MPAN 2000022678841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G99 Application</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 260420-000198; submitted 20 April 2026; OA eligibility window open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Tariff</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Octopus Agile (import + export); half-hourly variable pricing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Raspberry Pi 4; Teltonika RUT240 4G gateway; DS18B20 temperature sensors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Round-Trip Efficiency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(FoxESS inverter losses + Nissan cell round-trip combined)</w:t>
            </w:r>
          </w:p>
        </w:tc>
      </w:tr>
    </w:tbl>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5.  Commercial Basis &amp; Revenue Model</w:t>
      </w:r>
    </w:p>
    <w:p>
      <w:pPr>
        <w:pStyle w:val="Heading2"/>
        <w:spacing w:after="100" w:before="240"/>
      </w:pPr>
      <w:r>
        <w:rPr>
          <w:rFonts w:ascii="Arial" w:cs="Arial" w:eastAsia="Arial" w:hAnsi="Arial"/>
          <w:b/>
          <w:bCs/>
          <w:color w:val="2E7D32"/>
          <w:sz w:val="24"/>
          <w:szCs w:val="24"/>
        </w:rPr>
        <w:t xml:space="preserve">5.1  Per-Node Revenue Target</w:t>
      </w:r>
    </w:p>
    <w:p>
      <w:pPr>
        <w:spacing w:after="60" w:before="60" w:line="280"/>
      </w:pPr>
      <w:r>
        <w:rPr>
          <w:rFonts w:ascii="Arial" w:cs="Arial" w:eastAsia="Arial" w:hAnsi="Arial"/>
          <w:sz w:val="22"/>
          <w:szCs w:val="22"/>
        </w:rPr>
        <w:t xml:space="preserve">Each deployed NODE instance is projected to generate £3,497 per annum in energy arbitrage value through the combination of import cost reduction and export revenue, net of all energy costs. This projection is based on 12-month historical Octopus Agile price data processed through the proprietary algorithm and validated against the live NODE-3 deployment.</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5.2  Scaling Model</w:t>
      </w:r>
    </w:p>
    <w:p>
      <w:pPr>
        <w:spacing w:after="60" w:before="60" w:line="280"/>
      </w:pPr>
      <w:r>
        <w:rPr>
          <w:rFonts w:ascii="Arial" w:cs="Arial" w:eastAsia="Arial" w:hAnsi="Arial"/>
          <w:sz w:val="22"/>
          <w:szCs w:val="22"/>
        </w:rPr>
        <w:t xml:space="preserve">The software platform is architected for multi-node deployment. The server and dashboard include fleet management infrastructure capable of monitoring and managing multiple nodes from a single installation. The scaling model targets 26 nodes, generating aggregate annual platform revenue in excess of £90,000.</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5.3  VLP / BM Market Entry</w:t>
      </w:r>
    </w:p>
    <w:p>
      <w:pPr>
        <w:spacing w:after="60" w:before="60" w:line="280"/>
      </w:pPr>
      <w:r>
        <w:rPr>
          <w:rFonts w:ascii="Arial" w:cs="Arial" w:eastAsia="Arial" w:hAnsi="Arial"/>
          <w:sz w:val="22"/>
          <w:szCs w:val="22"/>
        </w:rPr>
        <w:t xml:space="preserve">The platform is designed with a forward pathway to Virtual Power Plant (VPP) and Balancing Mechanism (BM) market participation via regulated aggregators. The G99 grid registration, DNO approval pathway, and aggregator API interface layer in the software are specifically designed to support this transition. VLP/BM participation is projected to increase per-node annual revenue to £3,000-£8,000 versus the current Agile arbitrage baseline.</w:t>
      </w:r>
    </w:p>
    <w:p>
      <w:pPr>
        <w:spacing w:after="60" w:before="60"/>
      </w:pPr>
      <w:r>
        <w:t xml:space="preserve"/>
      </w:r>
    </w:p>
    <w:p>
      <w:pPr>
        <w:pStyle w:val="Heading2"/>
        <w:spacing w:after="100" w:before="240"/>
      </w:pPr>
      <w:r>
        <w:rPr>
          <w:rFonts w:ascii="Arial" w:cs="Arial" w:eastAsia="Arial" w:hAnsi="Arial"/>
          <w:b/>
          <w:bCs/>
          <w:color w:val="2E7D32"/>
          <w:sz w:val="24"/>
          <w:szCs w:val="24"/>
        </w:rPr>
        <w:t xml:space="preserve">5.4  First Commercial Transaction</w:t>
      </w:r>
    </w:p>
    <w:p>
      <w:pPr>
        <w:spacing w:after="60" w:before="60" w:line="280"/>
      </w:pPr>
      <w:r>
        <w:rPr>
          <w:rFonts w:ascii="Arial" w:cs="Arial" w:eastAsia="Arial" w:hAnsi="Arial"/>
          <w:b/>
          <w:bCs/>
          <w:sz w:val="22"/>
          <w:szCs w:val="22"/>
        </w:rPr>
        <w:t xml:space="preserve">Invoice: </w:t>
      </w:r>
      <w:r>
        <w:rPr>
          <w:rFonts w:ascii="Arial" w:cs="Arial" w:eastAsia="Arial" w:hAnsi="Arial"/>
          <w:sz w:val="22"/>
          <w:szCs w:val="22"/>
        </w:rPr>
        <w:t xml:space="preserve">INV-2026-001, 21 April 2026, £600.00</w:t>
      </w:r>
    </w:p>
    <w:p>
      <w:pPr>
        <w:spacing w:after="60" w:before="60" w:line="280"/>
      </w:pPr>
      <w:r>
        <w:rPr>
          <w:rFonts w:ascii="Arial" w:cs="Arial" w:eastAsia="Arial" w:hAnsi="Arial"/>
          <w:b/>
          <w:bCs/>
          <w:sz w:val="22"/>
          <w:szCs w:val="22"/>
        </w:rPr>
        <w:t xml:space="preserve">Description: </w:t>
      </w:r>
      <w:r>
        <w:rPr>
          <w:rFonts w:ascii="Arial" w:cs="Arial" w:eastAsia="Arial" w:hAnsi="Arial"/>
          <w:sz w:val="22"/>
          <w:szCs w:val="22"/>
        </w:rPr>
        <w:t xml:space="preserve">NODE-3 BESS deployment, commissioning, and Q2 2026 managed energy arbitrage service</w:t>
      </w:r>
    </w:p>
    <w:p>
      <w:pPr>
        <w:spacing w:after="60" w:before="60" w:line="280"/>
      </w:pPr>
      <w:r>
        <w:rPr>
          <w:rFonts w:ascii="Arial" w:cs="Arial" w:eastAsia="Arial" w:hAnsi="Arial"/>
          <w:b/>
          <w:bCs/>
          <w:sz w:val="22"/>
          <w:szCs w:val="22"/>
        </w:rPr>
        <w:t xml:space="preserve">Customer: </w:t>
      </w:r>
      <w:r>
        <w:rPr>
          <w:rFonts w:ascii="Arial" w:cs="Arial" w:eastAsia="Arial" w:hAnsi="Arial"/>
          <w:sz w:val="22"/>
          <w:szCs w:val="22"/>
        </w:rPr>
        <w:t xml:space="preserve">Matthew Brander (residential — NODE-3 pilot site)</w:t>
      </w:r>
    </w:p>
    <w:p>
      <w:pPr>
        <w:spacing w:after="60" w:before="60" w:line="280"/>
      </w:pPr>
      <w:r>
        <w:rPr>
          <w:rFonts w:ascii="Arial" w:cs="Arial" w:eastAsia="Arial" w:hAnsi="Arial"/>
          <w:b/>
          <w:bCs/>
          <w:sz w:val="22"/>
          <w:szCs w:val="22"/>
        </w:rPr>
        <w:t xml:space="preserve">Payment ref: </w:t>
      </w:r>
      <w:r>
        <w:rPr>
          <w:rFonts w:ascii="Arial" w:cs="Arial" w:eastAsia="Arial" w:hAnsi="Arial"/>
          <w:sz w:val="22"/>
          <w:szCs w:val="22"/>
        </w:rPr>
        <w:t xml:space="preserve">SumUp Transaction ID TAAA2PPZRZQ</w:t>
      </w:r>
    </w:p>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6.  Technology Stack</w:t>
      </w:r>
    </w:p>
    <w:p>
      <w:pPr>
        <w:spacing w:after="40" w:before="40"/>
        <w:ind w:left="720" w:hanging="360"/>
      </w:pPr>
      <w:r>
        <w:rPr>
          <w:rFonts w:ascii="Arial" w:cs="Arial" w:eastAsia="Arial" w:hAnsi="Arial"/>
          <w:sz w:val="22"/>
          <w:szCs w:val="22"/>
        </w:rPr>
        <w:t xml:space="preserve">•  Python 3 / Flask — REST API server and backtest engine</w:t>
      </w:r>
    </w:p>
    <w:p>
      <w:pPr>
        <w:spacing w:after="40" w:before="40"/>
        <w:ind w:left="720" w:hanging="360"/>
      </w:pPr>
      <w:r>
        <w:rPr>
          <w:rFonts w:ascii="Arial" w:cs="Arial" w:eastAsia="Arial" w:hAnsi="Arial"/>
          <w:sz w:val="22"/>
          <w:szCs w:val="22"/>
        </w:rPr>
        <w:t xml:space="preserve">•  HTML5 / JavaScript / Chart.js — real-time operational portal</w:t>
      </w:r>
    </w:p>
    <w:p>
      <w:pPr>
        <w:spacing w:after="40" w:before="40"/>
        <w:ind w:left="720" w:hanging="360"/>
      </w:pPr>
      <w:r>
        <w:rPr>
          <w:rFonts w:ascii="Arial" w:cs="Arial" w:eastAsia="Arial" w:hAnsi="Arial"/>
          <w:sz w:val="22"/>
          <w:szCs w:val="22"/>
        </w:rPr>
        <w:t xml:space="preserve">•  Octopus Energy API — live and historical Agile price data</w:t>
      </w:r>
    </w:p>
    <w:p>
      <w:pPr>
        <w:spacing w:after="40" w:before="40"/>
        <w:ind w:left="720" w:hanging="360"/>
      </w:pPr>
      <w:r>
        <w:rPr>
          <w:rFonts w:ascii="Arial" w:cs="Arial" w:eastAsia="Arial" w:hAnsi="Arial"/>
          <w:sz w:val="22"/>
          <w:szCs w:val="22"/>
        </w:rPr>
        <w:t xml:space="preserve">•  Open-Meteo API — solar generation forecast integration</w:t>
      </w:r>
    </w:p>
    <w:p>
      <w:pPr>
        <w:spacing w:after="40" w:before="40"/>
        <w:ind w:left="720" w:hanging="360"/>
      </w:pPr>
      <w:r>
        <w:rPr>
          <w:rFonts w:ascii="Arial" w:cs="Arial" w:eastAsia="Arial" w:hAnsi="Arial"/>
          <w:sz w:val="22"/>
          <w:szCs w:val="22"/>
        </w:rPr>
        <w:t xml:space="preserve">•  DALA Battery-Emulator (open-source base, proprietary configuration) — CAN protocol bridge</w:t>
      </w:r>
    </w:p>
    <w:p>
      <w:pPr>
        <w:spacing w:after="40" w:before="40"/>
        <w:ind w:left="720" w:hanging="360"/>
      </w:pPr>
      <w:r>
        <w:rPr>
          <w:rFonts w:ascii="Arial" w:cs="Arial" w:eastAsia="Arial" w:hAnsi="Arial"/>
          <w:sz w:val="22"/>
          <w:szCs w:val="22"/>
        </w:rPr>
        <w:t xml:space="preserve">•  Raspberry Pi 4 — edge compute / monitoring node</w:t>
      </w:r>
    </w:p>
    <w:p>
      <w:pPr>
        <w:spacing w:after="40" w:before="40"/>
        <w:ind w:left="720" w:hanging="360"/>
      </w:pPr>
      <w:r>
        <w:rPr>
          <w:rFonts w:ascii="Arial" w:cs="Arial" w:eastAsia="Arial" w:hAnsi="Arial"/>
          <w:sz w:val="22"/>
          <w:szCs w:val="22"/>
        </w:rPr>
        <w:t xml:space="preserve">•  Teltonika RUT240 — 4G remote access gateway</w:t>
      </w:r>
    </w:p>
    <w:p>
      <w:pPr>
        <w:spacing w:after="60" w:before="60"/>
      </w:pPr>
      <w:r>
        <w:t xml:space="preserve"/>
      </w:r>
    </w:p>
    <w:p>
      <w:pPr>
        <w:pStyle w:val="Heading1"/>
        <w:pBdr>
          <w:bottom w:val="single" w:color="2E7D32" w:sz="4" w:space="4"/>
        </w:pBdr>
        <w:spacing w:after="160" w:before="400"/>
      </w:pPr>
      <w:r>
        <w:rPr>
          <w:rFonts w:ascii="Arial" w:cs="Arial" w:eastAsia="Arial" w:hAnsi="Arial"/>
          <w:b/>
          <w:bCs/>
          <w:color w:val="1A1A2E"/>
          <w:sz w:val="28"/>
          <w:szCs w:val="28"/>
        </w:rPr>
        <w:t xml:space="preserve">7.  IP Ownership &amp; Assignment</w:t>
      </w:r>
    </w:p>
    <w:p>
      <w:pPr>
        <w:spacing w:after="60" w:before="60" w:line="280"/>
      </w:pPr>
      <w:r>
        <w:rPr>
          <w:rFonts w:ascii="Arial" w:cs="Arial" w:eastAsia="Arial" w:hAnsi="Arial"/>
          <w:sz w:val="22"/>
          <w:szCs w:val="22"/>
        </w:rPr>
        <w:t xml:space="preserve">All software, algorithms, source code, and associated intellectual property described in this document was created by Matthew Brander and has been formally assigned to Dovecote Systems Ltd by IP Assignment Agreement dated 25 April 2026. Dovecote Systems Ltd (Company No. 17160178) is the sole owner of all intellectual property rights in the NODE-3 Energy Arbitrage Portal.</w:t>
      </w:r>
    </w:p>
    <w:p>
      <w:pPr>
        <w:spacing w:after="60" w:before="60"/>
      </w:pPr>
      <w:r>
        <w:t xml:space="preserve"/>
      </w:r>
    </w:p>
    <w:p>
      <w:pPr>
        <w:spacing w:after="60" w:before="60" w:line="280"/>
      </w:pPr>
      <w:r>
        <w:rPr>
          <w:rFonts w:ascii="Arial" w:cs="Arial" w:eastAsia="Arial" w:hAnsi="Arial"/>
          <w:sz w:val="22"/>
          <w:szCs w:val="22"/>
        </w:rPr>
        <w:t xml:space="preserve">The proprietary elements of the platform — in particular the dynamicBuyCeil algorithm, the context-adjusted threshold engine, and the single-source simulation architecture — constitute trade secrets of Dovecote Systems Ltd and are subject to confidentiality obligations.</w:t>
      </w:r>
    </w:p>
    <w:p>
      <w:pPr>
        <w:spacing w:after="60" w:before="60"/>
      </w:pPr>
      <w:r>
        <w:t xml:space="preserve"/>
      </w:r>
    </w:p>
    <w:p>
      <w:pPr>
        <w:pBdr>
          <w:top w:val="single" w:color="CCCCCC" w:sz="2" w:space="8"/>
        </w:pBdr>
        <w:spacing w:after="80" w:before="320"/>
      </w:pPr>
      <w:r>
        <w:rPr>
          <w:rFonts w:ascii="Arial" w:cs="Arial" w:eastAsia="Arial" w:hAnsi="Arial"/>
          <w:color w:val="AAAAAA"/>
          <w:sz w:val="16"/>
          <w:szCs w:val="16"/>
        </w:rPr>
        <w:t xml:space="preserve">Dovecote Systems Ltd  |  Company No. 17160178  |  Registered in England and Wales  |  Incorporated 15 April 2026  |  PROPRIETARY &amp; CONFIDENTIAL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AAAAAA"/>
        <w:sz w:val="16"/>
        <w:szCs w:val="16"/>
      </w:rPr>
      <w:t xml:space="preserve">PROPRIETARY &amp; CONFIDENTIAL — Dovecote Systems Ltd</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b/>
        <w:bCs/>
        <w:color w:val="1A1A2E"/>
        <w:sz w:val="18"/>
        <w:szCs w:val="18"/>
      </w:rPr>
      <w:t xml:space="preserve">DOVECOTE SYSTEMS LTD</w:t>
    </w:r>
    <w:r>
      <w:rPr>
        <w:rFonts w:ascii="Arial" w:cs="Arial" w:eastAsia="Arial" w:hAnsi="Arial"/>
        <w:color w:val="888888"/>
        <w:sz w:val="18"/>
        <w:szCs w:val="18"/>
      </w:rPr>
      <w:t xml:space="preserve">   |   NODE-3 Software Architecture &amp; IP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D32"/>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2026-04-27T14:25:55.673Z</dcterms:created>
  <dcterms:modified xsi:type="dcterms:W3CDTF">2026-04-27T14:25:55.673Z</dcterms:modified>
</cp:coreProperties>
</file>

<file path=docProps/custom.xml><?xml version="1.0" encoding="utf-8"?>
<Properties xmlns="http://schemas.openxmlformats.org/officeDocument/2006/custom-properties" xmlns:vt="http://schemas.openxmlformats.org/officeDocument/2006/docPropsVTypes"/>
</file>