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200"/>
        <w:jc w:val="center"/>
      </w:pPr>
      <w:r>
        <w:rPr>
          <w:rFonts w:ascii="Arial" w:cs="Arial" w:eastAsia="Arial" w:hAnsi="Arial"/>
          <w:b/>
          <w:bCs/>
          <w:color w:val="1F3864"/>
          <w:sz w:val="72"/>
          <w:szCs w:val="72"/>
        </w:rPr>
        <w:t xml:space="preserve">NODE-3 ENERGY ARBITRAGE PORTAL</w:t>
      </w:r>
    </w:p>
    <w:p>
      <w:pPr>
        <w:spacing w:after="200"/>
        <w:jc w:val="center"/>
      </w:pPr>
      <w:r>
        <w:rPr>
          <w:rFonts w:ascii="Arial" w:cs="Arial" w:eastAsia="Arial" w:hAnsi="Arial"/>
          <w:color w:val="2E75B6"/>
          <w:sz w:val="40"/>
          <w:szCs w:val="40"/>
        </w:rPr>
        <w:t xml:space="preserve">Deep Technical Validation Report</w:t>
      </w:r>
    </w:p>
    <w:p>
      <w:pPr>
        <w:spacing w:after="80"/>
        <w:jc w:val="center"/>
      </w:pPr>
      <w:r>
        <w:rPr>
          <w:rFonts w:ascii="Arial" w:cs="Arial" w:eastAsia="Arial" w:hAnsi="Arial"/>
          <w:i/>
          <w:iCs/>
          <w:color w:val="606060"/>
          <w:sz w:val="26"/>
          <w:szCs w:val="26"/>
        </w:rPr>
        <w:t xml:space="preserve">Code Audit • Architecture Review • Completeness Assessment • Risk Register</w:t>
      </w:r>
    </w:p>
    <w:p>
      <w:pPr>
        <w:spacing w:after="200"/>
      </w:pPr>
      <w:r>
        <w:t xml:space="preserve"/>
      </w:r>
    </w:p>
    <w:p>
      <w:pPr>
        <w:spacing w:after="80"/>
        <w:jc w:val="center"/>
      </w:pPr>
      <w:r>
        <w:rPr>
          <w:rFonts w:ascii="Arial" w:cs="Arial" w:eastAsia="Arial" w:hAnsi="Arial"/>
          <w:color w:val="404040"/>
          <w:sz w:val="24"/>
          <w:szCs w:val="24"/>
        </w:rPr>
        <w:t xml:space="preserve">Prepared for: Matt Brander | Dovecote Technology</w:t>
      </w:r>
    </w:p>
    <w:p>
      <w:pPr>
        <w:spacing w:after="80"/>
        <w:jc w:val="center"/>
      </w:pPr>
      <w:r>
        <w:rPr>
          <w:rFonts w:ascii="Arial" w:cs="Arial" w:eastAsia="Arial" w:hAnsi="Arial"/>
          <w:color w:val="404040"/>
          <w:sz w:val="24"/>
          <w:szCs w:val="24"/>
        </w:rPr>
        <w:t xml:space="preserve">Date: 7 April 2026</w:t>
      </w:r>
    </w:p>
    <w:p>
      <w:pPr>
        <w:spacing w:after="80"/>
        <w:jc w:val="center"/>
      </w:pPr>
      <w:r>
        <w:rPr>
          <w:rFonts w:ascii="Arial" w:cs="Arial" w:eastAsia="Arial" w:hAnsi="Arial"/>
          <w:b/>
          <w:bCs/>
          <w:color w:val="9C0006"/>
          <w:sz w:val="22"/>
          <w:szCs w:val="22"/>
        </w:rPr>
        <w:t xml:space="preserve">Classification: CONFIDENTIAL — COMMERCIAL IN CONFIDENCE</w:t>
      </w:r>
    </w:p>
    <w:p>
      <w:pPr>
        <w:spacing w:after="400"/>
      </w:pPr>
      <w:r>
        <w:t xml:space="preserve"/>
      </w:r>
    </w:p>
    <w:p>
      <w:pPr>
        <w:jc w:val="center"/>
      </w:pPr>
      <w:r>
        <w:rPr>
          <w:rFonts w:ascii="Arial" w:cs="Arial" w:eastAsia="Arial" w:hAnsi="Arial"/>
          <w:b/>
          <w:bCs/>
          <w:color w:val="375623"/>
          <w:sz w:val="28"/>
          <w:szCs w:val="28"/>
        </w:rPr>
        <w:t xml:space="preserve">Portal Status at Time of Review: ✅ LIVE &amp; RUNNING</w:t>
      </w:r>
    </w:p>
    <w:p>
      <w:r>
        <w:br w:type="page"/>
      </w: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report presents the findings of a comprehensive deep technical validation of the NODE-3 Energy Arbitrage Portal — a system that performs automated battery arbitrage across a virtual fleet of 10 UK homes using Octopus Agile half-hourly electricity pricing.</w:t>
      </w:r>
    </w:p>
    <w:p>
      <w:pPr>
        <w:spacing w:after="100"/>
      </w:pPr>
      <w:r>
        <w:t xml:space="preserve"/>
      </w:r>
    </w:p>
    <w:p>
      <w:pPr>
        <w:spacing w:after="120"/>
      </w:pPr>
      <w:r>
        <w:rPr>
          <w:rFonts w:ascii="Arial" w:cs="Arial" w:eastAsia="Arial" w:hAnsi="Arial"/>
          <w:sz w:val="22"/>
          <w:szCs w:val="22"/>
        </w:rPr>
        <w:t xml:space="preserve">The system was validated end-to-end: design specification ingested, all code components reviewed in full, the simulation engine executed autonomously, and the live dashboard demonstrated running against 97 simulated slots of data showing £207.18 fleet profit.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Summary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simulate.py — Core Engine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live API integration, correct arbitrage logic with identified optimisation gaps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server.py — Flask API</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WARN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REST backend; security hardening needed before public exposure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dashboard.html — Portal UI</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Production-quality UI with intelligent 3-tier fallback; live at time of review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Workflow</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cron, concurrency locking, data commit pipeline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requirements.txt</w:t>
            </w:r>
          </w:p>
        </w:tc>
        <w:tc>
          <w:tcPr>
            <w:tcW w:type="dxa" w:w="1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INFO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and correct; no unnecessary dependencies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Model Accuracy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WARN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calculation omits round-trip efficiency losses (~5-8% overstatement)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Posture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WARN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Unauthenticated trigger/reset endpoints — acceptable for private use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Readiness</w:t>
            </w:r>
          </w:p>
        </w:tc>
        <w:tc>
          <w:tcPr>
            <w:tcW w:type="dxa" w:w="1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INFO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MVP-grade: ready for personal/demo use; list of items before commercial deployment</w:t>
            </w:r>
          </w:p>
        </w:tc>
      </w:tr>
    </w:tbl>
    <w:p>
      <w:pPr>
        <w:spacing w:after="100"/>
      </w:pPr>
      <w:r>
        <w:t xml:space="preserve"/>
      </w:r>
    </w:p>
    <w:p>
      <w:pPr>
        <w:spacing w:after="120"/>
      </w:pPr>
      <w:r>
        <w:rPr>
          <w:rFonts w:ascii="Arial" w:cs="Arial" w:eastAsia="Arial" w:hAnsi="Arial"/>
          <w:sz w:val="22"/>
          <w:szCs w:val="22"/>
        </w:rPr>
        <w:t xml:space="preserve">Overall verdict: The system is technically sound, intelligently architected, and genuinely functional. It is beyond proof-of-concept. With the identified fixes, it is deployable as a commercial service.</w:t>
      </w:r>
    </w:p>
    <w:p>
      <w:r>
        <w:br w:type="page"/>
      </w:r>
    </w:p>
    <w:p>
      <w:pPr>
        <w:pStyle w:val="Heading1"/>
      </w:pPr>
      <w:r>
        <w:rPr>
          <w:rFonts w:ascii="Arial" w:cs="Arial" w:eastAsia="Arial" w:hAnsi="Arial"/>
          <w:b/>
          <w:bCs/>
          <w:sz w:val="32"/>
          <w:szCs w:val="32"/>
        </w:rPr>
        <w:t xml:space="preserve">2. Architecture Review</w:t>
      </w:r>
    </w:p>
    <w:p>
      <w:pPr>
        <w:pStyle w:val="Heading2"/>
      </w:pPr>
      <w:r>
        <w:rPr>
          <w:rFonts w:ascii="Arial" w:cs="Arial" w:eastAsia="Arial" w:hAnsi="Arial"/>
          <w:b/>
          <w:bCs/>
          <w:sz w:val="26"/>
          <w:szCs w:val="26"/>
        </w:rPr>
        <w:t xml:space="preserve">2.1 System Overview</w:t>
      </w:r>
    </w:p>
    <w:p>
      <w:pPr>
        <w:spacing w:after="120"/>
      </w:pPr>
      <w:r>
        <w:rPr>
          <w:rFonts w:ascii="Arial" w:cs="Arial" w:eastAsia="Arial" w:hAnsi="Arial"/>
          <w:sz w:val="22"/>
          <w:szCs w:val="22"/>
        </w:rPr>
        <w:t xml:space="preserve">The NODE-3 system comprises three distinct execution environments that interact through shared data files:</w:t>
      </w:r>
    </w:p>
    <w:p>
      <w:pPr>
        <w:spacing w:after="100"/>
      </w:pPr>
      <w:r>
        <w:t xml:space="preserve"/>
      </w:r>
    </w:p>
    <w:p>
      <w:pPr>
        <w:pStyle w:val="ListParagraph"/>
        <w:numPr>
          <w:ilvl w:val="0"/>
          <w:numId w:val="2"/>
        </w:numPr>
        <w:spacing w:after="80"/>
      </w:pPr>
      <w:r>
        <w:rPr>
          <w:rFonts w:ascii="Arial" w:cs="Arial" w:eastAsia="Arial" w:hAnsi="Arial"/>
          <w:sz w:val="22"/>
          <w:szCs w:val="22"/>
        </w:rPr>
        <w:t xml:space="preserve">simulate.py — The arbitrage engine. Runs as a GitHub Actions cron job every 30 minutes. Fetches live Octopus Agile price data and Open-Meteo solar radiation forecasts, applies a P30/P75 percentile threshold strategy across a fleet of 10 virtual homes, and persists results to fleet_state.json, prices.json, weather.json, and history.csv.</w:t>
      </w:r>
    </w:p>
    <w:p>
      <w:pPr>
        <w:pStyle w:val="ListParagraph"/>
        <w:numPr>
          <w:ilvl w:val="0"/>
          <w:numId w:val="2"/>
        </w:numPr>
        <w:spacing w:after="80"/>
      </w:pPr>
      <w:r>
        <w:rPr>
          <w:rFonts w:ascii="Arial" w:cs="Arial" w:eastAsia="Arial" w:hAnsi="Arial"/>
          <w:sz w:val="22"/>
          <w:szCs w:val="22"/>
        </w:rPr>
        <w:t xml:space="preserve">server.py — A Flask REST API. Reads the persisted data files and serves them via JSON endpoints, including a trigger endpoint that can manually invoke simulate.py as a subprocess.</w:t>
      </w:r>
    </w:p>
    <w:p>
      <w:pPr>
        <w:pStyle w:val="ListParagraph"/>
        <w:numPr>
          <w:ilvl w:val="0"/>
          <w:numId w:val="2"/>
        </w:numPr>
        <w:spacing w:after="80"/>
      </w:pPr>
      <w:r>
        <w:rPr>
          <w:rFonts w:ascii="Arial" w:cs="Arial" w:eastAsia="Arial" w:hAnsi="Arial"/>
          <w:sz w:val="22"/>
          <w:szCs w:val="22"/>
        </w:rPr>
        <w:t xml:space="preserve">dashboard.html — A fully self-contained single-page web portal. Uses a 3-tier fallback architecture: (1) queries the Flask server API if available, (2) directly calls Octopus and Open-Meteo APIs from the user's browser if not, (3) falls back to internally-generated realistic demo data.</w:t>
      </w:r>
    </w:p>
    <w:p>
      <w:pPr>
        <w:spacing w:after="100"/>
      </w:pPr>
      <w:r>
        <w:t xml:space="preserve"/>
      </w:r>
    </w:p>
    <w:p>
      <w:pPr>
        <w:pStyle w:val="Heading2"/>
      </w:pPr>
      <w:r>
        <w:rPr>
          <w:rFonts w:ascii="Arial" w:cs="Arial" w:eastAsia="Arial" w:hAnsi="Arial"/>
          <w:b/>
          <w:bCs/>
          <w:sz w:val="26"/>
          <w:szCs w:val="26"/>
        </w:rPr>
        <w:t xml:space="preserve">2.2 Architectural Strengths</w:t>
      </w:r>
    </w:p>
    <w:p>
      <w:pPr>
        <w:pStyle w:val="ListParagraph"/>
        <w:numPr>
          <w:ilvl w:val="0"/>
          <w:numId w:val="2"/>
        </w:numPr>
        <w:spacing w:after="80"/>
      </w:pPr>
      <w:r>
        <w:rPr>
          <w:rFonts w:ascii="Arial" w:cs="Arial" w:eastAsia="Arial" w:hAnsi="Arial"/>
          <w:sz w:val="22"/>
          <w:szCs w:val="22"/>
        </w:rPr>
        <w:t xml:space="preserve">Decoupled execution model: simulation is completely independent of the UI layer. GitHub Actions can update data files with zero dependency on the Flask server being online.</w:t>
      </w:r>
    </w:p>
    <w:p>
      <w:pPr>
        <w:pStyle w:val="ListParagraph"/>
        <w:numPr>
          <w:ilvl w:val="0"/>
          <w:numId w:val="2"/>
        </w:numPr>
        <w:spacing w:after="80"/>
      </w:pPr>
      <w:r>
        <w:rPr>
          <w:rFonts w:ascii="Arial" w:cs="Arial" w:eastAsia="Arial" w:hAnsi="Arial"/>
          <w:sz w:val="22"/>
          <w:szCs w:val="22"/>
        </w:rPr>
        <w:t xml:space="preserve">3-tier dashboard fallback is a genuinely clever design. The portal works in any context — with server, without server, without internet — making demos and local development trivial.</w:t>
      </w:r>
    </w:p>
    <w:p>
      <w:pPr>
        <w:pStyle w:val="ListParagraph"/>
        <w:numPr>
          <w:ilvl w:val="0"/>
          <w:numId w:val="2"/>
        </w:numPr>
        <w:spacing w:after="80"/>
      </w:pPr>
      <w:r>
        <w:rPr>
          <w:rFonts w:ascii="Arial" w:cs="Arial" w:eastAsia="Arial" w:hAnsi="Arial"/>
          <w:sz w:val="22"/>
          <w:szCs w:val="22"/>
        </w:rPr>
        <w:t xml:space="preserve">Dynamic Octopus product code discovery via discover_agile_product() avoids hardcoding tariff codes that change periodically.</w:t>
      </w:r>
    </w:p>
    <w:p>
      <w:pPr>
        <w:pStyle w:val="ListParagraph"/>
        <w:numPr>
          <w:ilvl w:val="0"/>
          <w:numId w:val="2"/>
        </w:numPr>
        <w:spacing w:after="80"/>
      </w:pPr>
      <w:r>
        <w:rPr>
          <w:rFonts w:ascii="Arial" w:cs="Arial" w:eastAsia="Arial" w:hAnsi="Arial"/>
          <w:sz w:val="22"/>
          <w:szCs w:val="22"/>
        </w:rPr>
        <w:t xml:space="preserve">Concurrency locking in GitHub Actions via cancel-in-progress: false prevents race conditions on shared JSON/CSV files.</w:t>
      </w:r>
    </w:p>
    <w:p>
      <w:pPr>
        <w:pStyle w:val="ListParagraph"/>
        <w:numPr>
          <w:ilvl w:val="0"/>
          <w:numId w:val="2"/>
        </w:numPr>
        <w:spacing w:after="80"/>
      </w:pPr>
      <w:r>
        <w:rPr>
          <w:rFonts w:ascii="Arial" w:cs="Arial" w:eastAsia="Arial" w:hAnsi="Arial"/>
          <w:sz w:val="22"/>
          <w:szCs w:val="22"/>
        </w:rPr>
        <w:t xml:space="preserve">Minimal dependency footprint: 4 packages (flask, flask-cors, requests, pytz). Trivial to deploy on any Python 3.12 environment.</w:t>
      </w:r>
    </w:p>
    <w:p>
      <w:pPr>
        <w:pStyle w:val="ListParagraph"/>
        <w:numPr>
          <w:ilvl w:val="0"/>
          <w:numId w:val="2"/>
        </w:numPr>
        <w:spacing w:after="80"/>
      </w:pPr>
      <w:r>
        <w:rPr>
          <w:rFonts w:ascii="Arial" w:cs="Arial" w:eastAsia="Arial" w:hAnsi="Arial"/>
          <w:sz w:val="22"/>
          <w:szCs w:val="22"/>
        </w:rPr>
        <w:t xml:space="preserve">File-based state persistence means the entire system state is auditable and portable — no database dependency.</w:t>
      </w:r>
    </w:p>
    <w:p>
      <w:pPr>
        <w:spacing w:after="100"/>
      </w:pPr>
      <w:r>
        <w:t xml:space="preserve"/>
      </w:r>
    </w:p>
    <w:p>
      <w:pPr>
        <w:pStyle w:val="Heading2"/>
      </w:pPr>
      <w:r>
        <w:rPr>
          <w:rFonts w:ascii="Arial" w:cs="Arial" w:eastAsia="Arial" w:hAnsi="Arial"/>
          <w:b/>
          <w:bCs/>
          <w:sz w:val="26"/>
          <w:szCs w:val="26"/>
        </w:rPr>
        <w:t xml:space="preserve">2.3 Architectural Gaps</w:t>
      </w:r>
    </w:p>
    <w:p>
      <w:pPr>
        <w:pStyle w:val="ListParagraph"/>
        <w:numPr>
          <w:ilvl w:val="0"/>
          <w:numId w:val="2"/>
        </w:numPr>
        <w:spacing w:after="80"/>
      </w:pPr>
      <w:r>
        <w:rPr>
          <w:rFonts w:ascii="Arial" w:cs="Arial" w:eastAsia="Arial" w:hAnsi="Arial"/>
          <w:sz w:val="22"/>
          <w:szCs w:val="22"/>
        </w:rPr>
        <w:t xml:space="preserve">No database: history.csv is append-only with no indexing. At 2 rows/hour this reaches 17,520 rows/year per fleet. Query latency will grow linearly. For &gt;3 months of data, migrate to SQLite or InfluxDB.</w:t>
      </w:r>
    </w:p>
    <w:p>
      <w:pPr>
        <w:pStyle w:val="ListParagraph"/>
        <w:numPr>
          <w:ilvl w:val="0"/>
          <w:numId w:val="2"/>
        </w:numPr>
        <w:spacing w:after="80"/>
      </w:pPr>
      <w:r>
        <w:rPr>
          <w:rFonts w:ascii="Arial" w:cs="Arial" w:eastAsia="Arial" w:hAnsi="Arial"/>
          <w:sz w:val="22"/>
          <w:szCs w:val="22"/>
        </w:rPr>
        <w:t xml:space="preserve">Single-region, single-tariff design: the system is hardcoded to one Agile region and one battery configuration. Multi-tenancy (different homes with different tariffs, batteries, or locations) requires architectural extension.</w:t>
      </w:r>
    </w:p>
    <w:p>
      <w:pPr>
        <w:pStyle w:val="ListParagraph"/>
        <w:numPr>
          <w:ilvl w:val="0"/>
          <w:numId w:val="2"/>
        </w:numPr>
        <w:spacing w:after="80"/>
      </w:pPr>
      <w:r>
        <w:rPr>
          <w:rFonts w:ascii="Arial" w:cs="Arial" w:eastAsia="Arial" w:hAnsi="Arial"/>
          <w:sz w:val="22"/>
          <w:szCs w:val="22"/>
        </w:rPr>
        <w:t xml:space="preserve">No message queue: the /api/trigger endpoint runs simulate.py synchronously with a 120-second timeout. Long-running backfill operations under load will block web workers.</w:t>
      </w:r>
    </w:p>
    <w:p>
      <w:r>
        <w:br w:type="page"/>
      </w:r>
    </w:p>
    <w:p>
      <w:pPr>
        <w:pStyle w:val="Heading1"/>
      </w:pPr>
      <w:r>
        <w:rPr>
          <w:rFonts w:ascii="Arial" w:cs="Arial" w:eastAsia="Arial" w:hAnsi="Arial"/>
          <w:b/>
          <w:bCs/>
          <w:sz w:val="32"/>
          <w:szCs w:val="32"/>
        </w:rPr>
        <w:t xml:space="preserve">3. Code-Level Analysis</w:t>
      </w:r>
    </w:p>
    <w:p>
      <w:pPr>
        <w:pStyle w:val="Heading2"/>
      </w:pPr>
      <w:r>
        <w:rPr>
          <w:rFonts w:ascii="Arial" w:cs="Arial" w:eastAsia="Arial" w:hAnsi="Arial"/>
          <w:b/>
          <w:bCs/>
          <w:sz w:val="26"/>
          <w:szCs w:val="26"/>
        </w:rPr>
        <w:t xml:space="preserve">3.1 simulate.py — Arbitrage Engine</w:t>
      </w:r>
    </w:p>
    <w:p>
      <w:pPr>
        <w:pStyle w:val="Heading3"/>
      </w:pPr>
      <w:r>
        <w:rPr>
          <w:rFonts w:ascii="Arial" w:cs="Arial" w:eastAsia="Arial" w:hAnsi="Arial"/>
          <w:b/>
          <w:bCs/>
          <w:sz w:val="24"/>
          <w:szCs w:val="24"/>
        </w:rPr>
        <w:t xml:space="preserve">3.1.1 Financial Model</w:t>
      </w:r>
    </w:p>
    <w:p>
      <w:pPr>
        <w:spacing w:after="120"/>
      </w:pPr>
      <w:r>
        <w:rPr>
          <w:rFonts w:ascii="Arial" w:cs="Arial" w:eastAsia="Arial" w:hAnsi="Arial"/>
          <w:sz w:val="22"/>
          <w:szCs w:val="22"/>
        </w:rPr>
        <w:t xml:space="preserve">The profit calculation is directionally correct but has two meaningful gaps:</w:t>
      </w:r>
    </w:p>
    <w:p>
      <w:pPr>
        <w:spacing w:after="100"/>
      </w:pPr>
      <w:r>
        <w:t xml:space="preserve"/>
      </w:r>
    </w:p>
    <w:p>
      <w:pPr>
        <w:spacing w:after="100"/>
      </w:pPr>
      <w:r>
        <w:rPr>
          <w:rFonts w:ascii="Arial" w:cs="Arial" w:eastAsia="Arial" w:hAnsi="Arial"/>
          <w:b/>
          <w:bCs/>
          <w:sz w:val="22"/>
          <w:szCs w:val="22"/>
        </w:rPr>
        <w:t xml:space="preserve">Issue: No round-trip efficiency modelling. </w:t>
      </w:r>
      <w:r>
        <w:rPr>
          <w:rFonts w:ascii="Arial" w:cs="Arial" w:eastAsia="Arial" w:hAnsi="Arial"/>
          <w:sz w:val="22"/>
          <w:szCs w:val="22"/>
        </w:rPr>
        <w:t xml:space="preserve">Lithium-ion batteries have approximately 92-95% round-trip efficiency. If a home charges 5 kWh at 8p, the energy stored is effectively ~4.75 kWh. When discharged, only 4.75 kWh can be exported at 30p. The current model credits 5 kWh on both ends, overstating profit by approximately 5-8% per cycle.</w:t>
      </w:r>
    </w:p>
    <w:p>
      <w:pPr>
        <w:spacing w:after="100"/>
      </w:pPr>
      <w:r>
        <w:t xml:space="preserve"/>
      </w:r>
    </w:p>
    <w:p>
      <w:pPr>
        <w:spacing w:after="100"/>
      </w:pPr>
      <w:r>
        <w:rPr>
          <w:rFonts w:ascii="Arial" w:cs="Arial" w:eastAsia="Arial" w:hAnsi="Arial"/>
          <w:b/>
          <w:bCs/>
          <w:sz w:val="22"/>
          <w:szCs w:val="22"/>
        </w:rPr>
        <w:t xml:space="preserve">Issue: Household load is not costed. </w:t>
      </w:r>
      <w:r>
        <w:rPr>
          <w:rFonts w:ascii="Arial" w:cs="Arial" w:eastAsia="Arial" w:hAnsi="Arial"/>
          <w:sz w:val="22"/>
          <w:szCs w:val="22"/>
        </w:rPr>
        <w:t xml:space="preserve">The daily load of 12 kWh/day (slot_load_kwh = 12/48) consumes battery energy, but the cost of that electricity — whether sourced from the grid when prices are low or from the battery when prices are high — is not tracked in home_profit. The financial model measures only grid import/export transactions. This is acceptable for arbitrage-only tracking but understates true profitability calculations when comparing to a baseline household.</w:t>
      </w:r>
    </w:p>
    <w:p>
      <w:pPr>
        <w:spacing w:after="100"/>
      </w:pPr>
      <w:r>
        <w:t xml:space="preserve"/>
      </w:r>
    </w:p>
    <w:p>
      <w:pPr>
        <w:pStyle w:val="Heading3"/>
      </w:pPr>
      <w:r>
        <w:rPr>
          <w:rFonts w:ascii="Arial" w:cs="Arial" w:eastAsia="Arial" w:hAnsi="Arial"/>
          <w:b/>
          <w:bCs/>
          <w:sz w:val="24"/>
          <w:szCs w:val="24"/>
        </w:rPr>
        <w:t xml:space="preserve">3.1.2 Battery State Logic</w:t>
      </w:r>
    </w:p>
    <w:p>
      <w:pPr>
        <w:spacing w:after="120"/>
      </w:pPr>
      <w:r>
        <w:rPr>
          <w:rFonts w:ascii="Arial" w:cs="Arial" w:eastAsia="Arial" w:hAnsi="Arial"/>
          <w:sz w:val="22"/>
          <w:szCs w:val="22"/>
        </w:rPr>
        <w:t xml:space="preserve">The SOC clamping logic has a subtle sequence issue. During each slot, the code applies solar generation and household load first (lines 292-294), clamping the result between 0 and BATTERY_KWH. It then potentially allows SOC to fall below MIN_SOC_KWH during load application before a final clamp at the end of the slot. This means the minimum reserve is enforced at end-of-slot rather than continuously, which can result in the discharging branch accepting a discharge that pushes SOC transiently below reserve. In practice this is self-correcting in the next slot, but it is not the intended behaviour.</w:t>
      </w:r>
    </w:p>
    <w:p>
      <w:pPr>
        <w:spacing w:after="100"/>
      </w:pPr>
      <w:r>
        <w:t xml:space="preserve"/>
      </w:r>
    </w:p>
    <w:p>
      <w:pPr>
        <w:pStyle w:val="Heading3"/>
      </w:pPr>
      <w:r>
        <w:rPr>
          <w:rFonts w:ascii="Arial" w:cs="Arial" w:eastAsia="Arial" w:hAnsi="Arial"/>
          <w:b/>
          <w:bCs/>
          <w:sz w:val="24"/>
          <w:szCs w:val="24"/>
        </w:rPr>
        <w:t xml:space="preserve">3.1.3 Percentile Calculation</w:t>
      </w:r>
    </w:p>
    <w:p>
      <w:pPr>
        <w:spacing w:after="100"/>
      </w:pPr>
      <w:r>
        <w:rPr>
          <w:rFonts w:ascii="Arial" w:cs="Arial" w:eastAsia="Arial" w:hAnsi="Arial"/>
          <w:b/>
          <w:bCs/>
          <w:sz w:val="22"/>
          <w:szCs w:val="22"/>
        </w:rPr>
        <w:t xml:space="preserve">Current implementation: </w:t>
      </w:r>
      <w:r>
        <w:rPr>
          <w:rFonts w:ascii="Arial" w:cs="Arial" w:eastAsia="Arial" w:hAnsi="Arial"/>
          <w:sz w:val="22"/>
          <w:szCs w:val="22"/>
        </w:rPr>
        <w:t xml:space="preserve">Uses int(len(s) * pct / 100) with truncation, not interpolation. On 96 price slots, P30 = prices[28] and P75 = prices[72]. This is a simple nearest-rank method, not the NumPy/Excel interpolated percentile. The difference is small in practice but worth documenting for commercial use.</w:t>
      </w:r>
    </w:p>
    <w:p>
      <w:pPr>
        <w:spacing w:after="100"/>
      </w:pPr>
      <w:r>
        <w:t xml:space="preserve"/>
      </w:r>
    </w:p>
    <w:p>
      <w:pPr>
        <w:pStyle w:val="Heading3"/>
      </w:pPr>
      <w:r>
        <w:rPr>
          <w:rFonts w:ascii="Arial" w:cs="Arial" w:eastAsia="Arial" w:hAnsi="Arial"/>
          <w:b/>
          <w:bCs/>
          <w:sz w:val="24"/>
          <w:szCs w:val="24"/>
        </w:rPr>
        <w:t xml:space="preserve">3.1.4 Price Slot Matching in run_single()</w:t>
      </w:r>
    </w:p>
    <w:p>
      <w:pPr>
        <w:spacing w:after="120"/>
      </w:pPr>
      <w:r>
        <w:rPr>
          <w:rFonts w:ascii="Arial" w:cs="Arial" w:eastAsia="Arial" w:hAnsi="Arial"/>
          <w:sz w:val="22"/>
          <w:szCs w:val="22"/>
        </w:rPr>
        <w:t xml:space="preserve">The current-slot lookup iterates all cached prices and uses valid_to for boundary matching. If the Octopus API has not yet published the current slot (which can happen briefly at 30-minute boundaries), the fallback is prices[-1], meaning the most recent price in the cache — which may be up to 30 minutes stale. A better fallback is to use the most recently expired slot. This is a minor operational concern, not a logic error.</w:t>
      </w:r>
    </w:p>
    <w:p>
      <w:pPr>
        <w:spacing w:after="100"/>
      </w:pPr>
      <w:r>
        <w:t xml:space="preserve"/>
      </w:r>
    </w:p>
    <w:p>
      <w:pPr>
        <w:pStyle w:val="Heading3"/>
      </w:pPr>
      <w:r>
        <w:rPr>
          <w:rFonts w:ascii="Arial" w:cs="Arial" w:eastAsia="Arial" w:hAnsi="Arial"/>
          <w:b/>
          <w:bCs/>
          <w:sz w:val="24"/>
          <w:szCs w:val="24"/>
        </w:rPr>
        <w:t xml:space="preserve">3.1.5 Code Quality</w:t>
      </w:r>
    </w:p>
    <w:p>
      <w:pPr>
        <w:pStyle w:val="ListParagraph"/>
        <w:numPr>
          <w:ilvl w:val="0"/>
          <w:numId w:val="2"/>
        </w:numPr>
        <w:spacing w:after="80"/>
      </w:pPr>
      <w:r>
        <w:rPr>
          <w:rFonts w:ascii="Arial" w:cs="Arial" w:eastAsia="Arial" w:hAnsi="Arial"/>
          <w:sz w:val="22"/>
          <w:szCs w:val="22"/>
        </w:rPr>
        <w:t xml:space="preserve">Exception handling is consistent throughout — all API calls wrapped in try/except with informative print statements.</w:t>
      </w:r>
    </w:p>
    <w:p>
      <w:pPr>
        <w:pStyle w:val="ListParagraph"/>
        <w:numPr>
          <w:ilvl w:val="0"/>
          <w:numId w:val="2"/>
        </w:numPr>
        <w:spacing w:after="80"/>
      </w:pPr>
      <w:r>
        <w:rPr>
          <w:rFonts w:ascii="Arial" w:cs="Arial" w:eastAsia="Arial" w:hAnsi="Arial"/>
          <w:sz w:val="22"/>
          <w:szCs w:val="22"/>
        </w:rPr>
        <w:t xml:space="preserve">File operations are not atomic. save_fleet_state() and save_prices() write directly without using temp-file-then-rename, so a crash mid-write could produce a corrupted JSON file. Low risk under GitHub Actions cron with concurrency locking.</w:t>
      </w:r>
    </w:p>
    <w:p>
      <w:pPr>
        <w:pStyle w:val="ListParagraph"/>
        <w:numPr>
          <w:ilvl w:val="0"/>
          <w:numId w:val="2"/>
        </w:numPr>
        <w:spacing w:after="80"/>
      </w:pPr>
      <w:r>
        <w:rPr>
          <w:rFonts w:ascii="Arial" w:cs="Arial" w:eastAsia="Arial" w:hAnsi="Arial"/>
          <w:sz w:val="22"/>
          <w:szCs w:val="22"/>
        </w:rPr>
        <w:t xml:space="preserve">The history CSV fieldnames list is hardcoded inline in append_history(). Adding new fields requires updating in two places.</w:t>
      </w:r>
    </w:p>
    <w:p>
      <w:pPr>
        <w:pStyle w:val="ListParagraph"/>
        <w:numPr>
          <w:ilvl w:val="0"/>
          <w:numId w:val="2"/>
        </w:numPr>
        <w:spacing w:after="80"/>
      </w:pPr>
      <w:r>
        <w:rPr>
          <w:rFonts w:ascii="Arial" w:cs="Arial" w:eastAsia="Arial" w:hAnsi="Arial"/>
          <w:sz w:val="22"/>
          <w:szCs w:val="22"/>
        </w:rPr>
        <w:t xml:space="preserve">No unit tests. The simulation logic is entirely deterministic given fixed inputs and is well-suited to unit testing.</w:t>
      </w:r>
    </w:p>
    <w:p>
      <w:pPr>
        <w:spacing w:after="100"/>
      </w:pPr>
      <w:r>
        <w:t xml:space="preserve"/>
      </w:r>
    </w:p>
    <w:p>
      <w:pPr>
        <w:pStyle w:val="Heading2"/>
      </w:pPr>
      <w:r>
        <w:rPr>
          <w:rFonts w:ascii="Arial" w:cs="Arial" w:eastAsia="Arial" w:hAnsi="Arial"/>
          <w:b/>
          <w:bCs/>
          <w:sz w:val="26"/>
          <w:szCs w:val="26"/>
        </w:rPr>
        <w:t xml:space="preserve">3.2 server.py — Flask Backend</w:t>
      </w:r>
    </w:p>
    <w:p>
      <w:pPr>
        <w:pStyle w:val="Heading3"/>
      </w:pPr>
      <w:r>
        <w:rPr>
          <w:rFonts w:ascii="Arial" w:cs="Arial" w:eastAsia="Arial" w:hAnsi="Arial"/>
          <w:b/>
          <w:bCs/>
          <w:sz w:val="24"/>
          <w:szCs w:val="24"/>
        </w:rPr>
        <w:t xml:space="preserve">3.2.1 API Design</w:t>
      </w:r>
    </w:p>
    <w:p>
      <w:pPr>
        <w:spacing w:after="120"/>
      </w:pPr>
      <w:r>
        <w:rPr>
          <w:rFonts w:ascii="Arial" w:cs="Arial" w:eastAsia="Arial" w:hAnsi="Arial"/>
          <w:sz w:val="22"/>
          <w:szCs w:val="22"/>
        </w:rPr>
        <w:t xml:space="preserve">The REST API surface is clean and appropriately minimal. Route design is logical and consistent. The /api/status endpoint is particularly well-designed as a health-check surface returning data freshness metadata alongside connectivity state.</w:t>
      </w:r>
    </w:p>
    <w:p>
      <w:pPr>
        <w:spacing w:after="100"/>
      </w:pPr>
      <w:r>
        <w:t xml:space="preserve"/>
      </w:r>
    </w:p>
    <w:p>
      <w:pPr>
        <w:pStyle w:val="Heading3"/>
      </w:pPr>
      <w:r>
        <w:rPr>
          <w:rFonts w:ascii="Arial" w:cs="Arial" w:eastAsia="Arial" w:hAnsi="Arial"/>
          <w:b/>
          <w:bCs/>
          <w:sz w:val="24"/>
          <w:szCs w:val="24"/>
        </w:rPr>
        <w:t xml:space="preserve">3.2.2 Security Observations</w:t>
      </w:r>
    </w:p>
    <w:p>
      <w:pPr>
        <w:spacing w:after="100"/>
      </w:pPr>
      <w:r>
        <w:rPr>
          <w:rFonts w:ascii="Arial" w:cs="Arial" w:eastAsia="Arial" w:hAnsi="Arial"/>
          <w:b/>
          <w:bCs/>
          <w:sz w:val="22"/>
          <w:szCs w:val="22"/>
        </w:rPr>
        <w:t xml:space="preserve">WARN — Unauthenticated trigger endpoint: </w:t>
      </w:r>
      <w:r>
        <w:rPr>
          <w:rFonts w:ascii="Arial" w:cs="Arial" w:eastAsia="Arial" w:hAnsi="Arial"/>
          <w:sz w:val="22"/>
          <w:szCs w:val="22"/>
        </w:rPr>
        <w:t xml:space="preserve">GET/POST /api/trigger and POST /api/reset are exposed with no authentication. Any client that can reach the Flask port (default 8585) can trigger a full simulation or wipe the fleet state. For private/local use this is acceptable. Before any public or networked deployment, add at minimum a static API key check via a request header (e.g. X-API-Key).</w:t>
      </w:r>
    </w:p>
    <w:p>
      <w:pPr>
        <w:spacing w:after="100"/>
      </w:pPr>
      <w:r>
        <w:t xml:space="preserve"/>
      </w:r>
    </w:p>
    <w:p>
      <w:pPr>
        <w:spacing w:after="100"/>
      </w:pPr>
      <w:r>
        <w:rPr>
          <w:rFonts w:ascii="Arial" w:cs="Arial" w:eastAsia="Arial" w:hAnsi="Arial"/>
          <w:b/>
          <w:bCs/>
          <w:sz w:val="22"/>
          <w:szCs w:val="22"/>
        </w:rPr>
        <w:t xml:space="preserve">INFO — CORS wildcard: </w:t>
      </w:r>
      <w:r>
        <w:rPr>
          <w:rFonts w:ascii="Arial" w:cs="Arial" w:eastAsia="Arial" w:hAnsi="Arial"/>
          <w:sz w:val="22"/>
          <w:szCs w:val="22"/>
        </w:rPr>
        <w:t xml:space="preserve">CORS(app) permits requests from any origin. Appropriate for a local dashboard but should be restricted to known origins before production deployment.</w:t>
      </w:r>
    </w:p>
    <w:p>
      <w:pPr>
        <w:spacing w:after="100"/>
      </w:pPr>
      <w:r>
        <w:t xml:space="preserve"/>
      </w:r>
    </w:p>
    <w:p>
      <w:pPr>
        <w:spacing w:after="100"/>
      </w:pPr>
      <w:r>
        <w:rPr>
          <w:rFonts w:ascii="Arial" w:cs="Arial" w:eastAsia="Arial" w:hAnsi="Arial"/>
          <w:b/>
          <w:bCs/>
          <w:sz w:val="22"/>
          <w:szCs w:val="22"/>
        </w:rPr>
        <w:t xml:space="preserve">INFO — Host binding: </w:t>
      </w:r>
      <w:r>
        <w:rPr>
          <w:rFonts w:ascii="Arial" w:cs="Arial" w:eastAsia="Arial" w:hAnsi="Arial"/>
          <w:sz w:val="22"/>
          <w:szCs w:val="22"/>
        </w:rPr>
        <w:t xml:space="preserve">Default host is 0.0.0.0, meaning the server listens on all interfaces. For a personal/home server this is intentional but should be documented in the README.</w:t>
      </w:r>
    </w:p>
    <w:p>
      <w:pPr>
        <w:spacing w:after="100"/>
      </w:pPr>
      <w:r>
        <w:t xml:space="preserve"/>
      </w:r>
    </w:p>
    <w:p>
      <w:pPr>
        <w:pStyle w:val="Heading3"/>
      </w:pPr>
      <w:r>
        <w:rPr>
          <w:rFonts w:ascii="Arial" w:cs="Arial" w:eastAsia="Arial" w:hAnsi="Arial"/>
          <w:b/>
          <w:bCs/>
          <w:sz w:val="24"/>
          <w:szCs w:val="24"/>
        </w:rPr>
        <w:t xml:space="preserve">3.2.3 Performance</w:t>
      </w:r>
    </w:p>
    <w:p>
      <w:pPr>
        <w:spacing w:after="120"/>
      </w:pPr>
      <w:r>
        <w:rPr>
          <w:rFonts w:ascii="Arial" w:cs="Arial" w:eastAsia="Arial" w:hAnsi="Arial"/>
          <w:sz w:val="22"/>
          <w:szCs w:val="22"/>
        </w:rPr>
        <w:t xml:space="preserve">The /api/status endpoint calls load_history(max_rows=9999) purely to count rows — it reads and parses the entire CSV just to return a row count. At scale this becomes a significant overhead. A more efficient implementation uses a line count approach without parsing each field.</w:t>
      </w:r>
    </w:p>
    <w:p>
      <w:pPr>
        <w:spacing w:after="100"/>
      </w:pPr>
      <w:r>
        <w:t xml:space="preserve"/>
      </w:r>
    </w:p>
    <w:p>
      <w:pPr>
        <w:pStyle w:val="Heading2"/>
      </w:pPr>
      <w:r>
        <w:rPr>
          <w:rFonts w:ascii="Arial" w:cs="Arial" w:eastAsia="Arial" w:hAnsi="Arial"/>
          <w:b/>
          <w:bCs/>
          <w:sz w:val="26"/>
          <w:szCs w:val="26"/>
        </w:rPr>
        <w:t xml:space="preserve">3.3 dashboard.html — Portal UI</w:t>
      </w:r>
    </w:p>
    <w:p>
      <w:pPr>
        <w:pStyle w:val="Heading3"/>
      </w:pPr>
      <w:r>
        <w:rPr>
          <w:rFonts w:ascii="Arial" w:cs="Arial" w:eastAsia="Arial" w:hAnsi="Arial"/>
          <w:b/>
          <w:bCs/>
          <w:sz w:val="24"/>
          <w:szCs w:val="24"/>
        </w:rPr>
        <w:t xml:space="preserve">3.3.1 UI Quality</w:t>
      </w:r>
    </w:p>
    <w:p>
      <w:pPr>
        <w:spacing w:after="120"/>
      </w:pPr>
      <w:r>
        <w:rPr>
          <w:rFonts w:ascii="Arial" w:cs="Arial" w:eastAsia="Arial" w:hAnsi="Arial"/>
          <w:sz w:val="22"/>
          <w:szCs w:val="22"/>
        </w:rPr>
        <w:t xml:space="preserve">The dashboard is polished, functional, and visually distinctive. The dark terminal aesthetic is appropriate for an energy management tool. Key observations:</w:t>
      </w:r>
    </w:p>
    <w:p>
      <w:pPr>
        <w:pStyle w:val="ListParagraph"/>
        <w:numPr>
          <w:ilvl w:val="0"/>
          <w:numId w:val="2"/>
        </w:numPr>
        <w:spacing w:after="80"/>
      </w:pPr>
      <w:r>
        <w:rPr>
          <w:rFonts w:ascii="Arial" w:cs="Arial" w:eastAsia="Arial" w:hAnsi="Arial"/>
          <w:sz w:val="22"/>
          <w:szCs w:val="22"/>
        </w:rPr>
        <w:t xml:space="preserve">Chart.js integration is correctly implemented with responsive canvas sizing and appropriate chart types (line for profit over time, bar for price slots).</w:t>
      </w:r>
    </w:p>
    <w:p>
      <w:pPr>
        <w:pStyle w:val="ListParagraph"/>
        <w:numPr>
          <w:ilvl w:val="0"/>
          <w:numId w:val="2"/>
        </w:numPr>
        <w:spacing w:after="80"/>
      </w:pPr>
      <w:r>
        <w:rPr>
          <w:rFonts w:ascii="Arial" w:cs="Arial" w:eastAsia="Arial" w:hAnsi="Arial"/>
          <w:sz w:val="22"/>
          <w:szCs w:val="22"/>
        </w:rPr>
        <w:t xml:space="preserve">Price colour coding (blue for negative, green &lt;10p, amber &lt;26p, red &gt;=26p) correctly reflects UK Agile market dynamics.</w:t>
      </w:r>
    </w:p>
    <w:p>
      <w:pPr>
        <w:pStyle w:val="ListParagraph"/>
        <w:numPr>
          <w:ilvl w:val="0"/>
          <w:numId w:val="2"/>
        </w:numPr>
        <w:spacing w:after="80"/>
      </w:pPr>
      <w:r>
        <w:rPr>
          <w:rFonts w:ascii="Arial" w:cs="Arial" w:eastAsia="Arial" w:hAnsi="Arial"/>
          <w:sz w:val="22"/>
          <w:szCs w:val="22"/>
        </w:rPr>
        <w:t xml:space="preserve">Auto-refresh at 30-second intervals matches the Agile price slot cadence exactly.</w:t>
      </w:r>
    </w:p>
    <w:p>
      <w:pPr>
        <w:pStyle w:val="ListParagraph"/>
        <w:numPr>
          <w:ilvl w:val="0"/>
          <w:numId w:val="2"/>
        </w:numPr>
        <w:spacing w:after="80"/>
      </w:pPr>
      <w:r>
        <w:rPr>
          <w:rFonts w:ascii="Arial" w:cs="Arial" w:eastAsia="Arial" w:hAnsi="Arial"/>
          <w:sz w:val="22"/>
          <w:szCs w:val="22"/>
        </w:rPr>
        <w:t xml:space="preserve">The fleet grid rendering is clear and communicates battery SOC and action state at a glance.</w:t>
      </w:r>
    </w:p>
    <w:p>
      <w:pPr>
        <w:pStyle w:val="ListParagraph"/>
        <w:numPr>
          <w:ilvl w:val="0"/>
          <w:numId w:val="2"/>
        </w:numPr>
        <w:spacing w:after="80"/>
      </w:pPr>
      <w:r>
        <w:rPr>
          <w:rFonts w:ascii="Arial" w:cs="Arial" w:eastAsia="Arial" w:hAnsi="Arial"/>
          <w:sz w:val="22"/>
          <w:szCs w:val="22"/>
        </w:rPr>
        <w:t xml:space="preserve">The LIVE TIME clock confirms real-time operation to users.</w:t>
      </w:r>
    </w:p>
    <w:p>
      <w:pPr>
        <w:spacing w:after="100"/>
      </w:pPr>
      <w:r>
        <w:t xml:space="preserve"/>
      </w:r>
    </w:p>
    <w:p>
      <w:pPr>
        <w:pStyle w:val="Heading3"/>
      </w:pPr>
      <w:r>
        <w:rPr>
          <w:rFonts w:ascii="Arial" w:cs="Arial" w:eastAsia="Arial" w:hAnsi="Arial"/>
          <w:b/>
          <w:bCs/>
          <w:sz w:val="24"/>
          <w:szCs w:val="24"/>
        </w:rPr>
        <w:t xml:space="preserve">3.3.2 The 3-Tier Fallback Architecture</w:t>
      </w:r>
    </w:p>
    <w:p>
      <w:pPr>
        <w:spacing w:after="120"/>
      </w:pPr>
      <w:r>
        <w:rPr>
          <w:rFonts w:ascii="Arial" w:cs="Arial" w:eastAsia="Arial" w:hAnsi="Arial"/>
          <w:sz w:val="22"/>
          <w:szCs w:val="22"/>
        </w:rPr>
        <w:t xml:space="preserve">This is the standout design decision in the system. The dashboard detects server availability via a 3-second timeout fetch to /api/status. If unreachable, it attempts direct Octopus + Open-Meteo API calls from the user's browser (which have internet access even when the server does not). Only if both fail does it generate synthetic demo data. This means the portal delivers meaningful value in all three deployment scenarios: full server mode, serverless-but-connected mode, and fully offline demo mode.</w:t>
      </w:r>
    </w:p>
    <w:p>
      <w:pPr>
        <w:spacing w:after="100"/>
      </w:pPr>
      <w:r>
        <w:t xml:space="preserve"/>
      </w:r>
    </w:p>
    <w:p>
      <w:pPr>
        <w:pStyle w:val="Heading3"/>
      </w:pPr>
      <w:r>
        <w:rPr>
          <w:rFonts w:ascii="Arial" w:cs="Arial" w:eastAsia="Arial" w:hAnsi="Arial"/>
          <w:b/>
          <w:bCs/>
          <w:sz w:val="24"/>
          <w:szCs w:val="24"/>
        </w:rPr>
        <w:t xml:space="preserve">3.3.3 Minor Issues</w:t>
      </w:r>
    </w:p>
    <w:p>
      <w:pPr>
        <w:pStyle w:val="ListParagraph"/>
        <w:numPr>
          <w:ilvl w:val="0"/>
          <w:numId w:val="2"/>
        </w:numPr>
        <w:spacing w:after="80"/>
      </w:pPr>
      <w:r>
        <w:rPr>
          <w:rFonts w:ascii="Arial" w:cs="Arial" w:eastAsia="Arial" w:hAnsi="Arial"/>
          <w:sz w:val="22"/>
          <w:szCs w:val="22"/>
        </w:rPr>
        <w:t xml:space="preserve">The direct-browser Octopus API call uses a hardcoded tariff region and product code discovery logic. If Octopus changes their API, the dashboard will silently fall through to demo mode without surfacing an error to the user.</w:t>
      </w:r>
    </w:p>
    <w:p>
      <w:pPr>
        <w:pStyle w:val="ListParagraph"/>
        <w:numPr>
          <w:ilvl w:val="0"/>
          <w:numId w:val="2"/>
        </w:numPr>
        <w:spacing w:after="80"/>
      </w:pPr>
      <w:r>
        <w:rPr>
          <w:rFonts w:ascii="Arial" w:cs="Arial" w:eastAsia="Arial" w:hAnsi="Arial"/>
          <w:sz w:val="22"/>
          <w:szCs w:val="22"/>
        </w:rPr>
        <w:t xml:space="preserve">No loading state indicators during API calls — the user sees a blank panel briefly before data populates.</w:t>
      </w:r>
    </w:p>
    <w:p>
      <w:pPr>
        <w:pStyle w:val="ListParagraph"/>
        <w:numPr>
          <w:ilvl w:val="0"/>
          <w:numId w:val="2"/>
        </w:numPr>
        <w:spacing w:after="80"/>
      </w:pPr>
      <w:r>
        <w:rPr>
          <w:rFonts w:ascii="Arial" w:cs="Arial" w:eastAsia="Arial" w:hAnsi="Arial"/>
          <w:sz w:val="22"/>
          <w:szCs w:val="22"/>
        </w:rPr>
        <w:t xml:space="preserve">The demo data generation uses a fixed seed approach that produces the same patterns on every reload, which could confuse users into thinking stale data is live.</w:t>
      </w:r>
    </w:p>
    <w:p>
      <w:r>
        <w:br w:type="page"/>
      </w:r>
    </w:p>
    <w:p>
      <w:pPr>
        <w:pStyle w:val="Heading1"/>
      </w:pPr>
      <w:r>
        <w:rPr>
          <w:rFonts w:ascii="Arial" w:cs="Arial" w:eastAsia="Arial" w:hAnsi="Arial"/>
          <w:b/>
          <w:bCs/>
          <w:sz w:val="32"/>
          <w:szCs w:val="32"/>
        </w:rPr>
        <w:t xml:space="preserve">4. GitHub Actions Workflow Analysis</w:t>
      </w:r>
    </w:p>
    <w:p>
      <w:pPr>
        <w:pStyle w:val="Heading2"/>
      </w:pPr>
      <w:r>
        <w:rPr>
          <w:rFonts w:ascii="Arial" w:cs="Arial" w:eastAsia="Arial" w:hAnsi="Arial"/>
          <w:b/>
          <w:bCs/>
          <w:sz w:val="26"/>
          <w:szCs w:val="26"/>
        </w:rPr>
        <w:t xml:space="preserve">4.1 Strengths</w:t>
      </w:r>
    </w:p>
    <w:p>
      <w:pPr>
        <w:pStyle w:val="ListParagraph"/>
        <w:numPr>
          <w:ilvl w:val="0"/>
          <w:numId w:val="2"/>
        </w:numPr>
        <w:spacing w:after="80"/>
      </w:pPr>
      <w:r>
        <w:rPr>
          <w:rFonts w:ascii="Arial" w:cs="Arial" w:eastAsia="Arial" w:hAnsi="Arial"/>
          <w:sz w:val="22"/>
          <w:szCs w:val="22"/>
        </w:rPr>
        <w:t xml:space="preserve">Concurrency group node3-simulate with cancel-in-progress: false correctly ensures sequential execution. Jobs queue rather than cancel, which is the right behaviour for a data pipeline.</w:t>
      </w:r>
    </w:p>
    <w:p>
      <w:pPr>
        <w:pStyle w:val="ListParagraph"/>
        <w:numPr>
          <w:ilvl w:val="0"/>
          <w:numId w:val="2"/>
        </w:numPr>
        <w:spacing w:after="80"/>
      </w:pPr>
      <w:r>
        <w:rPr>
          <w:rFonts w:ascii="Arial" w:cs="Arial" w:eastAsia="Arial" w:hAnsi="Arial"/>
          <w:sz w:val="22"/>
          <w:szCs w:val="22"/>
        </w:rPr>
        <w:t xml:space="preserve">workflow_dispatch with mode input allows manual backfill triggering from the GitHub UI without code changes.</w:t>
      </w:r>
    </w:p>
    <w:p>
      <w:pPr>
        <w:pStyle w:val="ListParagraph"/>
        <w:numPr>
          <w:ilvl w:val="0"/>
          <w:numId w:val="2"/>
        </w:numPr>
        <w:spacing w:after="80"/>
      </w:pPr>
      <w:r>
        <w:rPr>
          <w:rFonts w:ascii="Arial" w:cs="Arial" w:eastAsia="Arial" w:hAnsi="Arial"/>
          <w:sz w:val="22"/>
          <w:szCs w:val="22"/>
        </w:rPr>
        <w:t xml:space="preserve">The commit step correctly stages only data files (never source code), preventing accidental source contamination.</w:t>
      </w:r>
    </w:p>
    <w:p>
      <w:pPr>
        <w:pStyle w:val="ListParagraph"/>
        <w:numPr>
          <w:ilvl w:val="0"/>
          <w:numId w:val="2"/>
        </w:numPr>
        <w:spacing w:after="80"/>
      </w:pPr>
      <w:r>
        <w:rPr>
          <w:rFonts w:ascii="Arial" w:cs="Arial" w:eastAsia="Arial" w:hAnsi="Arial"/>
          <w:sz w:val="22"/>
          <w:szCs w:val="22"/>
        </w:rPr>
        <w:t xml:space="preserve">The diff check (git diff --staged --quiet) before committing avoids empty commits when no price changes occur.</w:t>
      </w:r>
    </w:p>
    <w:p>
      <w:pPr>
        <w:spacing w:after="100"/>
      </w:pPr>
      <w:r>
        <w:t xml:space="preserve"/>
      </w:r>
    </w:p>
    <w:p>
      <w:pPr>
        <w:pStyle w:val="Heading2"/>
      </w:pPr>
      <w:r>
        <w:rPr>
          <w:rFonts w:ascii="Arial" w:cs="Arial" w:eastAsia="Arial" w:hAnsi="Arial"/>
          <w:b/>
          <w:bCs/>
          <w:sz w:val="26"/>
          <w:szCs w:val="26"/>
        </w:rPr>
        <w:t xml:space="preserve">4.2 Gaps and Risks</w:t>
      </w:r>
    </w:p>
    <w:p>
      <w:pPr>
        <w:spacing w:after="100"/>
      </w:pPr>
      <w:r>
        <w:rPr>
          <w:rFonts w:ascii="Arial" w:cs="Arial" w:eastAsia="Arial" w:hAnsi="Arial"/>
          <w:b/>
          <w:bCs/>
          <w:sz w:val="22"/>
          <w:szCs w:val="22"/>
        </w:rPr>
        <w:t xml:space="preserve">WARN — git push without branch specification: </w:t>
      </w:r>
      <w:r>
        <w:rPr>
          <w:rFonts w:ascii="Arial" w:cs="Arial" w:eastAsia="Arial" w:hAnsi="Arial"/>
          <w:sz w:val="22"/>
          <w:szCs w:val="22"/>
        </w:rPr>
        <w:t xml:space="preserve">The git push command does not specify the remote branch. If the Actions checkout is in a detached HEAD state (rare but possible), the push will fail silently. Recommend: git push origin HEAD:main or the equivalent target branch.</w:t>
      </w:r>
    </w:p>
    <w:p>
      <w:pPr>
        <w:spacing w:after="100"/>
      </w:pPr>
      <w:r>
        <w:t xml:space="preserve"/>
      </w:r>
    </w:p>
    <w:p>
      <w:pPr>
        <w:spacing w:after="100"/>
      </w:pPr>
      <w:r>
        <w:rPr>
          <w:rFonts w:ascii="Arial" w:cs="Arial" w:eastAsia="Arial" w:hAnsi="Arial"/>
          <w:b/>
          <w:bCs/>
          <w:sz w:val="22"/>
          <w:szCs w:val="22"/>
        </w:rPr>
        <w:t xml:space="preserve">WARN — No git pull before push: </w:t>
      </w:r>
      <w:r>
        <w:rPr>
          <w:rFonts w:ascii="Arial" w:cs="Arial" w:eastAsia="Arial" w:hAnsi="Arial"/>
          <w:sz w:val="22"/>
          <w:szCs w:val="22"/>
        </w:rPr>
        <w:t xml:space="preserve">If a concurrent simulation run somehow completes before the concurrency lock activates (e.g. a manually triggered run and a cron run starting within milliseconds of each other), the git push will fail due to non-fast-forward conflict. Recommend: git pull --rebase origin main before git push.</w:t>
      </w:r>
    </w:p>
    <w:p>
      <w:pPr>
        <w:spacing w:after="100"/>
      </w:pPr>
      <w:r>
        <w:t xml:space="preserve"/>
      </w:r>
    </w:p>
    <w:p>
      <w:pPr>
        <w:spacing w:after="100"/>
      </w:pPr>
      <w:r>
        <w:rPr>
          <w:rFonts w:ascii="Arial" w:cs="Arial" w:eastAsia="Arial" w:hAnsi="Arial"/>
          <w:b/>
          <w:bCs/>
          <w:sz w:val="22"/>
          <w:szCs w:val="22"/>
        </w:rPr>
        <w:t xml:space="preserve">INFO — 30-minute cron is GitHub's minimum granularity limit: </w:t>
      </w:r>
      <w:r>
        <w:rPr>
          <w:rFonts w:ascii="Arial" w:cs="Arial" w:eastAsia="Arial" w:hAnsi="Arial"/>
          <w:sz w:val="22"/>
          <w:szCs w:val="22"/>
        </w:rPr>
        <w:t xml:space="preserve">The comment in the YAML is correct. Note that GitHub Actions cron jobs are subject to queuing during high-load periods and may fire up to several minutes late. For energy arbitrage this is acceptable — missing one slot does not compound.</w:t>
      </w:r>
    </w:p>
    <w:p>
      <w:pPr>
        <w:spacing w:after="100"/>
      </w:pPr>
      <w:r>
        <w:t xml:space="preserve"/>
      </w:r>
    </w:p>
    <w:p>
      <w:pPr>
        <w:spacing w:after="100"/>
      </w:pPr>
      <w:r>
        <w:rPr>
          <w:rFonts w:ascii="Arial" w:cs="Arial" w:eastAsia="Arial" w:hAnsi="Arial"/>
          <w:b/>
          <w:bCs/>
          <w:sz w:val="22"/>
          <w:szCs w:val="22"/>
        </w:rPr>
        <w:t xml:space="preserve">INFO — DEPLOY_PAGES variable: </w:t>
      </w:r>
      <w:r>
        <w:rPr>
          <w:rFonts w:ascii="Arial" w:cs="Arial" w:eastAsia="Arial" w:hAnsi="Arial"/>
          <w:sz w:val="22"/>
          <w:szCs w:val="22"/>
        </w:rPr>
        <w:t xml:space="preserve">The GitHub Pages deployment job conditionally activates on vars.DEPLOY_PAGES == 'true'. This is good practice — it allows the Pages deployment to be enabled/disabled without workflow code changes.</w:t>
      </w:r>
    </w:p>
    <w:p>
      <w:pPr>
        <w:spacing w:after="100"/>
      </w:pPr>
      <w:r>
        <w:t xml:space="preserve"/>
      </w:r>
    </w:p>
    <w:p>
      <w:r>
        <w:br w:type="page"/>
      </w:r>
    </w:p>
    <w:p>
      <w:pPr>
        <w:pStyle w:val="Heading1"/>
      </w:pPr>
      <w:r>
        <w:rPr>
          <w:rFonts w:ascii="Arial" w:cs="Arial" w:eastAsia="Arial" w:hAnsi="Arial"/>
          <w:b/>
          <w:bCs/>
          <w:sz w:val="32"/>
          <w:szCs w:val="32"/>
        </w:rPr>
        <w:t xml:space="preserve">5. Issue Register</w:t>
      </w:r>
    </w:p>
    <w:p>
      <w:pPr>
        <w:spacing w:after="120"/>
      </w:pPr>
      <w:r>
        <w:rPr>
          <w:rFonts w:ascii="Arial" w:cs="Arial" w:eastAsia="Arial" w:hAnsi="Arial"/>
          <w:sz w:val="22"/>
          <w:szCs w:val="22"/>
        </w:rPr>
        <w:t xml:space="preserve">The following table summarises all identified issues with severity classifications and recommended resolutions.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500"/>
        <w:gridCol w:w="3000"/>
        <w:gridCol w:w="252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T-01</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simulate.py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round-trip efficiency loss modelled — profit overstated ~5-8% per cycle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Apply 0.93 efficiency multiplier to discharge energy: revenue = discharge * 0.93 * price_p / 100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T-02</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simulate.py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SOC can transiently fall below MIN_SOC_KWH during load application before end-of-slot clamp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 soc &gt;= MIN_SOC_KWH before allowing discharge; enforce reserve continuously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T-03</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simulate.py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Non-atomic file writes — crash mid-write corrupts JSON state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Write to a temp file then os.replace() to ensure atomicity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T-04</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simulate.py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Nearest-rank percentile (not interpolated) — minor understatement of threshold precision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 the method; consider using statistics.quantiles() for interpolated values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T-05</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Unauthenticated /api/trigger and /api/reset endpoints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X-API-Key header check with configurable key from environment variable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T-06</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load_history(9999) in /api/status reads entire CSV to count rows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 with a line-count approach: sum(1 for _ in open(path)) - 1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T-07</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CORS wildcard — any origin permitted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Restrict to known origins via CORS(app, origins=['http://localhost:8585']) in production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T-08</w:t>
            </w:r>
          </w:p>
        </w:tc>
        <w:tc>
          <w:tcPr>
            <w:tcW w:type="dxa" w:w="11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sz w:val="18"/>
                <w:szCs w:val="18"/>
              </w:rPr>
              <w:t xml:space="preserve">INFO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dashboard.html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loading state during API calls — brief blank panels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a spinner/skeleton state before data arrives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T-09</w:t>
            </w:r>
          </w:p>
        </w:tc>
        <w:tc>
          <w:tcPr>
            <w:tcW w:type="dxa" w:w="11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sz w:val="18"/>
                <w:szCs w:val="18"/>
              </w:rPr>
              <w:t xml:space="preserve">INFO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dashboard.html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Demo data uses fixed pattern — could mislead users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watermark or clear labelling when in demo mode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T-10</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 push without explicit branch — could fail in detached HEAD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 with: git push origin HEAD:main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T-11</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git pull before push — rare concurrent conflict risk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git pull --rebase origin main before git push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T-12</w:t>
            </w:r>
          </w:p>
        </w:tc>
        <w:tc>
          <w:tcPr>
            <w:tcW w:type="dxa" w:w="11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sz w:val="18"/>
                <w:szCs w:val="18"/>
              </w:rPr>
              <w:t xml:space="preserve">INFO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simulate.py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unit tests for arbitrage logic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pytest suite covering: threshold calculation, SOC bounds, profit calculation, slot matching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T-13</w:t>
            </w:r>
          </w:p>
        </w:tc>
        <w:tc>
          <w:tcPr>
            <w:tcW w:type="dxa" w:w="11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jc w:val="center"/>
            </w:pPr>
            <w:r>
              <w:rPr>
                <w:rFonts w:ascii="Arial" w:cs="Arial" w:eastAsia="Arial" w:hAnsi="Arial"/>
                <w:b/>
                <w:bCs/>
                <w:sz w:val="18"/>
                <w:szCs w:val="18"/>
              </w:rPr>
              <w:t xml:space="preserve">INFO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README — setup and operation not documented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README.md with: quickstart, env vars, API reference, GitHub Actions setup guide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T-14</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sz w:val="18"/>
                <w:szCs w:val="18"/>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simulate.py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homes have identical parameters — fleet diversity not modelled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per-home variance: different battery sizes, solar kWp, and initial SOC for realistic fleet simulation</w:t>
            </w:r>
          </w:p>
        </w:tc>
      </w:tr>
    </w:tbl>
    <w:p>
      <w:pPr>
        <w:spacing w:after="100"/>
      </w:pPr>
      <w:r>
        <w:t xml:space="preserve"/>
      </w:r>
    </w:p>
    <w:p>
      <w:r>
        <w:br w:type="page"/>
      </w:r>
    </w:p>
    <w:p>
      <w:pPr>
        <w:pStyle w:val="Heading1"/>
      </w:pPr>
      <w:r>
        <w:rPr>
          <w:rFonts w:ascii="Arial" w:cs="Arial" w:eastAsia="Arial" w:hAnsi="Arial"/>
          <w:b/>
          <w:bCs/>
          <w:sz w:val="32"/>
          <w:szCs w:val="32"/>
        </w:rPr>
        <w:t xml:space="preserve">6. Code Completion Assessment</w:t>
      </w:r>
    </w:p>
    <w:p>
      <w:pPr>
        <w:spacing w:after="120"/>
      </w:pPr>
      <w:r>
        <w:rPr>
          <w:rFonts w:ascii="Arial" w:cs="Arial" w:eastAsia="Arial" w:hAnsi="Arial"/>
          <w:sz w:val="22"/>
          <w:szCs w:val="22"/>
        </w:rPr>
        <w:t xml:space="preserve">The following features are built and functional. The following are identified as gaps for commercial readiness.</w:t>
      </w:r>
    </w:p>
    <w:p>
      <w:pPr>
        <w:spacing w:after="100"/>
      </w:pPr>
      <w:r>
        <w:t xml:space="preserve"/>
      </w:r>
    </w:p>
    <w:p>
      <w:pPr>
        <w:pStyle w:val="Heading2"/>
      </w:pPr>
      <w:r>
        <w:rPr>
          <w:rFonts w:ascii="Arial" w:cs="Arial" w:eastAsia="Arial" w:hAnsi="Arial"/>
          <w:b/>
          <w:bCs/>
          <w:sz w:val="26"/>
          <w:szCs w:val="26"/>
        </w:rPr>
        <w:t xml:space="preserve">6.1 Complete and Functional</w:t>
      </w:r>
    </w:p>
    <w:p>
      <w:pPr>
        <w:pStyle w:val="ListParagraph"/>
        <w:numPr>
          <w:ilvl w:val="0"/>
          <w:numId w:val="2"/>
        </w:numPr>
        <w:spacing w:after="80"/>
      </w:pPr>
      <w:r>
        <w:rPr>
          <w:rFonts w:ascii="Arial" w:cs="Arial" w:eastAsia="Arial" w:hAnsi="Arial"/>
          <w:sz w:val="22"/>
          <w:szCs w:val="22"/>
        </w:rPr>
        <w:t xml:space="preserve">Octopus Agile price discovery and fetch (dynamic product code)</w:t>
      </w:r>
    </w:p>
    <w:p>
      <w:pPr>
        <w:pStyle w:val="ListParagraph"/>
        <w:numPr>
          <w:ilvl w:val="0"/>
          <w:numId w:val="2"/>
        </w:numPr>
        <w:spacing w:after="80"/>
      </w:pPr>
      <w:r>
        <w:rPr>
          <w:rFonts w:ascii="Arial" w:cs="Arial" w:eastAsia="Arial" w:hAnsi="Arial"/>
          <w:sz w:val="22"/>
          <w:szCs w:val="22"/>
        </w:rPr>
        <w:t xml:space="preserve">Open-Meteo solar radiation and temperature fetch</w:t>
      </w:r>
    </w:p>
    <w:p>
      <w:pPr>
        <w:pStyle w:val="ListParagraph"/>
        <w:numPr>
          <w:ilvl w:val="0"/>
          <w:numId w:val="2"/>
        </w:numPr>
        <w:spacing w:after="80"/>
      </w:pPr>
      <w:r>
        <w:rPr>
          <w:rFonts w:ascii="Arial" w:cs="Arial" w:eastAsia="Arial" w:hAnsi="Arial"/>
          <w:sz w:val="22"/>
          <w:szCs w:val="22"/>
        </w:rPr>
        <w:t xml:space="preserve">30-minute half-hourly simulation slots with P30/P75 strategy</w:t>
      </w:r>
    </w:p>
    <w:p>
      <w:pPr>
        <w:pStyle w:val="ListParagraph"/>
        <w:numPr>
          <w:ilvl w:val="0"/>
          <w:numId w:val="2"/>
        </w:numPr>
        <w:spacing w:after="80"/>
      </w:pPr>
      <w:r>
        <w:rPr>
          <w:rFonts w:ascii="Arial" w:cs="Arial" w:eastAsia="Arial" w:hAnsi="Arial"/>
          <w:sz w:val="22"/>
          <w:szCs w:val="22"/>
        </w:rPr>
        <w:t xml:space="preserve">Fleet state persistence (fleet_state.json)</w:t>
      </w:r>
    </w:p>
    <w:p>
      <w:pPr>
        <w:pStyle w:val="ListParagraph"/>
        <w:numPr>
          <w:ilvl w:val="0"/>
          <w:numId w:val="2"/>
        </w:numPr>
        <w:spacing w:after="80"/>
      </w:pPr>
      <w:r>
        <w:rPr>
          <w:rFonts w:ascii="Arial" w:cs="Arial" w:eastAsia="Arial" w:hAnsi="Arial"/>
          <w:sz w:val="22"/>
          <w:szCs w:val="22"/>
        </w:rPr>
        <w:t xml:space="preserve">Historical tracking (history.csv)</w:t>
      </w:r>
    </w:p>
    <w:p>
      <w:pPr>
        <w:pStyle w:val="ListParagraph"/>
        <w:numPr>
          <w:ilvl w:val="0"/>
          <w:numId w:val="2"/>
        </w:numPr>
        <w:spacing w:after="80"/>
      </w:pPr>
      <w:r>
        <w:rPr>
          <w:rFonts w:ascii="Arial" w:cs="Arial" w:eastAsia="Arial" w:hAnsi="Arial"/>
          <w:sz w:val="22"/>
          <w:szCs w:val="22"/>
        </w:rPr>
        <w:t xml:space="preserve">Flask REST API with all required endpoints</w:t>
      </w:r>
    </w:p>
    <w:p>
      <w:pPr>
        <w:pStyle w:val="ListParagraph"/>
        <w:numPr>
          <w:ilvl w:val="0"/>
          <w:numId w:val="2"/>
        </w:numPr>
        <w:spacing w:after="80"/>
      </w:pPr>
      <w:r>
        <w:rPr>
          <w:rFonts w:ascii="Arial" w:cs="Arial" w:eastAsia="Arial" w:hAnsi="Arial"/>
          <w:sz w:val="22"/>
          <w:szCs w:val="22"/>
        </w:rPr>
        <w:t xml:space="preserve">Dashboard with 3-tier fallback (server / direct API / demo)</w:t>
      </w:r>
    </w:p>
    <w:p>
      <w:pPr>
        <w:pStyle w:val="ListParagraph"/>
        <w:numPr>
          <w:ilvl w:val="0"/>
          <w:numId w:val="2"/>
        </w:numPr>
        <w:spacing w:after="80"/>
      </w:pPr>
      <w:r>
        <w:rPr>
          <w:rFonts w:ascii="Arial" w:cs="Arial" w:eastAsia="Arial" w:hAnsi="Arial"/>
          <w:sz w:val="22"/>
          <w:szCs w:val="22"/>
        </w:rPr>
        <w:t xml:space="preserve">GitHub Actions cron automation</w:t>
      </w:r>
    </w:p>
    <w:p>
      <w:pPr>
        <w:pStyle w:val="ListParagraph"/>
        <w:numPr>
          <w:ilvl w:val="0"/>
          <w:numId w:val="2"/>
        </w:numPr>
        <w:spacing w:after="80"/>
      </w:pPr>
      <w:r>
        <w:rPr>
          <w:rFonts w:ascii="Arial" w:cs="Arial" w:eastAsia="Arial" w:hAnsi="Arial"/>
          <w:sz w:val="22"/>
          <w:szCs w:val="22"/>
        </w:rPr>
        <w:t xml:space="preserve">Backfill mode for replaying historical price periods</w:t>
      </w:r>
    </w:p>
    <w:p>
      <w:pPr>
        <w:pStyle w:val="ListParagraph"/>
        <w:numPr>
          <w:ilvl w:val="0"/>
          <w:numId w:val="2"/>
        </w:numPr>
        <w:spacing w:after="80"/>
      </w:pPr>
      <w:r>
        <w:rPr>
          <w:rFonts w:ascii="Arial" w:cs="Arial" w:eastAsia="Arial" w:hAnsi="Arial"/>
          <w:sz w:val="22"/>
          <w:szCs w:val="22"/>
        </w:rPr>
        <w:t xml:space="preserve">Manual trigger endpoint</w:t>
      </w:r>
    </w:p>
    <w:p>
      <w:pPr>
        <w:pStyle w:val="ListParagraph"/>
        <w:numPr>
          <w:ilvl w:val="0"/>
          <w:numId w:val="2"/>
        </w:numPr>
        <w:spacing w:after="80"/>
      </w:pPr>
      <w:r>
        <w:rPr>
          <w:rFonts w:ascii="Arial" w:cs="Arial" w:eastAsia="Arial" w:hAnsi="Arial"/>
          <w:sz w:val="22"/>
          <w:szCs w:val="22"/>
        </w:rPr>
        <w:t xml:space="preserve">Fleet reset endpoint</w:t>
      </w:r>
    </w:p>
    <w:p>
      <w:pPr>
        <w:spacing w:after="100"/>
      </w:pPr>
      <w:r>
        <w:t xml:space="preserve"/>
      </w:r>
    </w:p>
    <w:p>
      <w:pPr>
        <w:pStyle w:val="Heading2"/>
      </w:pPr>
      <w:r>
        <w:rPr>
          <w:rFonts w:ascii="Arial" w:cs="Arial" w:eastAsia="Arial" w:hAnsi="Arial"/>
          <w:b/>
          <w:bCs/>
          <w:sz w:val="26"/>
          <w:szCs w:val="26"/>
        </w:rPr>
        <w:t xml:space="preserve">6.2 Missing for Production Use</w:t>
      </w:r>
    </w:p>
    <w:p>
      <w:pPr>
        <w:pStyle w:val="ListParagraph"/>
        <w:numPr>
          <w:ilvl w:val="0"/>
          <w:numId w:val="2"/>
        </w:numPr>
        <w:spacing w:after="80"/>
      </w:pPr>
      <w:r>
        <w:rPr>
          <w:rFonts w:ascii="Arial" w:cs="Arial" w:eastAsia="Arial" w:hAnsi="Arial"/>
          <w:sz w:val="22"/>
          <w:szCs w:val="22"/>
        </w:rPr>
        <w:t xml:space="preserve">Round-trip efficiency modelling in profit calculation (T-01)</w:t>
      </w:r>
    </w:p>
    <w:p>
      <w:pPr>
        <w:pStyle w:val="ListParagraph"/>
        <w:numPr>
          <w:ilvl w:val="0"/>
          <w:numId w:val="2"/>
        </w:numPr>
        <w:spacing w:after="80"/>
      </w:pPr>
      <w:r>
        <w:rPr>
          <w:rFonts w:ascii="Arial" w:cs="Arial" w:eastAsia="Arial" w:hAnsi="Arial"/>
          <w:sz w:val="22"/>
          <w:szCs w:val="22"/>
        </w:rPr>
        <w:t xml:space="preserve">API authentication on trigger/reset endpoints (T-05)</w:t>
      </w:r>
    </w:p>
    <w:p>
      <w:pPr>
        <w:pStyle w:val="ListParagraph"/>
        <w:numPr>
          <w:ilvl w:val="0"/>
          <w:numId w:val="2"/>
        </w:numPr>
        <w:spacing w:after="80"/>
      </w:pPr>
      <w:r>
        <w:rPr>
          <w:rFonts w:ascii="Arial" w:cs="Arial" w:eastAsia="Arial" w:hAnsi="Arial"/>
          <w:sz w:val="22"/>
          <w:szCs w:val="22"/>
        </w:rPr>
        <w:t xml:space="preserve">Unit test suite (T-12)</w:t>
      </w:r>
    </w:p>
    <w:p>
      <w:pPr>
        <w:pStyle w:val="ListParagraph"/>
        <w:numPr>
          <w:ilvl w:val="0"/>
          <w:numId w:val="2"/>
        </w:numPr>
        <w:spacing w:after="80"/>
      </w:pPr>
      <w:r>
        <w:rPr>
          <w:rFonts w:ascii="Arial" w:cs="Arial" w:eastAsia="Arial" w:hAnsi="Arial"/>
          <w:sz w:val="22"/>
          <w:szCs w:val="22"/>
        </w:rPr>
        <w:t xml:space="preserve">README / operational documentation (T-13)</w:t>
      </w:r>
    </w:p>
    <w:p>
      <w:pPr>
        <w:pStyle w:val="ListParagraph"/>
        <w:numPr>
          <w:ilvl w:val="0"/>
          <w:numId w:val="2"/>
        </w:numPr>
        <w:spacing w:after="80"/>
      </w:pPr>
      <w:r>
        <w:rPr>
          <w:rFonts w:ascii="Arial" w:cs="Arial" w:eastAsia="Arial" w:hAnsi="Arial"/>
          <w:sz w:val="22"/>
          <w:szCs w:val="22"/>
        </w:rPr>
        <w:t xml:space="preserve">Fleet diversity — per-home configuration (T-14)</w:t>
      </w:r>
    </w:p>
    <w:p>
      <w:pPr>
        <w:pStyle w:val="ListParagraph"/>
        <w:numPr>
          <w:ilvl w:val="0"/>
          <w:numId w:val="2"/>
        </w:numPr>
        <w:spacing w:after="80"/>
      </w:pPr>
      <w:r>
        <w:rPr>
          <w:rFonts w:ascii="Arial" w:cs="Arial" w:eastAsia="Arial" w:hAnsi="Arial"/>
          <w:sz w:val="22"/>
          <w:szCs w:val="22"/>
        </w:rPr>
        <w:t xml:space="preserve">Multi-tenant support (multiple users, multiple fleets)</w:t>
      </w:r>
    </w:p>
    <w:p>
      <w:pPr>
        <w:pStyle w:val="ListParagraph"/>
        <w:numPr>
          <w:ilvl w:val="0"/>
          <w:numId w:val="2"/>
        </w:numPr>
        <w:spacing w:after="80"/>
      </w:pPr>
      <w:r>
        <w:rPr>
          <w:rFonts w:ascii="Arial" w:cs="Arial" w:eastAsia="Arial" w:hAnsi="Arial"/>
          <w:sz w:val="22"/>
          <w:szCs w:val="22"/>
        </w:rPr>
        <w:t xml:space="preserve">Alert/notification system when prices hit thresholds</w:t>
      </w:r>
    </w:p>
    <w:p>
      <w:pPr>
        <w:pStyle w:val="ListParagraph"/>
        <w:numPr>
          <w:ilvl w:val="0"/>
          <w:numId w:val="2"/>
        </w:numPr>
        <w:spacing w:after="80"/>
      </w:pPr>
      <w:r>
        <w:rPr>
          <w:rFonts w:ascii="Arial" w:cs="Arial" w:eastAsia="Arial" w:hAnsi="Arial"/>
          <w:sz w:val="22"/>
          <w:szCs w:val="22"/>
        </w:rPr>
        <w:t xml:space="preserve">Battery degradation model (cycle count, capacity fade over years)</w:t>
      </w:r>
    </w:p>
    <w:p>
      <w:pPr>
        <w:pStyle w:val="ListParagraph"/>
        <w:numPr>
          <w:ilvl w:val="0"/>
          <w:numId w:val="2"/>
        </w:numPr>
        <w:spacing w:after="80"/>
      </w:pPr>
      <w:r>
        <w:rPr>
          <w:rFonts w:ascii="Arial" w:cs="Arial" w:eastAsia="Arial" w:hAnsi="Arial"/>
          <w:sz w:val="22"/>
          <w:szCs w:val="22"/>
        </w:rPr>
        <w:t xml:space="preserve">Export tariff tracking against SEG (Smart Export Guarantee) rates</w:t>
      </w:r>
    </w:p>
    <w:p>
      <w:pPr>
        <w:pStyle w:val="ListParagraph"/>
        <w:numPr>
          <w:ilvl w:val="0"/>
          <w:numId w:val="2"/>
        </w:numPr>
        <w:spacing w:after="80"/>
      </w:pPr>
      <w:r>
        <w:rPr>
          <w:rFonts w:ascii="Arial" w:cs="Arial" w:eastAsia="Arial" w:hAnsi="Arial"/>
          <w:sz w:val="22"/>
          <w:szCs w:val="22"/>
        </w:rPr>
        <w:t xml:space="preserve">API rate limiting awareness — Octopus has undocumented rate limits</w:t>
      </w:r>
    </w:p>
    <w:p>
      <w:pPr>
        <w:spacing w:after="100"/>
      </w:pPr>
      <w:r>
        <w:t xml:space="preserve"/>
      </w:r>
    </w:p>
    <w:p>
      <w:pPr>
        <w:pStyle w:val="Heading2"/>
      </w:pPr>
      <w:r>
        <w:rPr>
          <w:rFonts w:ascii="Arial" w:cs="Arial" w:eastAsia="Arial" w:hAnsi="Arial"/>
          <w:b/>
          <w:bCs/>
          <w:sz w:val="26"/>
          <w:szCs w:val="26"/>
        </w:rPr>
        <w:t xml:space="preserve">6.3 Future Capability Roadmap</w:t>
      </w:r>
    </w:p>
    <w:p>
      <w:pPr>
        <w:pStyle w:val="ListParagraph"/>
        <w:numPr>
          <w:ilvl w:val="0"/>
          <w:numId w:val="2"/>
        </w:numPr>
        <w:spacing w:after="80"/>
      </w:pPr>
      <w:r>
        <w:rPr>
          <w:rFonts w:ascii="Arial" w:cs="Arial" w:eastAsia="Arial" w:hAnsi="Arial"/>
          <w:sz w:val="22"/>
          <w:szCs w:val="22"/>
        </w:rPr>
        <w:t xml:space="preserve">Vehicle-to-Grid (V2G) integration: the battery model maps cleanly to Nissan e-NV200/Leaf V2G chargers</w:t>
      </w:r>
    </w:p>
    <w:p>
      <w:pPr>
        <w:pStyle w:val="ListParagraph"/>
        <w:numPr>
          <w:ilvl w:val="0"/>
          <w:numId w:val="2"/>
        </w:numPr>
        <w:spacing w:after="80"/>
      </w:pPr>
      <w:r>
        <w:rPr>
          <w:rFonts w:ascii="Arial" w:cs="Arial" w:eastAsia="Arial" w:hAnsi="Arial"/>
          <w:sz w:val="22"/>
          <w:szCs w:val="22"/>
        </w:rPr>
        <w:t xml:space="preserve">DNO constraint awareness: grid export limits apply in many UK regions; model should cap discharge at DNO-approved limits</w:t>
      </w:r>
    </w:p>
    <w:p>
      <w:pPr>
        <w:pStyle w:val="ListParagraph"/>
        <w:numPr>
          <w:ilvl w:val="0"/>
          <w:numId w:val="2"/>
        </w:numPr>
        <w:spacing w:after="80"/>
      </w:pPr>
      <w:r>
        <w:rPr>
          <w:rFonts w:ascii="Arial" w:cs="Arial" w:eastAsia="Arial" w:hAnsi="Arial"/>
          <w:sz w:val="22"/>
          <w:szCs w:val="22"/>
        </w:rPr>
        <w:t xml:space="preserve">Octopus Flux / Cosy tariff support: additional Octopus products suit different usage profiles</w:t>
      </w:r>
    </w:p>
    <w:p>
      <w:pPr>
        <w:pStyle w:val="ListParagraph"/>
        <w:numPr>
          <w:ilvl w:val="0"/>
          <w:numId w:val="2"/>
        </w:numPr>
        <w:spacing w:after="80"/>
      </w:pPr>
      <w:r>
        <w:rPr>
          <w:rFonts w:ascii="Arial" w:cs="Arial" w:eastAsia="Arial" w:hAnsi="Arial"/>
          <w:sz w:val="22"/>
          <w:szCs w:val="22"/>
        </w:rPr>
        <w:t xml:space="preserve">Real home integration via Octopus API with customer account credentials for actual billing data</w:t>
      </w:r>
    </w:p>
    <w:p>
      <w:pPr>
        <w:spacing w:after="100"/>
      </w:pPr>
      <w:r>
        <w:t xml:space="preserve"/>
      </w:r>
    </w:p>
    <w:p>
      <w:r>
        <w:br w:type="page"/>
      </w:r>
    </w:p>
    <w:p>
      <w:pPr>
        <w:pStyle w:val="Heading1"/>
      </w:pPr>
      <w:r>
        <w:rPr>
          <w:rFonts w:ascii="Arial" w:cs="Arial" w:eastAsia="Arial" w:hAnsi="Arial"/>
          <w:b/>
          <w:bCs/>
          <w:sz w:val="32"/>
          <w:szCs w:val="32"/>
        </w:rPr>
        <w:t xml:space="preserve">7. Security &amp; Compliance Summary</w:t>
      </w:r>
    </w:p>
    <w:p>
      <w:pPr>
        <w:pStyle w:val="Heading2"/>
      </w:pPr>
      <w:r>
        <w:rPr>
          <w:rFonts w:ascii="Arial" w:cs="Arial" w:eastAsia="Arial" w:hAnsi="Arial"/>
          <w:b/>
          <w:bCs/>
          <w:sz w:val="26"/>
          <w:szCs w:val="26"/>
        </w:rPr>
        <w:t xml:space="preserve">7.1 Security Posture</w:t>
      </w:r>
    </w:p>
    <w:p>
      <w:pPr>
        <w:spacing w:after="120"/>
      </w:pPr>
      <w:r>
        <w:rPr>
          <w:rFonts w:ascii="Arial" w:cs="Arial" w:eastAsia="Arial" w:hAnsi="Arial"/>
          <w:sz w:val="22"/>
          <w:szCs w:val="22"/>
        </w:rPr>
        <w:t xml:space="preserve">For its current use case (personal/private deployment), the security posture is acceptable. The following table summarises compliance with standard security baseline controls: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authentication on read endpoints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sensitive data exposed on GET endpoints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authentication on write endpoints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9C0006"/>
                <w:sz w:val="20"/>
                <w:szCs w:val="20"/>
              </w:rPr>
              <w:t xml:space="preserve">FAIL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/api/trigger and /api/reset unauthenticated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validation on user-supplied params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WARN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and ?limit parameters used but not strictly validated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security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4 dependencies are well-maintained, no known CVEs at review date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credentials in source code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configuration via environment variables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principle of least privilege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data files staged; Pages deployment scoped correctly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policy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WARN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Wildcard — acceptable for local use, restrict for production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sensitive data stored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user PII, financial credentials, or API keys persisted</w:t>
            </w:r>
          </w:p>
        </w:tc>
      </w:tr>
    </w:tbl>
    <w:p>
      <w:pPr>
        <w:spacing w:after="100"/>
      </w:pPr>
      <w:r>
        <w:t xml:space="preserve"/>
      </w:r>
    </w:p>
    <w:p>
      <w:pPr>
        <w:pStyle w:val="Heading2"/>
      </w:pPr>
      <w:r>
        <w:rPr>
          <w:rFonts w:ascii="Arial" w:cs="Arial" w:eastAsia="Arial" w:hAnsi="Arial"/>
          <w:b/>
          <w:bCs/>
          <w:sz w:val="26"/>
          <w:szCs w:val="26"/>
        </w:rPr>
        <w:t xml:space="preserve">7.2 Regulatory Considerations (UK)</w:t>
      </w:r>
    </w:p>
    <w:p>
      <w:pPr>
        <w:pStyle w:val="ListParagraph"/>
        <w:numPr>
          <w:ilvl w:val="0"/>
          <w:numId w:val="2"/>
        </w:numPr>
        <w:spacing w:after="80"/>
      </w:pPr>
      <w:r>
        <w:rPr>
          <w:rFonts w:ascii="Arial" w:cs="Arial" w:eastAsia="Arial" w:hAnsi="Arial"/>
          <w:sz w:val="22"/>
          <w:szCs w:val="22"/>
        </w:rPr>
        <w:t xml:space="preserve">Grid export: Selling electricity to the grid requires G98 or G99 compliance notification to the DNO. Virtual simulation is exempt, but any real-world deployment requires registration.</w:t>
      </w:r>
    </w:p>
    <w:p>
      <w:pPr>
        <w:pStyle w:val="ListParagraph"/>
        <w:numPr>
          <w:ilvl w:val="0"/>
          <w:numId w:val="2"/>
        </w:numPr>
        <w:spacing w:after="80"/>
      </w:pPr>
      <w:r>
        <w:rPr>
          <w:rFonts w:ascii="Arial" w:cs="Arial" w:eastAsia="Arial" w:hAnsi="Arial"/>
          <w:sz w:val="22"/>
          <w:szCs w:val="22"/>
        </w:rPr>
        <w:t xml:space="preserve">Ofgem: The Smart Export Guarantee (SEG) applies to battery export. Tariffs and rules are subject to regulatory change. The arbitrage strategy should be reviewed against current SEG rules before commercial deployment.</w:t>
      </w:r>
    </w:p>
    <w:p>
      <w:pPr>
        <w:pStyle w:val="ListParagraph"/>
        <w:numPr>
          <w:ilvl w:val="0"/>
          <w:numId w:val="2"/>
        </w:numPr>
        <w:spacing w:after="80"/>
      </w:pPr>
      <w:r>
        <w:rPr>
          <w:rFonts w:ascii="Arial" w:cs="Arial" w:eastAsia="Arial" w:hAnsi="Arial"/>
          <w:sz w:val="22"/>
          <w:szCs w:val="22"/>
        </w:rPr>
        <w:t xml:space="preserve">Data protection: If the system is extended to store real customer meter data, GDPR compliance will be required. The current system holds no PII.</w:t>
      </w:r>
    </w:p>
    <w:p>
      <w:pPr>
        <w:spacing w:after="100"/>
      </w:pPr>
      <w:r>
        <w:t xml:space="preserve"/>
      </w:r>
    </w:p>
    <w:p>
      <w:r>
        <w:br w:type="page"/>
      </w:r>
    </w:p>
    <w:p>
      <w:pPr>
        <w:pStyle w:val="Heading1"/>
      </w:pPr>
      <w:r>
        <w:rPr>
          <w:rFonts w:ascii="Arial" w:cs="Arial" w:eastAsia="Arial" w:hAnsi="Arial"/>
          <w:b/>
          <w:bCs/>
          <w:sz w:val="32"/>
          <w:szCs w:val="32"/>
        </w:rPr>
        <w:t xml:space="preserve">8. Final Verdict</w:t>
      </w:r>
    </w:p>
    <w:p>
      <w:pPr>
        <w:spacing w:after="120"/>
      </w:pPr>
      <w:r>
        <w:rPr>
          <w:rFonts w:ascii="Arial" w:cs="Arial" w:eastAsia="Arial" w:hAnsi="Arial"/>
          <w:sz w:val="22"/>
          <w:szCs w:val="22"/>
        </w:rPr>
        <w:t xml:space="preserve">NODE-3 is a well-engineered, intelligent, and functional energy arbitrage system. It demonstrates:</w:t>
      </w:r>
    </w:p>
    <w:p>
      <w:pPr>
        <w:spacing w:after="100"/>
      </w:pPr>
      <w:r>
        <w:t xml:space="preserve"/>
      </w:r>
    </w:p>
    <w:p>
      <w:pPr>
        <w:pStyle w:val="ListParagraph"/>
        <w:numPr>
          <w:ilvl w:val="0"/>
          <w:numId w:val="2"/>
        </w:numPr>
        <w:spacing w:after="80"/>
      </w:pPr>
      <w:r>
        <w:rPr>
          <w:rFonts w:ascii="Arial" w:cs="Arial" w:eastAsia="Arial" w:hAnsi="Arial"/>
          <w:sz w:val="22"/>
          <w:szCs w:val="22"/>
        </w:rPr>
        <w:t xml:space="preserve">Real-world API integration with a live energy tariff (Octopus Agile)</w:t>
      </w:r>
    </w:p>
    <w:p>
      <w:pPr>
        <w:pStyle w:val="ListParagraph"/>
        <w:numPr>
          <w:ilvl w:val="0"/>
          <w:numId w:val="2"/>
        </w:numPr>
        <w:spacing w:after="80"/>
      </w:pPr>
      <w:r>
        <w:rPr>
          <w:rFonts w:ascii="Arial" w:cs="Arial" w:eastAsia="Arial" w:hAnsi="Arial"/>
          <w:sz w:val="22"/>
          <w:szCs w:val="22"/>
        </w:rPr>
        <w:t xml:space="preserve">A correct and deployable arbitrage strategy grounded in actual UK energy market dynamics</w:t>
      </w:r>
    </w:p>
    <w:p>
      <w:pPr>
        <w:pStyle w:val="ListParagraph"/>
        <w:numPr>
          <w:ilvl w:val="0"/>
          <w:numId w:val="2"/>
        </w:numPr>
        <w:spacing w:after="80"/>
      </w:pPr>
      <w:r>
        <w:rPr>
          <w:rFonts w:ascii="Arial" w:cs="Arial" w:eastAsia="Arial" w:hAnsi="Arial"/>
          <w:sz w:val="22"/>
          <w:szCs w:val="22"/>
        </w:rPr>
        <w:t xml:space="preserve">Production-quality UI with sophisticated fallback logic</w:t>
      </w:r>
    </w:p>
    <w:p>
      <w:pPr>
        <w:pStyle w:val="ListParagraph"/>
        <w:numPr>
          <w:ilvl w:val="0"/>
          <w:numId w:val="2"/>
        </w:numPr>
        <w:spacing w:after="80"/>
      </w:pPr>
      <w:r>
        <w:rPr>
          <w:rFonts w:ascii="Arial" w:cs="Arial" w:eastAsia="Arial" w:hAnsi="Arial"/>
          <w:sz w:val="22"/>
          <w:szCs w:val="22"/>
        </w:rPr>
        <w:t xml:space="preserve">An automated data pipeline via GitHub Actions that requires zero human intervention</w:t>
      </w:r>
    </w:p>
    <w:p>
      <w:pPr>
        <w:pStyle w:val="ListParagraph"/>
        <w:numPr>
          <w:ilvl w:val="0"/>
          <w:numId w:val="2"/>
        </w:numPr>
        <w:spacing w:after="80"/>
      </w:pPr>
      <w:r>
        <w:rPr>
          <w:rFonts w:ascii="Arial" w:cs="Arial" w:eastAsia="Arial" w:hAnsi="Arial"/>
          <w:sz w:val="22"/>
          <w:szCs w:val="22"/>
        </w:rPr>
        <w:t xml:space="preserve">A coherent and auditable data layer requiring no database infrastructure</w:t>
      </w:r>
    </w:p>
    <w:p>
      <w:pPr>
        <w:spacing w:after="100"/>
      </w:pPr>
      <w:r>
        <w:t xml:space="preserve"/>
      </w:r>
    </w:p>
    <w:p>
      <w:pPr>
        <w:spacing w:after="120"/>
      </w:pPr>
      <w:r>
        <w:rPr>
          <w:rFonts w:ascii="Arial" w:cs="Arial" w:eastAsia="Arial" w:hAnsi="Arial"/>
          <w:sz w:val="22"/>
          <w:szCs w:val="22"/>
        </w:rPr>
        <w:t xml:space="preserve">The identified issues are real but none are architectural in nature. All 14 issues in the register are resolvable without structural changes to the codebase. 11 of 14 are LOW or INFO severity. The two MEDIUM issues (round-trip efficiency, unauthenticated endpoints) are one-to-two-hour fixes each.</w:t>
      </w:r>
    </w:p>
    <w:p>
      <w:pPr>
        <w:spacing w:after="100"/>
      </w:pPr>
      <w:r>
        <w:t xml:space="preserve"/>
      </w:r>
    </w:p>
    <w:p>
      <w:pPr>
        <w:spacing w:after="120"/>
      </w:pPr>
      <w:r>
        <w:rPr>
          <w:rFonts w:ascii="Arial" w:cs="Arial" w:eastAsia="Arial" w:hAnsi="Arial"/>
          <w:sz w:val="22"/>
          <w:szCs w:val="22"/>
        </w:rPr>
        <w:t xml:space="preserve">The system is ready for its stated purpose: personal use and demonstration. It requires the MEDIUM issues to be resolved and the documentation gap to be closed before commercial deployment to third parties.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r>
              <w:rPr>
                <w:rFonts w:ascii="Arial" w:cs="Arial" w:eastAsia="Arial" w:hAnsi="Arial"/>
                <w:b/>
                <w:bCs/>
                <w:color w:val="375623"/>
                <w:sz w:val="24"/>
                <w:szCs w:val="24"/>
              </w:rPr>
              <w:t xml:space="preserve">READY FOR:</w:t>
            </w:r>
          </w:p>
          <w:p>
            <w:r>
              <w:rPr>
                <w:rFonts w:ascii="Arial" w:cs="Arial" w:eastAsia="Arial" w:hAnsi="Arial"/>
                <w:color w:val="375623"/>
                <w:sz w:val="22"/>
                <w:szCs w:val="22"/>
              </w:rPr>
              <w:t xml:space="preserve">✔ Personal use and monitoring</w:t>
            </w:r>
          </w:p>
          <w:p>
            <w:r>
              <w:rPr>
                <w:rFonts w:ascii="Arial" w:cs="Arial" w:eastAsia="Arial" w:hAnsi="Arial"/>
                <w:color w:val="375623"/>
                <w:sz w:val="22"/>
                <w:szCs w:val="22"/>
              </w:rPr>
              <w:t xml:space="preserve">✔ Investor / partner demonstrations</w:t>
            </w:r>
          </w:p>
          <w:p>
            <w:r>
              <w:rPr>
                <w:rFonts w:ascii="Arial" w:cs="Arial" w:eastAsia="Arial" w:hAnsi="Arial"/>
                <w:color w:val="375623"/>
                <w:sz w:val="22"/>
                <w:szCs w:val="22"/>
              </w:rPr>
              <w:t xml:space="preserve">✔ GitHub Pages public dashboard</w:t>
            </w:r>
          </w:p>
          <w:p>
            <w:r>
              <w:rPr>
                <w:rFonts w:ascii="Arial" w:cs="Arial" w:eastAsia="Arial" w:hAnsi="Arial"/>
                <w:color w:val="375623"/>
                <w:sz w:val="22"/>
                <w:szCs w:val="22"/>
              </w:rPr>
              <w:t xml:space="preserve">✔ Proof-of-concept V2G integration</w:t>
            </w:r>
          </w:p>
        </w:tc>
        <w:tc>
          <w:tcPr>
            <w:tcW w:type="dxa" w:w="468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7F6000"/>
                <w:sz w:val="24"/>
                <w:szCs w:val="24"/>
              </w:rPr>
              <w:t xml:space="preserve">NEEDS WORK BEFORE:</w:t>
            </w:r>
          </w:p>
          <w:p>
            <w:r>
              <w:rPr>
                <w:rFonts w:ascii="Arial" w:cs="Arial" w:eastAsia="Arial" w:hAnsi="Arial"/>
                <w:color w:val="7F6000"/>
                <w:sz w:val="22"/>
                <w:szCs w:val="22"/>
              </w:rPr>
              <w:t xml:space="preserve">⚠ Commercial SaaS to paying customers</w:t>
            </w:r>
          </w:p>
          <w:p>
            <w:r>
              <w:rPr>
                <w:rFonts w:ascii="Arial" w:cs="Arial" w:eastAsia="Arial" w:hAnsi="Arial"/>
                <w:color w:val="7F6000"/>
                <w:sz w:val="22"/>
                <w:szCs w:val="22"/>
              </w:rPr>
              <w:t xml:space="preserve">⚠ Real grid export (G98/G99 compliance)</w:t>
            </w:r>
          </w:p>
          <w:p>
            <w:r>
              <w:rPr>
                <w:rFonts w:ascii="Arial" w:cs="Arial" w:eastAsia="Arial" w:hAnsi="Arial"/>
                <w:color w:val="7F6000"/>
                <w:sz w:val="22"/>
                <w:szCs w:val="22"/>
              </w:rPr>
              <w:t xml:space="preserve">⚠ Multi-tenant / multi-home fleets</w:t>
            </w:r>
          </w:p>
          <w:p>
            <w:r>
              <w:rPr>
                <w:rFonts w:ascii="Arial" w:cs="Arial" w:eastAsia="Arial" w:hAnsi="Arial"/>
                <w:color w:val="7F6000"/>
                <w:sz w:val="22"/>
                <w:szCs w:val="22"/>
              </w:rPr>
              <w:t xml:space="preserve">⚠ Integration with real customer Octopus accounts</w:t>
            </w:r>
          </w:p>
        </w:tc>
      </w:tr>
    </w:tbl>
    <w:p>
      <w:pPr>
        <w:spacing w:after="200"/>
      </w:pPr>
      <w:r>
        <w:t xml:space="preserve"/>
      </w:r>
    </w:p>
    <w:p>
      <w:pPr>
        <w:jc w:val="center"/>
      </w:pPr>
      <w:r>
        <w:rPr>
          <w:rFonts w:ascii="Arial" w:cs="Arial" w:eastAsia="Arial" w:hAnsi="Arial"/>
          <w:b/>
          <w:bCs/>
          <w:i/>
          <w:iCs/>
          <w:color w:val="808080"/>
          <w:sz w:val="22"/>
          <w:szCs w:val="22"/>
        </w:rPr>
        <w:t xml:space="preserve">END OF TECHNICAL VALIDATION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08080"/>
        <w:sz w:val="18"/>
        <w:szCs w:val="18"/>
      </w:rPr>
      <w:t xml:space="preserve">Dovecote Technology | Matt Brander IP Portfolio</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2E75B6"/>
        <w:sz w:val="18"/>
        <w:szCs w:val="18"/>
      </w:rPr>
      <w:t xml:space="preserve">NODE-3 ENERGY ARBITRAGE — DEEP TECHNICAL VALIDATION REPORT</w:t>
    </w:r>
    <w:r>
      <w:rPr>
        <w:rFonts w:ascii="Arial" w:cs="Arial" w:eastAsia="Arial" w:hAnsi="Arial"/>
        <w:color w:val="808080"/>
        <w:sz w:val="18"/>
        <w:szCs w:val="18"/>
      </w:rPr>
      <w:t xml:space="preserve">	7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2026-04-07T07:20:23.779Z</dcterms:created>
  <dcterms:modified xsi:type="dcterms:W3CDTF">2026-04-07T07:20:23.780Z</dcterms:modified>
</cp:coreProperties>
</file>

<file path=docProps/custom.xml><?xml version="1.0" encoding="utf-8"?>
<Properties xmlns="http://schemas.openxmlformats.org/officeDocument/2006/custom-properties" xmlns:vt="http://schemas.openxmlformats.org/officeDocument/2006/docPropsVTypes"/>
</file>