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jc w:val="center"/>
      </w:pPr>
      <w:r>
        <w:rPr>
          <w:rFonts w:ascii="Arial" w:cs="Arial" w:eastAsia="Arial" w:hAnsi="Arial"/>
          <w:b/>
          <w:bCs/>
          <w:color w:val="1B4F72"/>
          <w:sz w:val="52"/>
          <w:szCs w:val="52"/>
        </w:rPr>
        <w:t xml:space="preserve">DOVECOTE SYSTEMS LTD</w:t>
      </w:r>
    </w:p>
    <w:p>
      <w:pPr>
        <w:spacing w:before="160"/>
        <w:jc w:val="center"/>
      </w:pPr>
      <w:r>
        <w:rPr>
          <w:rFonts w:ascii="Arial" w:cs="Arial" w:eastAsia="Arial" w:hAnsi="Arial"/>
          <w:color w:val="555555"/>
          <w:sz w:val="24"/>
          <w:szCs w:val="24"/>
        </w:rPr>
        <w:t xml:space="preserve">Company No. 17160178</w:t>
      </w:r>
    </w:p>
    <w:p>
      <w:pPr>
        <w:pBdr>
          <w:bottom w:val="single" w:color="1B4F72" w:sz="8"/>
        </w:pBdr>
        <w:spacing w:after="200" w:before="400"/>
      </w:pPr>
    </w:p>
    <w:p>
      <w:pPr>
        <w:spacing w:before="400"/>
        <w:jc w:val="center"/>
      </w:pPr>
      <w:r>
        <w:rPr>
          <w:rFonts w:ascii="Arial" w:cs="Arial" w:eastAsia="Arial" w:hAnsi="Arial"/>
          <w:b/>
          <w:bCs/>
          <w:color w:val="1A252F"/>
          <w:sz w:val="40"/>
          <w:szCs w:val="40"/>
        </w:rPr>
        <w:t xml:space="preserve">START UP LOAN APPLICATION</w:t>
      </w:r>
    </w:p>
    <w:p>
      <w:pPr>
        <w:spacing w:before="200"/>
        <w:jc w:val="center"/>
      </w:pPr>
      <w:r>
        <w:rPr>
          <w:rFonts w:ascii="Arial" w:cs="Arial" w:eastAsia="Arial" w:hAnsi="Arial"/>
          <w:i/>
          <w:iCs/>
          <w:color w:val="555555"/>
          <w:sz w:val="26"/>
          <w:szCs w:val="26"/>
        </w:rPr>
        <w:t xml:space="preserve">Co-Director Application — Operations &amp; Field Deployment</w:t>
      </w:r>
    </w:p>
    <w:p>
      <w:pPr>
        <w:spacing w:before="800"/>
      </w:pPr>
    </w:p>
    <w:p>
      <w:pPr>
        <w:jc w:val="center"/>
      </w:pPr>
      <w:r>
        <w:rPr>
          <w:rFonts w:ascii="Arial" w:cs="Arial" w:eastAsia="Arial" w:hAnsi="Arial"/>
          <w:sz w:val="24"/>
          <w:szCs w:val="24"/>
        </w:rPr>
        <w:t xml:space="preserve">Applicant:  Darwin Brander</w:t>
      </w:r>
    </w:p>
    <w:p>
      <w:pPr>
        <w:spacing w:before="100"/>
        <w:jc w:val="center"/>
      </w:pPr>
      <w:r>
        <w:rPr>
          <w:rFonts w:ascii="Arial" w:cs="Arial" w:eastAsia="Arial" w:hAnsi="Arial"/>
          <w:color w:val="555555"/>
          <w:sz w:val="22"/>
          <w:szCs w:val="22"/>
        </w:rPr>
        <w:t xml:space="preserve">179 King Georges Avenue, Southampton, SO15 4LD</w:t>
      </w:r>
    </w:p>
    <w:p>
      <w:pPr>
        <w:spacing w:before="200"/>
        <w:jc w:val="center"/>
      </w:pPr>
      <w:r>
        <w:rPr>
          <w:rFonts w:ascii="Arial" w:cs="Arial" w:eastAsia="Arial" w:hAnsi="Arial"/>
          <w:b/>
          <w:bCs/>
          <w:color w:val="1B4F72"/>
          <w:sz w:val="28"/>
          <w:szCs w:val="28"/>
        </w:rPr>
        <w:t xml:space="preserve">Loan Requested:  £25,000</w:t>
      </w:r>
    </w:p>
    <w:p>
      <w:pPr>
        <w:spacing w:before="100"/>
        <w:jc w:val="center"/>
      </w:pPr>
      <w:r>
        <w:rPr>
          <w:rFonts w:ascii="Arial" w:cs="Arial" w:eastAsia="Arial" w:hAnsi="Arial"/>
          <w:color w:val="777777"/>
          <w:sz w:val="22"/>
          <w:szCs w:val="22"/>
        </w:rPr>
        <w:t xml:space="preserve">September 2026  |  Joint application with Matt Brander (co-director)</w:t>
      </w:r>
    </w:p>
    <w:p>
      <w:r>
        <w:br w:type="page"/>
      </w:r>
    </w:p>
    <w:p>
      <w:pPr>
        <w:pStyle w:val="Heading1"/>
        <w:pBdr>
          <w:bottom w:val="single" w:color="1B4F72" w:sz="6"/>
        </w:pBdr>
        <w:spacing w:after="120" w:before="360"/>
      </w:pPr>
      <w:r>
        <w:t xml:space="preserve">1. Executive Summary</w:t>
      </w:r>
    </w:p>
    <w:p>
      <w:pPr>
        <w:spacing w:after="60" w:before="60"/>
      </w:pPr>
      <w:r>
        <w:rPr>
          <w:sz w:val="22"/>
          <w:szCs w:val="22"/>
        </w:rPr>
        <w:t xml:space="preserve">Darwin Brander (aged 18) is applying for a £25,000 Start Up Loan as co-director of Dovecote Systems Ltd — a battery energy storage company founded in April 2026 by his father and co-director Matt Brander.</w:t>
      </w:r>
    </w:p>
    <w:p>
      <w:pPr>
        <w:spacing w:after="60" w:before="60"/>
      </w:pPr>
      <w:r>
        <w:rPr>
          <w:sz w:val="22"/>
          <w:szCs w:val="22"/>
        </w:rPr>
        <w:t xml:space="preserve">This application is submitted alongside Matt Brander's separate application for the same business. Together, the two loans (£50,000 combined) fund the complete operational build-out of Dovecote Systems: Node-3 commissioning, a company vehicle for site operations, tools and equipment, and the professional electrical training required to build an in-house qualified workforce.</w:t>
      </w:r>
    </w:p>
    <w:p>
      <w:pPr>
        <w:spacing w:after="60" w:before="60"/>
      </w:pPr>
      <w:r>
        <w:rPr>
          <w:sz w:val="22"/>
          <w:szCs w:val="22"/>
        </w:rPr>
        <w:t xml:space="preserve">Darwin's specific role within the business is field operations and site delivery — responsible for physical installation, commissioning, and maintenance of battery nodes as the fleet scales. This application funds:</w:t>
      </w:r>
    </w:p>
    <w:p>
      <w:pPr>
        <w:pStyle w:val="ListParagraph"/>
        <w:numPr>
          <w:ilvl w:val="0"/>
          <w:numId w:val="1"/>
        </w:numPr>
        <w:spacing w:after="40" w:before="40"/>
      </w:pPr>
      <w:r>
        <w:rPr>
          <w:sz w:val="22"/>
          <w:szCs w:val="22"/>
        </w:rPr>
        <w:t xml:space="preserve">Tools and equipment for BESS installation, maintenance, and commissioning work</w:t>
      </w:r>
    </w:p>
    <w:p>
      <w:pPr>
        <w:pStyle w:val="ListParagraph"/>
        <w:numPr>
          <w:ilvl w:val="0"/>
          <w:numId w:val="1"/>
        </w:numPr>
        <w:spacing w:after="40" w:before="40"/>
      </w:pPr>
      <w:r>
        <w:rPr>
          <w:sz w:val="22"/>
          <w:szCs w:val="22"/>
        </w:rPr>
        <w:t xml:space="preserve">Professional tools and test equipment for BESS installation and maintenance work</w:t>
      </w:r>
    </w:p>
    <w:p>
      <w:pPr>
        <w:pStyle w:val="ListParagraph"/>
        <w:numPr>
          <w:ilvl w:val="0"/>
          <w:numId w:val="1"/>
        </w:numPr>
        <w:spacing w:after="40" w:before="40"/>
      </w:pPr>
      <w:r>
        <w:rPr>
          <w:sz w:val="22"/>
          <w:szCs w:val="22"/>
        </w:rPr>
        <w:t xml:space="preserve">Darwin's wages during the initial pre-revenue phase (Year 1)</w:t>
      </w:r>
    </w:p>
    <w:p>
      <w:pPr>
        <w:pStyle w:val="ListParagraph"/>
        <w:numPr>
          <w:ilvl w:val="0"/>
          <w:numId w:val="1"/>
        </w:numPr>
        <w:spacing w:after="40" w:before="40"/>
      </w:pPr>
      <w:r>
        <w:rPr>
          <w:sz w:val="22"/>
          <w:szCs w:val="22"/>
        </w:rPr>
        <w:t xml:space="preserve">Darwin's private fast-track electrician training programme (JIB Gold Card)</w:t>
      </w:r>
    </w:p>
    <w:p>
      <w:pPr>
        <w:spacing w:after="60" w:before="60"/>
      </w:pPr>
      <w:r>
        <w:rPr>
          <w:sz w:val="22"/>
          <w:szCs w:val="22"/>
        </w:rPr>
        <w:t xml:space="preserve">Darwin is enrolling in the same private fast-track electrician programme as Matt Brander (co-director). Both are expected to hold a JIB Gold Card within 12–18 months — by Q1–Q2 2028. This means Dovecote Systems will have two qualified electricians in-house from early 2028, enabling all G99 commissioning, HV witness testing, and node maintenance to be carried out without external contractors.</w:t>
      </w:r>
    </w:p>
    <w:p>
      <w:pPr>
        <w:spacing w:after="60" w:before="60"/>
      </w:pPr>
      <w:r>
        <w:rPr>
          <w:sz w:val="22"/>
          <w:szCs w:val="22"/>
        </w:rPr>
        <w:t xml:space="preserve">Eliminating contractor commissioning costs (~£2,000 per node) has a direct and material impact on profitability as the fleet scales toward 26 nodes.</w:t>
      </w:r>
    </w:p>
    <w:p>
      <w:r>
        <w:br w:type="page"/>
      </w:r>
    </w:p>
    <w:p>
      <w:pPr>
        <w:pStyle w:val="Heading1"/>
        <w:pBdr>
          <w:bottom w:val="single" w:color="1B4F72" w:sz="6"/>
        </w:pBdr>
        <w:spacing w:after="120" w:before="360"/>
      </w:pPr>
      <w:r>
        <w:t xml:space="preserve">2. The Business</w:t>
      </w:r>
    </w:p>
    <w:p>
      <w:pPr>
        <w:spacing w:after="60" w:before="60"/>
      </w:pPr>
      <w:r>
        <w:rPr>
          <w:sz w:val="22"/>
          <w:szCs w:val="22"/>
        </w:rPr>
        <w:t xml:space="preserve">Dovecote Systems Ltd (Company No. 17160178) was incorporated on 15 April 2026 and is developing a portfolio of grid-connected Battery Energy Storage Systems (BESS) in the Hampshire area. The business model, financial projections, and market analysis are set out in full in Matt Brander's accompanying application. This document focuses on Darwin Brander's role and the specific assets his loan will fund.</w:t>
      </w:r>
    </w:p>
    <w:p>
      <w:pPr>
        <w:pStyle w:val="Heading2"/>
        <w:spacing w:after="80" w:before="240"/>
      </w:pPr>
      <w:r>
        <w:t xml:space="preserve">Darwin's role — Operations Director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B4F72" w:val="clear"/>
            <w:tcMar>
              <w:top w:type="dxa" w:w="80"/>
              <w:left w:type="dxa" w:w="100"/>
              <w:bottom w:type="dxa" w:w="80"/>
              <w:right w:type="dxa" w:w="100"/>
            </w:tcMar>
          </w:tcPr>
          <w:p>
            <w:pPr>
              <w:spacing w:after="60" w:before="60"/>
            </w:pPr>
            <w:r>
              <w:rPr>
                <w:b/>
                <w:bCs/>
                <w:color w:val="FFFFFF"/>
                <w:sz w:val="20"/>
                <w:szCs w:val="20"/>
              </w:rPr>
              <w:t xml:space="preserve">Field</w:t>
            </w:r>
          </w:p>
        </w:tc>
        <w:tc>
          <w:tcPr>
            <w:tcW w:type="dxa" w:w="4000"/>
            <w:shd w:fill="1B4F72" w:val="clear"/>
            <w:tcMar>
              <w:top w:type="dxa" w:w="80"/>
              <w:left w:type="dxa" w:w="100"/>
              <w:bottom w:type="dxa" w:w="80"/>
              <w:right w:type="dxa" w:w="100"/>
            </w:tcMar>
          </w:tcPr>
          <w:p>
            <w:pPr>
              <w:spacing w:after="60" w:before="60"/>
            </w:pPr>
            <w:r>
              <w:rPr>
                <w:b/>
                <w:bCs/>
                <w:color w:val="FFFFFF"/>
                <w:sz w:val="20"/>
                <w:szCs w:val="20"/>
              </w:rPr>
              <w:t xml:space="preserve">Detail</w:t>
            </w:r>
          </w:p>
        </w:tc>
      </w:tr>
      <w:tr>
        <w:tc>
          <w:tcPr>
            <w:tcW w:type="dxa" w:w="5000"/>
            <w:shd/>
            <w:tcMar>
              <w:top w:type="dxa" w:w="60"/>
              <w:left w:type="dxa" w:w="100"/>
              <w:bottom w:type="dxa" w:w="60"/>
              <w:right w:type="dxa" w:w="100"/>
            </w:tcMar>
          </w:tcPr>
          <w:p>
            <w:pPr>
              <w:spacing w:after="40" w:before="40"/>
              <w:jc w:val="left"/>
            </w:pPr>
            <w:r>
              <w:rPr>
                <w:b/>
                <w:bCs/>
                <w:sz w:val="20"/>
                <w:szCs w:val="20"/>
              </w:rPr>
              <w:t xml:space="preserve">Name</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Darwin Brander</w:t>
            </w:r>
          </w:p>
        </w:tc>
      </w:tr>
      <w:tr>
        <w:tc>
          <w:tcPr>
            <w:tcW w:type="dxa" w:w="5000"/>
            <w:shd w:fill="F2F3F4" w:val="clear"/>
            <w:tcMar>
              <w:top w:type="dxa" w:w="60"/>
              <w:left w:type="dxa" w:w="100"/>
              <w:bottom w:type="dxa" w:w="60"/>
              <w:right w:type="dxa" w:w="100"/>
            </w:tcMar>
          </w:tcPr>
          <w:p>
            <w:pPr>
              <w:spacing w:after="40" w:before="40"/>
              <w:jc w:val="left"/>
            </w:pPr>
            <w:r>
              <w:rPr>
                <w:b/>
                <w:bCs/>
                <w:sz w:val="20"/>
                <w:szCs w:val="20"/>
              </w:rPr>
              <w:t xml:space="preserve">Age</w:t>
            </w:r>
          </w:p>
        </w:tc>
        <w:tc>
          <w:tcPr>
            <w:tcW w:type="dxa" w:w="4000"/>
            <w:shd w:fill="F2F3F4" w:val="clear"/>
            <w:tcMar>
              <w:top w:type="dxa" w:w="60"/>
              <w:left w:type="dxa" w:w="100"/>
              <w:bottom w:type="dxa" w:w="60"/>
              <w:right w:type="dxa" w:w="100"/>
            </w:tcMar>
          </w:tcPr>
          <w:p>
            <w:pPr>
              <w:spacing w:after="40" w:before="40"/>
              <w:jc w:val="right"/>
            </w:pPr>
            <w:r>
              <w:rPr>
                <w:b w:val="false"/>
                <w:bCs w:val="false"/>
                <w:sz w:val="20"/>
                <w:szCs w:val="20"/>
              </w:rPr>
              <w:t xml:space="preserve">18</w:t>
            </w:r>
          </w:p>
        </w:tc>
      </w:tr>
      <w:tr>
        <w:tc>
          <w:tcPr>
            <w:tcW w:type="dxa" w:w="5000"/>
            <w:shd/>
            <w:tcMar>
              <w:top w:type="dxa" w:w="60"/>
              <w:left w:type="dxa" w:w="100"/>
              <w:bottom w:type="dxa" w:w="60"/>
              <w:right w:type="dxa" w:w="100"/>
            </w:tcMar>
          </w:tcPr>
          <w:p>
            <w:pPr>
              <w:spacing w:after="40" w:before="40"/>
              <w:jc w:val="left"/>
            </w:pPr>
            <w:r>
              <w:rPr>
                <w:b/>
                <w:bCs/>
                <w:sz w:val="20"/>
                <w:szCs w:val="20"/>
              </w:rPr>
              <w:t xml:space="preserve">Role at Dovecote Systems</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Co-Director — Operations &amp; Field Deployment</w:t>
            </w:r>
          </w:p>
        </w:tc>
      </w:tr>
      <w:tr>
        <w:tc>
          <w:tcPr>
            <w:tcW w:type="dxa" w:w="5000"/>
            <w:shd w:fill="F2F3F4" w:val="clear"/>
            <w:tcMar>
              <w:top w:type="dxa" w:w="60"/>
              <w:left w:type="dxa" w:w="100"/>
              <w:bottom w:type="dxa" w:w="60"/>
              <w:right w:type="dxa" w:w="100"/>
            </w:tcMar>
          </w:tcPr>
          <w:p>
            <w:pPr>
              <w:spacing w:after="40" w:before="40"/>
              <w:jc w:val="left"/>
            </w:pPr>
            <w:r>
              <w:rPr>
                <w:b/>
                <w:bCs/>
                <w:sz w:val="20"/>
                <w:szCs w:val="20"/>
              </w:rPr>
              <w:t xml:space="preserve">Start date</w:t>
            </w:r>
          </w:p>
        </w:tc>
        <w:tc>
          <w:tcPr>
            <w:tcW w:type="dxa" w:w="4000"/>
            <w:shd w:fill="F2F3F4" w:val="clear"/>
            <w:tcMar>
              <w:top w:type="dxa" w:w="60"/>
              <w:left w:type="dxa" w:w="100"/>
              <w:bottom w:type="dxa" w:w="60"/>
              <w:right w:type="dxa" w:w="100"/>
            </w:tcMar>
          </w:tcPr>
          <w:p>
            <w:pPr>
              <w:spacing w:after="40" w:before="40"/>
              <w:jc w:val="right"/>
            </w:pPr>
            <w:r>
              <w:rPr>
                <w:b w:val="false"/>
                <w:bCs w:val="false"/>
                <w:sz w:val="20"/>
                <w:szCs w:val="20"/>
              </w:rPr>
              <w:t xml:space="preserve">September 2026</w:t>
            </w:r>
          </w:p>
        </w:tc>
      </w:tr>
      <w:tr>
        <w:tc>
          <w:tcPr>
            <w:tcW w:type="dxa" w:w="5000"/>
            <w:shd/>
            <w:tcMar>
              <w:top w:type="dxa" w:w="60"/>
              <w:left w:type="dxa" w:w="100"/>
              <w:bottom w:type="dxa" w:w="60"/>
              <w:right w:type="dxa" w:w="100"/>
            </w:tcMar>
          </w:tcPr>
          <w:p>
            <w:pPr>
              <w:spacing w:after="40" w:before="40"/>
              <w:jc w:val="left"/>
            </w:pPr>
            <w:r>
              <w:rPr>
                <w:b/>
                <w:bCs/>
                <w:sz w:val="20"/>
                <w:szCs w:val="20"/>
              </w:rPr>
              <w:t xml:space="preserve">Address</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179 King Georges Avenue, Southampton, SO15 4LD</w:t>
            </w:r>
          </w:p>
        </w:tc>
      </w:tr>
      <w:tr>
        <w:tc>
          <w:tcPr>
            <w:tcW w:type="dxa" w:w="5000"/>
            <w:shd w:fill="F2F3F4" w:val="clear"/>
            <w:tcMar>
              <w:top w:type="dxa" w:w="60"/>
              <w:left w:type="dxa" w:w="100"/>
              <w:bottom w:type="dxa" w:w="60"/>
              <w:right w:type="dxa" w:w="100"/>
            </w:tcMar>
          </w:tcPr>
          <w:p>
            <w:pPr>
              <w:spacing w:after="40" w:before="40"/>
              <w:jc w:val="left"/>
            </w:pPr>
            <w:r>
              <w:rPr>
                <w:b/>
                <w:bCs/>
                <w:sz w:val="20"/>
                <w:szCs w:val="20"/>
              </w:rPr>
              <w:t xml:space="preserve">Training</w:t>
            </w:r>
          </w:p>
        </w:tc>
        <w:tc>
          <w:tcPr>
            <w:tcW w:type="dxa" w:w="4000"/>
            <w:shd w:fill="F2F3F4" w:val="clear"/>
            <w:tcMar>
              <w:top w:type="dxa" w:w="60"/>
              <w:left w:type="dxa" w:w="100"/>
              <w:bottom w:type="dxa" w:w="60"/>
              <w:right w:type="dxa" w:w="100"/>
            </w:tcMar>
          </w:tcPr>
          <w:p>
            <w:pPr>
              <w:spacing w:after="40" w:before="40"/>
              <w:jc w:val="right"/>
            </w:pPr>
            <w:r>
              <w:rPr>
                <w:b w:val="false"/>
                <w:bCs w:val="false"/>
                <w:sz w:val="20"/>
                <w:szCs w:val="20"/>
              </w:rPr>
              <w:t xml:space="preserve">Private fast-track electrician programme — JIB Gold Card (commencing September 2026)</w:t>
            </w:r>
          </w:p>
        </w:tc>
      </w:tr>
      <w:tr>
        <w:tc>
          <w:tcPr>
            <w:tcW w:type="dxa" w:w="5000"/>
            <w:shd/>
            <w:tcMar>
              <w:top w:type="dxa" w:w="60"/>
              <w:left w:type="dxa" w:w="100"/>
              <w:bottom w:type="dxa" w:w="60"/>
              <w:right w:type="dxa" w:w="100"/>
            </w:tcMar>
          </w:tcPr>
          <w:p>
            <w:pPr>
              <w:spacing w:after="40" w:before="40"/>
              <w:jc w:val="left"/>
            </w:pPr>
            <w:r>
              <w:rPr>
                <w:b/>
                <w:bCs/>
                <w:sz w:val="20"/>
                <w:szCs w:val="20"/>
              </w:rPr>
              <w:t xml:space="preserve">Training provider</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Private commercial provider (e.g. Optima ECT / Learn Trade Skills)</w:t>
            </w:r>
          </w:p>
        </w:tc>
      </w:tr>
      <w:tr>
        <w:tc>
          <w:tcPr>
            <w:tcW w:type="dxa" w:w="5000"/>
            <w:shd w:fill="F2F3F4" w:val="clear"/>
            <w:tcMar>
              <w:top w:type="dxa" w:w="60"/>
              <w:left w:type="dxa" w:w="100"/>
              <w:bottom w:type="dxa" w:w="60"/>
              <w:right w:type="dxa" w:w="100"/>
            </w:tcMar>
          </w:tcPr>
          <w:p>
            <w:pPr>
              <w:spacing w:after="40" w:before="40"/>
              <w:jc w:val="left"/>
            </w:pPr>
            <w:r>
              <w:rPr>
                <w:b/>
                <w:bCs/>
                <w:sz w:val="20"/>
                <w:szCs w:val="20"/>
              </w:rPr>
              <w:t xml:space="preserve">Expected qualification</w:t>
            </w:r>
          </w:p>
        </w:tc>
        <w:tc>
          <w:tcPr>
            <w:tcW w:type="dxa" w:w="4000"/>
            <w:shd w:fill="F2F3F4" w:val="clear"/>
            <w:tcMar>
              <w:top w:type="dxa" w:w="60"/>
              <w:left w:type="dxa" w:w="100"/>
              <w:bottom w:type="dxa" w:w="60"/>
              <w:right w:type="dxa" w:w="100"/>
            </w:tcMar>
          </w:tcPr>
          <w:p>
            <w:pPr>
              <w:spacing w:after="40" w:before="40"/>
              <w:jc w:val="right"/>
            </w:pPr>
            <w:r>
              <w:rPr>
                <w:b w:val="false"/>
                <w:bCs w:val="false"/>
                <w:sz w:val="20"/>
                <w:szCs w:val="20"/>
              </w:rPr>
              <w:t xml:space="preserve">JIB ECS Gold Card by Q1–Q2 2028 (12–18 month programme)</w:t>
            </w:r>
          </w:p>
        </w:tc>
      </w:tr>
    </w:tbl>
    <w:p>
      <w:pPr>
        <w:spacing w:before="200"/>
      </w:pPr>
    </w:p>
    <w:p>
      <w:pPr>
        <w:pStyle w:val="Heading2"/>
        <w:spacing w:after="80" w:before="240"/>
      </w:pPr>
      <w:r>
        <w:t xml:space="preserve">Responsibilities</w:t>
      </w:r>
    </w:p>
    <w:p>
      <w:pPr>
        <w:spacing w:after="60" w:before="60"/>
      </w:pPr>
      <w:r>
        <w:rPr>
          <w:sz w:val="22"/>
          <w:szCs w:val="22"/>
        </w:rPr>
        <w:t xml:space="preserve">Darwin's operational responsibilities within Dovecote Systems:</w:t>
      </w:r>
    </w:p>
    <w:p>
      <w:pPr>
        <w:pStyle w:val="ListParagraph"/>
        <w:numPr>
          <w:ilvl w:val="0"/>
          <w:numId w:val="1"/>
        </w:numPr>
        <w:spacing w:after="40" w:before="40"/>
      </w:pPr>
      <w:r>
        <w:rPr>
          <w:sz w:val="22"/>
          <w:szCs w:val="22"/>
        </w:rPr>
        <w:t xml:space="preserve">Physical delivery and installation of battery node hardware (enclosures, cabling, BMS integration)</w:t>
      </w:r>
    </w:p>
    <w:p>
      <w:pPr>
        <w:pStyle w:val="ListParagraph"/>
        <w:numPr>
          <w:ilvl w:val="0"/>
          <w:numId w:val="1"/>
        </w:numPr>
        <w:spacing w:after="40" w:before="40"/>
      </w:pPr>
      <w:r>
        <w:rPr>
          <w:sz w:val="22"/>
          <w:szCs w:val="22"/>
        </w:rPr>
        <w:t xml:space="preserve">Vehicle operation — transporting inverters, battery packs, and tools between sites</w:t>
      </w:r>
    </w:p>
    <w:p>
      <w:pPr>
        <w:pStyle w:val="ListParagraph"/>
        <w:numPr>
          <w:ilvl w:val="0"/>
          <w:numId w:val="1"/>
        </w:numPr>
        <w:spacing w:after="40" w:before="40"/>
      </w:pPr>
      <w:r>
        <w:rPr>
          <w:sz w:val="22"/>
          <w:szCs w:val="22"/>
        </w:rPr>
        <w:t xml:space="preserve">On-site commissioning support alongside Matt Brander and external electricians (pre-qualification)</w:t>
      </w:r>
    </w:p>
    <w:p>
      <w:pPr>
        <w:pStyle w:val="ListParagraph"/>
        <w:numPr>
          <w:ilvl w:val="0"/>
          <w:numId w:val="1"/>
        </w:numPr>
        <w:spacing w:after="40" w:before="40"/>
      </w:pPr>
      <w:r>
        <w:rPr>
          <w:sz w:val="22"/>
          <w:szCs w:val="22"/>
        </w:rPr>
        <w:t xml:space="preserve">Routine maintenance, monitoring, and fault diagnosis across the node fleet</w:t>
      </w:r>
    </w:p>
    <w:p>
      <w:pPr>
        <w:pStyle w:val="ListParagraph"/>
        <w:numPr>
          <w:ilvl w:val="0"/>
          <w:numId w:val="1"/>
        </w:numPr>
        <w:spacing w:after="40" w:before="40"/>
      </w:pPr>
      <w:r>
        <w:rPr>
          <w:sz w:val="22"/>
          <w:szCs w:val="22"/>
        </w:rPr>
        <w:t xml:space="preserve">Full electrical installation and commissioning work (from Q1–Q2 2028 — JIB Gold Card)</w:t>
      </w:r>
    </w:p>
    <w:p>
      <w:pPr>
        <w:spacing w:after="60" w:before="60"/>
      </w:pPr>
      <w:r>
        <w:rPr>
          <w:sz w:val="22"/>
          <w:szCs w:val="22"/>
        </w:rPr>
        <w:t xml:space="preserve">This division of responsibilities allows Matt Brander to focus on software development, commercial relationships, grid connection applications, and financial management while Darwin handles the physical operational workload that scales with the node fleet.</w:t>
      </w:r>
    </w:p>
    <w:p>
      <w:r>
        <w:br w:type="page"/>
      </w:r>
    </w:p>
    <w:p>
      <w:pPr>
        <w:pStyle w:val="Heading1"/>
        <w:pBdr>
          <w:bottom w:val="single" w:color="1B4F72" w:sz="6"/>
        </w:pBdr>
        <w:spacing w:after="120" w:before="360"/>
      </w:pPr>
      <w:r>
        <w:t xml:space="preserve">3. Electrical Training and Qualification</w:t>
      </w:r>
    </w:p>
    <w:p>
      <w:pPr>
        <w:pStyle w:val="Heading2"/>
        <w:spacing w:after="80" w:before="240"/>
      </w:pPr>
      <w:r>
        <w:t xml:space="preserve">Private Fast-Track Programme — JIB Gold Card</w:t>
      </w:r>
    </w:p>
    <w:p>
      <w:pPr>
        <w:spacing w:after="60" w:before="60"/>
      </w:pPr>
      <w:r>
        <w:rPr>
          <w:sz w:val="22"/>
          <w:szCs w:val="22"/>
        </w:rPr>
        <w:t xml:space="preserve">Darwin will undertake a private fast-track electrician training programme with a commercial training provider (such as Optima ECT or Learn Trade Skills). This is the accelerated commercial route to a JIB ECS Gold Card — the industry-standard credential for electrical installation work recognised by all DNOs, contractors, and grid operators.</w:t>
      </w:r>
    </w:p>
    <w:p>
      <w:pPr>
        <w:spacing w:after="60" w:before="60"/>
      </w:pPr>
      <w:r>
        <w:rPr>
          <w:sz w:val="22"/>
          <w:szCs w:val="22"/>
        </w:rPr>
        <w:t xml:space="preserve">Matt Brander (co-director) is enrolling in the same programme simultaneously. Both are expected to be qualified within 12–18 months.</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B4F72" w:val="clear"/>
            <w:tcMar>
              <w:top w:type="dxa" w:w="80"/>
              <w:left w:type="dxa" w:w="100"/>
              <w:bottom w:type="dxa" w:w="80"/>
              <w:right w:type="dxa" w:w="100"/>
            </w:tcMar>
          </w:tcPr>
          <w:p>
            <w:pPr>
              <w:spacing w:after="60" w:before="60"/>
            </w:pPr>
            <w:r>
              <w:rPr>
                <w:b/>
                <w:bCs/>
                <w:color w:val="FFFFFF"/>
                <w:sz w:val="20"/>
                <w:szCs w:val="20"/>
              </w:rPr>
              <w:t xml:space="preserve">Field</w:t>
            </w:r>
          </w:p>
        </w:tc>
        <w:tc>
          <w:tcPr>
            <w:tcW w:type="dxa" w:w="4000"/>
            <w:shd w:fill="1B4F72" w:val="clear"/>
            <w:tcMar>
              <w:top w:type="dxa" w:w="80"/>
              <w:left w:type="dxa" w:w="100"/>
              <w:bottom w:type="dxa" w:w="80"/>
              <w:right w:type="dxa" w:w="100"/>
            </w:tcMar>
          </w:tcPr>
          <w:p>
            <w:pPr>
              <w:spacing w:after="60" w:before="60"/>
            </w:pPr>
            <w:r>
              <w:rPr>
                <w:b/>
                <w:bCs/>
                <w:color w:val="FFFFFF"/>
                <w:sz w:val="20"/>
                <w:szCs w:val="20"/>
              </w:rPr>
              <w:t xml:space="preserve">Detail</w:t>
            </w:r>
          </w:p>
        </w:tc>
      </w:tr>
      <w:tr>
        <w:tc>
          <w:tcPr>
            <w:tcW w:type="dxa" w:w="5000"/>
            <w:shd/>
            <w:tcMar>
              <w:top w:type="dxa" w:w="60"/>
              <w:left w:type="dxa" w:w="100"/>
              <w:bottom w:type="dxa" w:w="60"/>
              <w:right w:type="dxa" w:w="100"/>
            </w:tcMar>
          </w:tcPr>
          <w:p>
            <w:pPr>
              <w:spacing w:after="40" w:before="40"/>
              <w:jc w:val="left"/>
            </w:pPr>
            <w:r>
              <w:rPr>
                <w:b/>
                <w:bCs/>
                <w:sz w:val="20"/>
                <w:szCs w:val="20"/>
              </w:rPr>
              <w:t xml:space="preserve">Programme</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Private fast-track electrician training — full JIB Gold Card route</w:t>
            </w:r>
          </w:p>
        </w:tc>
      </w:tr>
      <w:tr>
        <w:tc>
          <w:tcPr>
            <w:tcW w:type="dxa" w:w="5000"/>
            <w:shd w:fill="F2F3F4" w:val="clear"/>
            <w:tcMar>
              <w:top w:type="dxa" w:w="60"/>
              <w:left w:type="dxa" w:w="100"/>
              <w:bottom w:type="dxa" w:w="60"/>
              <w:right w:type="dxa" w:w="100"/>
            </w:tcMar>
          </w:tcPr>
          <w:p>
            <w:pPr>
              <w:spacing w:after="40" w:before="40"/>
              <w:jc w:val="left"/>
            </w:pPr>
            <w:r>
              <w:rPr>
                <w:b/>
                <w:bCs/>
                <w:sz w:val="20"/>
                <w:szCs w:val="20"/>
              </w:rPr>
              <w:t xml:space="preserve">Typical content</w:t>
            </w:r>
          </w:p>
        </w:tc>
        <w:tc>
          <w:tcPr>
            <w:tcW w:type="dxa" w:w="4000"/>
            <w:shd w:fill="F2F3F4" w:val="clear"/>
            <w:tcMar>
              <w:top w:type="dxa" w:w="60"/>
              <w:left w:type="dxa" w:w="100"/>
              <w:bottom w:type="dxa" w:w="60"/>
              <w:right w:type="dxa" w:w="100"/>
            </w:tcMar>
          </w:tcPr>
          <w:p>
            <w:pPr>
              <w:spacing w:after="40" w:before="40"/>
              <w:jc w:val="right"/>
            </w:pPr>
            <w:r>
              <w:rPr>
                <w:b w:val="false"/>
                <w:bCs w:val="false"/>
                <w:sz w:val="20"/>
                <w:szCs w:val="20"/>
              </w:rPr>
              <w:t xml:space="preserve">Level 2 Electrical Installations, Level 3 Electrical Installations, 18th Edition (BS 7671), NVQ Level 3, AM2 practical assessment</w:t>
            </w:r>
          </w:p>
        </w:tc>
      </w:tr>
      <w:tr>
        <w:tc>
          <w:tcPr>
            <w:tcW w:type="dxa" w:w="5000"/>
            <w:shd/>
            <w:tcMar>
              <w:top w:type="dxa" w:w="60"/>
              <w:left w:type="dxa" w:w="100"/>
              <w:bottom w:type="dxa" w:w="60"/>
              <w:right w:type="dxa" w:w="100"/>
            </w:tcMar>
          </w:tcPr>
          <w:p>
            <w:pPr>
              <w:spacing w:after="40" w:before="40"/>
              <w:jc w:val="left"/>
            </w:pPr>
            <w:r>
              <w:rPr>
                <w:b/>
                <w:bCs/>
                <w:sz w:val="20"/>
                <w:szCs w:val="20"/>
              </w:rPr>
              <w:t xml:space="preserve">Provider examples</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Optima ECT (£8,995), Learn Trade Skills (£9,249), or equivalent ESFA-approved centre</w:t>
            </w:r>
          </w:p>
        </w:tc>
      </w:tr>
      <w:tr>
        <w:tc>
          <w:tcPr>
            <w:tcW w:type="dxa" w:w="5000"/>
            <w:shd w:fill="F2F3F4" w:val="clear"/>
            <w:tcMar>
              <w:top w:type="dxa" w:w="60"/>
              <w:left w:type="dxa" w:w="100"/>
              <w:bottom w:type="dxa" w:w="60"/>
              <w:right w:type="dxa" w:w="100"/>
            </w:tcMar>
          </w:tcPr>
          <w:p>
            <w:pPr>
              <w:spacing w:after="40" w:before="40"/>
              <w:jc w:val="left"/>
            </w:pPr>
            <w:r>
              <w:rPr>
                <w:b/>
                <w:bCs/>
                <w:sz w:val="20"/>
                <w:szCs w:val="20"/>
              </w:rPr>
              <w:t xml:space="preserve">Duration</w:t>
            </w:r>
          </w:p>
        </w:tc>
        <w:tc>
          <w:tcPr>
            <w:tcW w:type="dxa" w:w="4000"/>
            <w:shd w:fill="F2F3F4" w:val="clear"/>
            <w:tcMar>
              <w:top w:type="dxa" w:w="60"/>
              <w:left w:type="dxa" w:w="100"/>
              <w:bottom w:type="dxa" w:w="60"/>
              <w:right w:type="dxa" w:w="100"/>
            </w:tcMar>
          </w:tcPr>
          <w:p>
            <w:pPr>
              <w:spacing w:after="40" w:before="40"/>
              <w:jc w:val="right"/>
            </w:pPr>
            <w:r>
              <w:rPr>
                <w:b w:val="false"/>
                <w:bCs w:val="false"/>
                <w:sz w:val="20"/>
                <w:szCs w:val="20"/>
              </w:rPr>
              <w:t xml:space="preserve">12–18 months (intensive/fast-track programme)</w:t>
            </w:r>
          </w:p>
        </w:tc>
      </w:tr>
      <w:tr>
        <w:tc>
          <w:tcPr>
            <w:tcW w:type="dxa" w:w="5000"/>
            <w:shd/>
            <w:tcMar>
              <w:top w:type="dxa" w:w="60"/>
              <w:left w:type="dxa" w:w="100"/>
              <w:bottom w:type="dxa" w:w="60"/>
              <w:right w:type="dxa" w:w="100"/>
            </w:tcMar>
          </w:tcPr>
          <w:p>
            <w:pPr>
              <w:spacing w:after="40" w:before="40"/>
              <w:jc w:val="left"/>
            </w:pPr>
            <w:r>
              <w:rPr>
                <w:b/>
                <w:bCs/>
                <w:sz w:val="20"/>
                <w:szCs w:val="20"/>
              </w:rPr>
              <w:t xml:space="preserve">Total cost</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~£9,000 (from Darwin's loan)</w:t>
            </w:r>
          </w:p>
        </w:tc>
      </w:tr>
      <w:tr>
        <w:tc>
          <w:tcPr>
            <w:tcW w:type="dxa" w:w="5000"/>
            <w:shd w:fill="F2F3F4" w:val="clear"/>
            <w:tcMar>
              <w:top w:type="dxa" w:w="60"/>
              <w:left w:type="dxa" w:w="100"/>
              <w:bottom w:type="dxa" w:w="60"/>
              <w:right w:type="dxa" w:w="100"/>
            </w:tcMar>
          </w:tcPr>
          <w:p>
            <w:pPr>
              <w:spacing w:after="40" w:before="40"/>
              <w:jc w:val="left"/>
            </w:pPr>
            <w:r>
              <w:rPr>
                <w:b/>
                <w:bCs/>
                <w:sz w:val="20"/>
                <w:szCs w:val="20"/>
              </w:rPr>
              <w:t xml:space="preserve">Outcome</w:t>
            </w:r>
          </w:p>
        </w:tc>
        <w:tc>
          <w:tcPr>
            <w:tcW w:type="dxa" w:w="4000"/>
            <w:shd w:fill="F2F3F4" w:val="clear"/>
            <w:tcMar>
              <w:top w:type="dxa" w:w="60"/>
              <w:left w:type="dxa" w:w="100"/>
              <w:bottom w:type="dxa" w:w="60"/>
              <w:right w:type="dxa" w:w="100"/>
            </w:tcMar>
          </w:tcPr>
          <w:p>
            <w:pPr>
              <w:spacing w:after="40" w:before="40"/>
              <w:jc w:val="right"/>
            </w:pPr>
            <w:r>
              <w:rPr>
                <w:b w:val="false"/>
                <w:bCs w:val="false"/>
                <w:sz w:val="20"/>
                <w:szCs w:val="20"/>
              </w:rPr>
              <w:t xml:space="preserve">JIB ECS Gold Card — industry standard, recognised by all DNOs and grid operators</w:t>
            </w:r>
          </w:p>
        </w:tc>
      </w:tr>
      <w:tr>
        <w:tc>
          <w:tcPr>
            <w:tcW w:type="dxa" w:w="5000"/>
            <w:shd/>
            <w:tcMar>
              <w:top w:type="dxa" w:w="60"/>
              <w:left w:type="dxa" w:w="100"/>
              <w:bottom w:type="dxa" w:w="60"/>
              <w:right w:type="dxa" w:w="100"/>
            </w:tcMar>
          </w:tcPr>
          <w:p>
            <w:pPr>
              <w:spacing w:after="40" w:before="40"/>
              <w:jc w:val="left"/>
            </w:pPr>
            <w:r>
              <w:rPr>
                <w:b/>
                <w:bCs/>
                <w:sz w:val="20"/>
                <w:szCs w:val="20"/>
              </w:rPr>
              <w:t xml:space="preserve">Co-director training</w:t>
            </w:r>
          </w:p>
        </w:tc>
        <w:tc>
          <w:tcPr>
            <w:tcW w:type="dxa" w:w="4000"/>
            <w:shd/>
            <w:tcMar>
              <w:top w:type="dxa" w:w="60"/>
              <w:left w:type="dxa" w:w="100"/>
              <w:bottom w:type="dxa" w:w="60"/>
              <w:right w:type="dxa" w:w="100"/>
            </w:tcMar>
          </w:tcPr>
          <w:p>
            <w:pPr>
              <w:spacing w:after="40" w:before="40"/>
              <w:jc w:val="right"/>
            </w:pPr>
            <w:r>
              <w:rPr>
                <w:b w:val="false"/>
                <w:bCs w:val="false"/>
                <w:sz w:val="20"/>
                <w:szCs w:val="20"/>
              </w:rPr>
              <w:t xml:space="preserve">Matt Brander enrolled on same programme simultaneously</w:t>
            </w:r>
          </w:p>
        </w:tc>
      </w:tr>
    </w:tbl>
    <w:p>
      <w:pPr>
        <w:spacing w:before="200"/>
      </w:pPr>
    </w:p>
    <w:p>
      <w:pPr>
        <w:spacing w:after="60" w:before="60"/>
      </w:pPr>
      <w:r>
        <w:rPr>
          <w:sz w:val="22"/>
          <w:szCs w:val="22"/>
        </w:rPr>
        <w:t xml:space="preserve">Why private training rather than an apprenticeship? An apprenticeship typically takes 3.5 years. Private training achieves the same JIB Gold Card outcome in 12–18 months. The additional cost (~£8,000 more than apprenticeship employer contribution) is significantly outweighed by having two qualified electricians in the business from 2028 — 2+ years earlier — during the critical node-scaling phase.</w:t>
      </w:r>
    </w:p>
    <w:p>
      <w:pPr>
        <w:spacing w:after="60" w:before="60"/>
      </w:pPr>
      <w:r>
        <w:rPr>
          <w:sz w:val="22"/>
          <w:szCs w:val="22"/>
        </w:rPr>
        <w:t xml:space="preserve">With two in-house qualified electricians, Dovecote Systems saves approximately £2,000 per node in external commissioning costs. At a 10-node fleet (achievable by 2029), this represents £20,000 in cumulative savings — more than double the additional training cost.</w:t>
      </w:r>
    </w:p>
    <w:p>
      <w:r>
        <w:br w:type="page"/>
      </w:r>
    </w:p>
    <w:p>
      <w:pPr>
        <w:pStyle w:val="Heading1"/>
        <w:pBdr>
          <w:bottom w:val="single" w:color="1B4F72" w:sz="6"/>
        </w:pBdr>
        <w:spacing w:after="120" w:before="360"/>
      </w:pPr>
      <w:r>
        <w:t xml:space="preserve">4. Use of Loan Funds</w:t>
      </w:r>
    </w:p>
    <w:p>
      <w:pPr>
        <w:spacing w:after="60" w:before="60"/>
      </w:pPr>
      <w:r>
        <w:rPr>
          <w:sz w:val="22"/>
          <w:szCs w:val="22"/>
        </w:rPr>
        <w:t xml:space="preserve">Darwin's £25,000 loan funds the operational infrastructure, professional qualification, and initial wages required for Dovecote Systems to deliver physical BESS installation and maintenance at scale.</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c>
          <w:tcPr>
            <w:tcW w:type="dxa" w:w="3500"/>
            <w:shd w:fill="1B4F72" w:val="clear"/>
            <w:tcMar>
              <w:top w:type="dxa" w:w="80"/>
              <w:left w:type="dxa" w:w="100"/>
              <w:bottom w:type="dxa" w:w="80"/>
              <w:right w:type="dxa" w:w="100"/>
            </w:tcMar>
          </w:tcPr>
          <w:p>
            <w:pPr>
              <w:spacing w:after="60" w:before="60"/>
            </w:pPr>
            <w:r>
              <w:rPr>
                <w:b/>
                <w:bCs/>
                <w:color w:val="FFFFFF"/>
                <w:sz w:val="20"/>
                <w:szCs w:val="20"/>
              </w:rPr>
              <w:t xml:space="preserve">Item</w:t>
            </w:r>
          </w:p>
        </w:tc>
        <w:tc>
          <w:tcPr>
            <w:tcW w:type="dxa" w:w="2750"/>
            <w:shd w:fill="1B4F72" w:val="clear"/>
            <w:tcMar>
              <w:top w:type="dxa" w:w="80"/>
              <w:left w:type="dxa" w:w="100"/>
              <w:bottom w:type="dxa" w:w="80"/>
              <w:right w:type="dxa" w:w="100"/>
            </w:tcMar>
          </w:tcPr>
          <w:p>
            <w:pPr>
              <w:spacing w:after="60" w:before="60"/>
            </w:pPr>
            <w:r>
              <w:rPr>
                <w:b/>
                <w:bCs/>
                <w:color w:val="FFFFFF"/>
                <w:sz w:val="20"/>
                <w:szCs w:val="20"/>
              </w:rPr>
              <w:t xml:space="preserve">Cost</w:t>
            </w:r>
          </w:p>
        </w:tc>
        <w:tc>
          <w:tcPr>
            <w:tcW w:type="dxa" w:w="2750"/>
            <w:shd w:fill="1B4F72" w:val="clear"/>
            <w:tcMar>
              <w:top w:type="dxa" w:w="80"/>
              <w:left w:type="dxa" w:w="100"/>
              <w:bottom w:type="dxa" w:w="80"/>
              <w:right w:type="dxa" w:w="100"/>
            </w:tcMar>
          </w:tcPr>
          <w:p>
            <w:pPr>
              <w:spacing w:after="60" w:before="60"/>
            </w:pPr>
            <w:r>
              <w:rPr>
                <w:b/>
                <w:bCs/>
                <w:color w:val="FFFFFF"/>
                <w:sz w:val="20"/>
                <w:szCs w:val="20"/>
              </w:rPr>
              <w:t xml:space="preserve">Notes</w:t>
            </w:r>
          </w:p>
        </w:tc>
      </w:tr>
      <w:tr>
        <w:tc>
          <w:tcPr>
            <w:tcW w:type="dxa" w:w="3500"/>
            <w:shd/>
            <w:tcMar>
              <w:top w:type="dxa" w:w="60"/>
              <w:left w:type="dxa" w:w="100"/>
              <w:bottom w:type="dxa" w:w="60"/>
              <w:right w:type="dxa" w:w="100"/>
            </w:tcMar>
          </w:tcPr>
          <w:p>
            <w:pPr>
              <w:spacing w:after="40" w:before="40"/>
              <w:jc w:val="left"/>
            </w:pPr>
            <w:r>
              <w:rPr>
                <w:b/>
                <w:bCs/>
                <w:sz w:val="20"/>
                <w:szCs w:val="20"/>
              </w:rPr>
              <w:t xml:space="preserve">Professional tools and test equipment</w:t>
            </w:r>
          </w:p>
        </w:tc>
        <w:tc>
          <w:tcPr>
            <w:tcW w:type="dxa" w:w="2750"/>
            <w:shd/>
            <w:tcMar>
              <w:top w:type="dxa" w:w="60"/>
              <w:left w:type="dxa" w:w="100"/>
              <w:bottom w:type="dxa" w:w="60"/>
              <w:right w:type="dxa" w:w="100"/>
            </w:tcMar>
          </w:tcPr>
          <w:p>
            <w:pPr>
              <w:spacing w:after="40" w:before="40"/>
              <w:jc w:val="right"/>
            </w:pPr>
            <w:r>
              <w:rPr>
                <w:b w:val="false"/>
                <w:bCs w:val="false"/>
                <w:sz w:val="20"/>
                <w:szCs w:val="20"/>
              </w:rPr>
              <w:t xml:space="preserve">£2,000</w:t>
            </w:r>
          </w:p>
        </w:tc>
        <w:tc>
          <w:tcPr>
            <w:tcW w:type="dxa" w:w="2750"/>
            <w:shd/>
            <w:tcMar>
              <w:top w:type="dxa" w:w="60"/>
              <w:left w:type="dxa" w:w="100"/>
              <w:bottom w:type="dxa" w:w="60"/>
              <w:right w:type="dxa" w:w="100"/>
            </w:tcMar>
          </w:tcPr>
          <w:p>
            <w:pPr>
              <w:spacing w:after="40" w:before="40"/>
              <w:jc w:val="right"/>
            </w:pPr>
            <w:r>
              <w:rPr>
                <w:b w:val="false"/>
                <w:bCs w:val="false"/>
                <w:sz w:val="20"/>
                <w:szCs w:val="20"/>
              </w:rPr>
              <w:t xml:space="preserve">Multifunction tester, cable equipment, hand tools, safety gear for BESS installation and maintenance.</w:t>
            </w:r>
          </w:p>
        </w:tc>
      </w:tr>
      <w:tr>
        <w:tc>
          <w:tcPr>
            <w:tcW w:type="dxa" w:w="3500"/>
            <w:shd w:fill="F2F3F4" w:val="clear"/>
            <w:tcMar>
              <w:top w:type="dxa" w:w="60"/>
              <w:left w:type="dxa" w:w="100"/>
              <w:bottom w:type="dxa" w:w="60"/>
              <w:right w:type="dxa" w:w="100"/>
            </w:tcMar>
          </w:tcPr>
          <w:p>
            <w:pPr>
              <w:spacing w:after="40" w:before="40"/>
              <w:jc w:val="left"/>
            </w:pPr>
            <w:r>
              <w:rPr>
                <w:b/>
                <w:bCs/>
                <w:sz w:val="20"/>
                <w:szCs w:val="20"/>
              </w:rPr>
              <w:t xml:space="preserve">Private electrician training — full JIB Gold Card programme</w:t>
            </w:r>
          </w:p>
        </w:tc>
        <w:tc>
          <w:tcPr>
            <w:tcW w:type="dxa" w:w="2750"/>
            <w:shd w:fill="F2F3F4" w:val="clear"/>
            <w:tcMar>
              <w:top w:type="dxa" w:w="60"/>
              <w:left w:type="dxa" w:w="100"/>
              <w:bottom w:type="dxa" w:w="60"/>
              <w:right w:type="dxa" w:w="100"/>
            </w:tcMar>
          </w:tcPr>
          <w:p>
            <w:pPr>
              <w:spacing w:after="40" w:before="40"/>
              <w:jc w:val="right"/>
            </w:pPr>
            <w:r>
              <w:rPr>
                <w:b w:val="false"/>
                <w:bCs w:val="false"/>
                <w:sz w:val="20"/>
                <w:szCs w:val="20"/>
              </w:rPr>
              <w:t xml:space="preserve">£9,000</w:t>
            </w:r>
          </w:p>
        </w:tc>
        <w:tc>
          <w:tcPr>
            <w:tcW w:type="dxa" w:w="2750"/>
            <w:shd w:fill="F2F3F4" w:val="clear"/>
            <w:tcMar>
              <w:top w:type="dxa" w:w="60"/>
              <w:left w:type="dxa" w:w="100"/>
              <w:bottom w:type="dxa" w:w="60"/>
              <w:right w:type="dxa" w:w="100"/>
            </w:tcMar>
          </w:tcPr>
          <w:p>
            <w:pPr>
              <w:spacing w:after="40" w:before="40"/>
              <w:jc w:val="right"/>
            </w:pPr>
            <w:r>
              <w:rPr>
                <w:b w:val="false"/>
                <w:bCs w:val="false"/>
                <w:sz w:val="20"/>
                <w:szCs w:val="20"/>
              </w:rPr>
              <w:t xml:space="preserve">Paid to commercial training provider. Programme covers Level 2/3 Electrical Installation, 18th Edition, NVQ, AM2. JIB Gold Card expected Q1–Q2 2028.</w:t>
            </w:r>
          </w:p>
        </w:tc>
      </w:tr>
      <w:tr>
        <w:tc>
          <w:tcPr>
            <w:tcW w:type="dxa" w:w="3500"/>
            <w:shd/>
            <w:tcMar>
              <w:top w:type="dxa" w:w="60"/>
              <w:left w:type="dxa" w:w="100"/>
              <w:bottom w:type="dxa" w:w="60"/>
              <w:right w:type="dxa" w:w="100"/>
            </w:tcMar>
          </w:tcPr>
          <w:p>
            <w:pPr>
              <w:spacing w:after="40" w:before="40"/>
              <w:jc w:val="left"/>
            </w:pPr>
            <w:r>
              <w:rPr>
                <w:b/>
                <w:bCs/>
                <w:sz w:val="20"/>
                <w:szCs w:val="20"/>
              </w:rPr>
              <w:t xml:space="preserve">Darwin's wages — Year 1 (loan-funded)</w:t>
            </w:r>
          </w:p>
        </w:tc>
        <w:tc>
          <w:tcPr>
            <w:tcW w:type="dxa" w:w="2750"/>
            <w:shd/>
            <w:tcMar>
              <w:top w:type="dxa" w:w="60"/>
              <w:left w:type="dxa" w:w="100"/>
              <w:bottom w:type="dxa" w:w="60"/>
              <w:right w:type="dxa" w:w="100"/>
            </w:tcMar>
          </w:tcPr>
          <w:p>
            <w:pPr>
              <w:spacing w:after="40" w:before="40"/>
              <w:jc w:val="right"/>
            </w:pPr>
            <w:r>
              <w:rPr>
                <w:b w:val="false"/>
                <w:bCs w:val="false"/>
                <w:sz w:val="20"/>
                <w:szCs w:val="20"/>
              </w:rPr>
              <w:t xml:space="preserve">£10,800</w:t>
            </w:r>
          </w:p>
        </w:tc>
        <w:tc>
          <w:tcPr>
            <w:tcW w:type="dxa" w:w="2750"/>
            <w:shd/>
            <w:tcMar>
              <w:top w:type="dxa" w:w="60"/>
              <w:left w:type="dxa" w:w="100"/>
              <w:bottom w:type="dxa" w:w="60"/>
              <w:right w:type="dxa" w:w="100"/>
            </w:tcMar>
          </w:tcPr>
          <w:p>
            <w:pPr>
              <w:spacing w:after="40" w:before="40"/>
              <w:jc w:val="right"/>
            </w:pPr>
            <w:r>
              <w:rPr>
                <w:b w:val="false"/>
                <w:bCs w:val="false"/>
                <w:sz w:val="20"/>
                <w:szCs w:val="20"/>
              </w:rPr>
              <w:t xml:space="preserve">£900/mo × 12 months (16hrs/week × ~£11.25/hr). Part-time during training — Darwin attends training centre 2 days/week, works for Dovecote 3 days/week.</w:t>
            </w:r>
          </w:p>
        </w:tc>
      </w:tr>
      <w:tr>
        <w:tc>
          <w:tcPr>
            <w:tcW w:type="dxa" w:w="3500"/>
            <w:shd w:fill="F2F3F4" w:val="clear"/>
            <w:tcMar>
              <w:top w:type="dxa" w:w="60"/>
              <w:left w:type="dxa" w:w="100"/>
              <w:bottom w:type="dxa" w:w="60"/>
              <w:right w:type="dxa" w:w="100"/>
            </w:tcMar>
          </w:tcPr>
          <w:p>
            <w:pPr>
              <w:spacing w:after="40" w:before="40"/>
              <w:jc w:val="left"/>
            </w:pPr>
            <w:r>
              <w:rPr>
                <w:b/>
                <w:bCs/>
                <w:sz w:val="20"/>
                <w:szCs w:val="20"/>
              </w:rPr>
              <w:t xml:space="preserve">Working capital / contingency</w:t>
            </w:r>
          </w:p>
        </w:tc>
        <w:tc>
          <w:tcPr>
            <w:tcW w:type="dxa" w:w="2750"/>
            <w:shd w:fill="F2F3F4" w:val="clear"/>
            <w:tcMar>
              <w:top w:type="dxa" w:w="60"/>
              <w:left w:type="dxa" w:w="100"/>
              <w:bottom w:type="dxa" w:w="60"/>
              <w:right w:type="dxa" w:w="100"/>
            </w:tcMar>
          </w:tcPr>
          <w:p>
            <w:pPr>
              <w:spacing w:after="40" w:before="40"/>
              <w:jc w:val="right"/>
            </w:pPr>
            <w:r>
              <w:rPr>
                <w:b w:val="false"/>
                <w:bCs w:val="false"/>
                <w:sz w:val="20"/>
                <w:szCs w:val="20"/>
              </w:rPr>
              <w:t xml:space="preserve">£3,200</w:t>
            </w:r>
          </w:p>
        </w:tc>
        <w:tc>
          <w:tcPr>
            <w:tcW w:type="dxa" w:w="2750"/>
            <w:shd w:fill="F2F3F4" w:val="clear"/>
            <w:tcMar>
              <w:top w:type="dxa" w:w="60"/>
              <w:left w:type="dxa" w:w="100"/>
              <w:bottom w:type="dxa" w:w="60"/>
              <w:right w:type="dxa" w:w="100"/>
            </w:tcMar>
          </w:tcPr>
          <w:p>
            <w:pPr>
              <w:spacing w:after="40" w:before="40"/>
              <w:jc w:val="right"/>
            </w:pPr>
            <w:r>
              <w:rPr>
                <w:b w:val="false"/>
                <w:bCs w:val="false"/>
                <w:sz w:val="20"/>
                <w:szCs w:val="20"/>
              </w:rPr>
              <w:t xml:space="preserve">Held in account as operational reserve. Covers unexpected costs and contingencies in Year 1.</w:t>
            </w:r>
          </w:p>
        </w:tc>
      </w:tr>
      <w:tr>
        <w:tc>
          <w:tcPr>
            <w:tcW w:type="dxa" w:w="3500"/>
            <w:shd/>
            <w:tcMar>
              <w:top w:type="dxa" w:w="60"/>
              <w:left w:type="dxa" w:w="100"/>
              <w:bottom w:type="dxa" w:w="60"/>
              <w:right w:type="dxa" w:w="100"/>
            </w:tcMar>
          </w:tcPr>
          <w:p>
            <w:pPr>
              <w:spacing w:after="40" w:before="40"/>
              <w:jc w:val="left"/>
            </w:pPr>
            <w:r>
              <w:rPr>
                <w:b/>
                <w:bCs/>
                <w:sz w:val="20"/>
                <w:szCs w:val="20"/>
              </w:rPr>
              <w:t xml:space="preserve">TOTAL</w:t>
            </w:r>
          </w:p>
        </w:tc>
        <w:tc>
          <w:tcPr>
            <w:tcW w:type="dxa" w:w="2750"/>
            <w:shd/>
            <w:tcMar>
              <w:top w:type="dxa" w:w="60"/>
              <w:left w:type="dxa" w:w="100"/>
              <w:bottom w:type="dxa" w:w="60"/>
              <w:right w:type="dxa" w:w="100"/>
            </w:tcMar>
          </w:tcPr>
          <w:p>
            <w:pPr>
              <w:spacing w:after="40" w:before="40"/>
              <w:jc w:val="right"/>
            </w:pPr>
            <w:r>
              <w:rPr>
                <w:b w:val="false"/>
                <w:bCs w:val="false"/>
                <w:sz w:val="20"/>
                <w:szCs w:val="20"/>
              </w:rPr>
              <w:t xml:space="preserve">£25,000</w:t>
            </w:r>
          </w:p>
        </w:tc>
        <w:tc>
          <w:tcPr>
            <w:tcW w:type="dxa" w:w="2750"/>
            <w:shd/>
            <w:tcMar>
              <w:top w:type="dxa" w:w="60"/>
              <w:left w:type="dxa" w:w="100"/>
              <w:bottom w:type="dxa" w:w="60"/>
              <w:right w:type="dxa" w:w="100"/>
            </w:tcMar>
          </w:tcPr>
          <w:p>
            <w:pPr>
              <w:spacing w:after="40" w:before="40"/>
              <w:jc w:val="right"/>
            </w:pPr>
            <w:r>
              <w:rPr>
                <w:b w:val="false"/>
                <w:bCs w:val="false"/>
                <w:sz w:val="20"/>
                <w:szCs w:val="20"/>
              </w:rPr>
              <w:t xml:space="preserve"/>
            </w:r>
          </w:p>
        </w:tc>
      </w:tr>
    </w:tbl>
    <w:p>
      <w:pPr>
        <w:spacing w:before="200"/>
      </w:pPr>
    </w:p>
    <w:p>
      <w:pPr>
        <w:spacing w:after="60" w:before="60"/>
      </w:pPr>
      <w:r>
        <w:rPr>
          <w:sz w:val="22"/>
          <w:szCs w:val="22"/>
        </w:rPr>
        <w:t xml:space="preserve">A 12-month interest-only repayment holiday has been requested at application. During Year 1, loan cost is £156/mo (interest only at 7.5% p.a. on £25,000). Full capital and interest repayments of £501/mo begin in Month 13, by which point Darwin's wages transition from loan-funded to business trading income.</w:t>
      </w:r>
    </w:p>
    <w:p>
      <w:r>
        <w:br w:type="page"/>
      </w:r>
    </w:p>
    <w:p>
      <w:pPr>
        <w:pStyle w:val="Heading1"/>
        <w:pBdr>
          <w:bottom w:val="single" w:color="1B4F72" w:sz="6"/>
        </w:pBdr>
        <w:spacing w:after="120" w:before="360"/>
      </w:pPr>
      <w:r>
        <w:t xml:space="preserve">5. Financial Projections</w:t>
      </w:r>
    </w:p>
    <w:p>
      <w:pPr>
        <w:spacing w:after="60" w:before="60"/>
      </w:pPr>
      <w:r>
        <w:rPr>
          <w:sz w:val="22"/>
          <w:szCs w:val="22"/>
        </w:rPr>
        <w:t xml:space="preserve">Darwin's loan projections are set out in the attached Cash Flow Forecast. In summary:</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B4F72" w:val="clear"/>
            <w:tcMar>
              <w:top w:type="dxa" w:w="80"/>
              <w:left w:type="dxa" w:w="100"/>
              <w:bottom w:type="dxa" w:w="80"/>
              <w:right w:type="dxa" w:w="100"/>
            </w:tcMar>
          </w:tcPr>
          <w:p>
            <w:pPr>
              <w:spacing w:after="60" w:before="60"/>
            </w:pPr>
            <w:r>
              <w:rPr>
                <w:b/>
                <w:bCs/>
                <w:color w:val="FFFFFF"/>
                <w:sz w:val="20"/>
                <w:szCs w:val="20"/>
              </w:rPr>
              <w:t xml:space="preserve">Year</w:t>
            </w:r>
          </w:p>
        </w:tc>
        <w:tc>
          <w:tcPr>
            <w:tcW w:type="dxa" w:w="2250"/>
            <w:shd w:fill="1B4F72" w:val="clear"/>
            <w:tcMar>
              <w:top w:type="dxa" w:w="80"/>
              <w:left w:type="dxa" w:w="100"/>
              <w:bottom w:type="dxa" w:w="80"/>
              <w:right w:type="dxa" w:w="100"/>
            </w:tcMar>
          </w:tcPr>
          <w:p>
            <w:pPr>
              <w:spacing w:after="60" w:before="60"/>
            </w:pPr>
            <w:r>
              <w:rPr>
                <w:b/>
                <w:bCs/>
                <w:color w:val="FFFFFF"/>
                <w:sz w:val="20"/>
                <w:szCs w:val="20"/>
              </w:rPr>
              <w:t xml:space="preserve">Darwin's wages from Dovecote</w:t>
            </w:r>
          </w:p>
        </w:tc>
        <w:tc>
          <w:tcPr>
            <w:tcW w:type="dxa" w:w="2250"/>
            <w:shd w:fill="1B4F72" w:val="clear"/>
            <w:tcMar>
              <w:top w:type="dxa" w:w="80"/>
              <w:left w:type="dxa" w:w="100"/>
              <w:bottom w:type="dxa" w:w="80"/>
              <w:right w:type="dxa" w:w="100"/>
            </w:tcMar>
          </w:tcPr>
          <w:p>
            <w:pPr>
              <w:spacing w:after="60" w:before="60"/>
            </w:pPr>
            <w:r>
              <w:rPr>
                <w:b/>
                <w:bCs/>
                <w:color w:val="FFFFFF"/>
                <w:sz w:val="20"/>
                <w:szCs w:val="20"/>
              </w:rPr>
              <w:t xml:space="preserve">Loan cost</w:t>
            </w:r>
          </w:p>
        </w:tc>
        <w:tc>
          <w:tcPr>
            <w:tcW w:type="dxa" w:w="2250"/>
            <w:shd w:fill="1B4F72" w:val="clear"/>
            <w:tcMar>
              <w:top w:type="dxa" w:w="80"/>
              <w:left w:type="dxa" w:w="100"/>
              <w:bottom w:type="dxa" w:w="80"/>
              <w:right w:type="dxa" w:w="100"/>
            </w:tcMar>
          </w:tcPr>
          <w:p>
            <w:pPr>
              <w:spacing w:after="60" w:before="60"/>
            </w:pPr>
            <w:r>
              <w:rPr>
                <w:b/>
                <w:bCs/>
                <w:color w:val="FFFFFF"/>
                <w:sz w:val="20"/>
                <w:szCs w:val="20"/>
              </w:rPr>
              <w:t xml:space="preserve">Net position</w:t>
            </w:r>
          </w:p>
        </w:tc>
      </w:tr>
      <w:tr>
        <w:tc>
          <w:tcPr>
            <w:tcW w:type="dxa" w:w="2250"/>
            <w:shd/>
            <w:tcMar>
              <w:top w:type="dxa" w:w="60"/>
              <w:left w:type="dxa" w:w="100"/>
              <w:bottom w:type="dxa" w:w="60"/>
              <w:right w:type="dxa" w:w="100"/>
            </w:tcMar>
          </w:tcPr>
          <w:p>
            <w:pPr>
              <w:spacing w:after="40" w:before="40"/>
              <w:jc w:val="left"/>
            </w:pPr>
            <w:r>
              <w:rPr>
                <w:b/>
                <w:bCs/>
                <w:sz w:val="20"/>
                <w:szCs w:val="20"/>
              </w:rPr>
              <w:t xml:space="preserve">Year 1 (Sep 26–Aug 27)</w:t>
            </w:r>
          </w:p>
        </w:tc>
        <w:tc>
          <w:tcPr>
            <w:tcW w:type="dxa" w:w="2250"/>
            <w:shd/>
            <w:tcMar>
              <w:top w:type="dxa" w:w="60"/>
              <w:left w:type="dxa" w:w="100"/>
              <w:bottom w:type="dxa" w:w="60"/>
              <w:right w:type="dxa" w:w="100"/>
            </w:tcMar>
          </w:tcPr>
          <w:p>
            <w:pPr>
              <w:spacing w:after="40" w:before="40"/>
              <w:jc w:val="right"/>
            </w:pPr>
            <w:r>
              <w:rPr>
                <w:b w:val="false"/>
                <w:bCs w:val="false"/>
                <w:sz w:val="20"/>
                <w:szCs w:val="20"/>
              </w:rPr>
              <w:t xml:space="preserve">£10,800 (loan-funded) + ~£2,928 UC retained</w:t>
            </w:r>
          </w:p>
        </w:tc>
        <w:tc>
          <w:tcPr>
            <w:tcW w:type="dxa" w:w="2250"/>
            <w:shd/>
            <w:tcMar>
              <w:top w:type="dxa" w:w="60"/>
              <w:left w:type="dxa" w:w="100"/>
              <w:bottom w:type="dxa" w:w="60"/>
              <w:right w:type="dxa" w:w="100"/>
            </w:tcMar>
          </w:tcPr>
          <w:p>
            <w:pPr>
              <w:spacing w:after="40" w:before="40"/>
              <w:jc w:val="right"/>
            </w:pPr>
            <w:r>
              <w:rPr>
                <w:b w:val="false"/>
                <w:bCs w:val="false"/>
                <w:sz w:val="20"/>
                <w:szCs w:val="20"/>
              </w:rPr>
              <w:t xml:space="preserve">£156/mo interest only (holiday)</w:t>
            </w:r>
          </w:p>
        </w:tc>
        <w:tc>
          <w:tcPr>
            <w:tcW w:type="dxa" w:w="2250"/>
            <w:shd/>
            <w:tcMar>
              <w:top w:type="dxa" w:w="60"/>
              <w:left w:type="dxa" w:w="100"/>
              <w:bottom w:type="dxa" w:w="60"/>
              <w:right w:type="dxa" w:w="100"/>
            </w:tcMar>
          </w:tcPr>
          <w:p>
            <w:pPr>
              <w:spacing w:after="40" w:before="40"/>
              <w:jc w:val="right"/>
            </w:pPr>
            <w:r>
              <w:rPr>
                <w:b w:val="false"/>
                <w:bCs w:val="false"/>
                <w:sz w:val="20"/>
                <w:szCs w:val="20"/>
              </w:rPr>
              <w:t xml:space="preserve">~£538/mo total income after loan interest and rent</w:t>
            </w:r>
          </w:p>
        </w:tc>
      </w:tr>
      <w:tr>
        <w:tc>
          <w:tcPr>
            <w:tcW w:type="dxa" w:w="2250"/>
            <w:shd w:fill="F2F3F4" w:val="clear"/>
            <w:tcMar>
              <w:top w:type="dxa" w:w="60"/>
              <w:left w:type="dxa" w:w="100"/>
              <w:bottom w:type="dxa" w:w="60"/>
              <w:right w:type="dxa" w:w="100"/>
            </w:tcMar>
          </w:tcPr>
          <w:p>
            <w:pPr>
              <w:spacing w:after="40" w:before="40"/>
              <w:jc w:val="left"/>
            </w:pPr>
            <w:r>
              <w:rPr>
                <w:b/>
                <w:bCs/>
                <w:sz w:val="20"/>
                <w:szCs w:val="20"/>
              </w:rPr>
              <w:t xml:space="preserve">Year 2 (Sep 27–Aug 28)</w:t>
            </w:r>
          </w:p>
        </w:tc>
        <w:tc>
          <w:tcPr>
            <w:tcW w:type="dxa" w:w="2250"/>
            <w:shd w:fill="F2F3F4" w:val="clear"/>
            <w:tcMar>
              <w:top w:type="dxa" w:w="60"/>
              <w:left w:type="dxa" w:w="100"/>
              <w:bottom w:type="dxa" w:w="60"/>
              <w:right w:type="dxa" w:w="100"/>
            </w:tcMar>
          </w:tcPr>
          <w:p>
            <w:pPr>
              <w:spacing w:after="40" w:before="40"/>
              <w:jc w:val="right"/>
            </w:pPr>
            <w:r>
              <w:rPr>
                <w:b w:val="false"/>
                <w:bCs w:val="false"/>
                <w:sz w:val="20"/>
                <w:szCs w:val="20"/>
              </w:rPr>
              <w:t xml:space="preserve">£12,000+ (from trading income)</w:t>
            </w:r>
          </w:p>
        </w:tc>
        <w:tc>
          <w:tcPr>
            <w:tcW w:type="dxa" w:w="2250"/>
            <w:shd w:fill="F2F3F4" w:val="clear"/>
            <w:tcMar>
              <w:top w:type="dxa" w:w="60"/>
              <w:left w:type="dxa" w:w="100"/>
              <w:bottom w:type="dxa" w:w="60"/>
              <w:right w:type="dxa" w:w="100"/>
            </w:tcMar>
          </w:tcPr>
          <w:p>
            <w:pPr>
              <w:spacing w:after="40" w:before="40"/>
              <w:jc w:val="right"/>
            </w:pPr>
            <w:r>
              <w:rPr>
                <w:b w:val="false"/>
                <w:bCs w:val="false"/>
                <w:sz w:val="20"/>
                <w:szCs w:val="20"/>
              </w:rPr>
              <w:t xml:space="preserve">£501/mo full repayment</w:t>
            </w:r>
          </w:p>
        </w:tc>
        <w:tc>
          <w:tcPr>
            <w:tcW w:type="dxa" w:w="2250"/>
            <w:shd w:fill="F2F3F4" w:val="clear"/>
            <w:tcMar>
              <w:top w:type="dxa" w:w="60"/>
              <w:left w:type="dxa" w:w="100"/>
              <w:bottom w:type="dxa" w:w="60"/>
              <w:right w:type="dxa" w:w="100"/>
            </w:tcMar>
          </w:tcPr>
          <w:p>
            <w:pPr>
              <w:spacing w:after="40" w:before="40"/>
              <w:jc w:val="right"/>
            </w:pPr>
            <w:r>
              <w:rPr>
                <w:b w:val="false"/>
                <w:bCs w:val="false"/>
                <w:sz w:val="20"/>
                <w:szCs w:val="20"/>
              </w:rPr>
              <w:t xml:space="preserve">Net surplus as Node fleet grows</w:t>
            </w:r>
          </w:p>
        </w:tc>
      </w:tr>
      <w:tr>
        <w:tc>
          <w:tcPr>
            <w:tcW w:type="dxa" w:w="2250"/>
            <w:shd/>
            <w:tcMar>
              <w:top w:type="dxa" w:w="60"/>
              <w:left w:type="dxa" w:w="100"/>
              <w:bottom w:type="dxa" w:w="60"/>
              <w:right w:type="dxa" w:w="100"/>
            </w:tcMar>
          </w:tcPr>
          <w:p>
            <w:pPr>
              <w:spacing w:after="40" w:before="40"/>
              <w:jc w:val="left"/>
            </w:pPr>
            <w:r>
              <w:rPr>
                <w:b/>
                <w:bCs/>
                <w:sz w:val="20"/>
                <w:szCs w:val="20"/>
              </w:rPr>
              <w:t xml:space="preserve">Year 3 (Sep 28–Aug 29)</w:t>
            </w:r>
          </w:p>
        </w:tc>
        <w:tc>
          <w:tcPr>
            <w:tcW w:type="dxa" w:w="2250"/>
            <w:shd/>
            <w:tcMar>
              <w:top w:type="dxa" w:w="60"/>
              <w:left w:type="dxa" w:w="100"/>
              <w:bottom w:type="dxa" w:w="60"/>
              <w:right w:type="dxa" w:w="100"/>
            </w:tcMar>
          </w:tcPr>
          <w:p>
            <w:pPr>
              <w:spacing w:after="40" w:before="40"/>
              <w:jc w:val="right"/>
            </w:pPr>
            <w:r>
              <w:rPr>
                <w:b w:val="false"/>
                <w:bCs w:val="false"/>
                <w:sz w:val="20"/>
                <w:szCs w:val="20"/>
              </w:rPr>
              <w:t xml:space="preserve">£15,000+ (qualified electrician)</w:t>
            </w:r>
          </w:p>
        </w:tc>
        <w:tc>
          <w:tcPr>
            <w:tcW w:type="dxa" w:w="2250"/>
            <w:shd/>
            <w:tcMar>
              <w:top w:type="dxa" w:w="60"/>
              <w:left w:type="dxa" w:w="100"/>
              <w:bottom w:type="dxa" w:w="60"/>
              <w:right w:type="dxa" w:w="100"/>
            </w:tcMar>
          </w:tcPr>
          <w:p>
            <w:pPr>
              <w:spacing w:after="40" w:before="40"/>
              <w:jc w:val="right"/>
            </w:pPr>
            <w:r>
              <w:rPr>
                <w:b w:val="false"/>
                <w:bCs w:val="false"/>
                <w:sz w:val="20"/>
                <w:szCs w:val="20"/>
              </w:rPr>
              <w:t xml:space="preserve">£501/mo</w:t>
            </w:r>
          </w:p>
        </w:tc>
        <w:tc>
          <w:tcPr>
            <w:tcW w:type="dxa" w:w="2250"/>
            <w:shd/>
            <w:tcMar>
              <w:top w:type="dxa" w:w="60"/>
              <w:left w:type="dxa" w:w="100"/>
              <w:bottom w:type="dxa" w:w="60"/>
              <w:right w:type="dxa" w:w="100"/>
            </w:tcMar>
          </w:tcPr>
          <w:p>
            <w:pPr>
              <w:spacing w:after="40" w:before="40"/>
              <w:jc w:val="right"/>
            </w:pPr>
            <w:r>
              <w:rPr>
                <w:b w:val="false"/>
                <w:bCs w:val="false"/>
                <w:sz w:val="20"/>
                <w:szCs w:val="20"/>
              </w:rPr>
              <w:t xml:space="preserve">JIB Gold Card held; in-house commissioning</w:t>
            </w:r>
          </w:p>
        </w:tc>
      </w:tr>
      <w:tr>
        <w:tc>
          <w:tcPr>
            <w:tcW w:type="dxa" w:w="2250"/>
            <w:shd w:fill="F2F3F4" w:val="clear"/>
            <w:tcMar>
              <w:top w:type="dxa" w:w="60"/>
              <w:left w:type="dxa" w:w="100"/>
              <w:bottom w:type="dxa" w:w="60"/>
              <w:right w:type="dxa" w:w="100"/>
            </w:tcMar>
          </w:tcPr>
          <w:p>
            <w:pPr>
              <w:spacing w:after="40" w:before="40"/>
              <w:jc w:val="left"/>
            </w:pPr>
            <w:r>
              <w:rPr>
                <w:b/>
                <w:bCs/>
                <w:sz w:val="20"/>
                <w:szCs w:val="20"/>
              </w:rPr>
              <w:t xml:space="preserve">Year 4–5 (to 2031)</w:t>
            </w:r>
          </w:p>
        </w:tc>
        <w:tc>
          <w:tcPr>
            <w:tcW w:type="dxa" w:w="2250"/>
            <w:shd w:fill="F2F3F4" w:val="clear"/>
            <w:tcMar>
              <w:top w:type="dxa" w:w="60"/>
              <w:left w:type="dxa" w:w="100"/>
              <w:bottom w:type="dxa" w:w="60"/>
              <w:right w:type="dxa" w:w="100"/>
            </w:tcMar>
          </w:tcPr>
          <w:p>
            <w:pPr>
              <w:spacing w:after="40" w:before="40"/>
              <w:jc w:val="right"/>
            </w:pPr>
            <w:r>
              <w:rPr>
                <w:b w:val="false"/>
                <w:bCs w:val="false"/>
                <w:sz w:val="20"/>
                <w:szCs w:val="20"/>
              </w:rPr>
              <w:t xml:space="preserve">£18,000–£24,000</w:t>
            </w:r>
          </w:p>
        </w:tc>
        <w:tc>
          <w:tcPr>
            <w:tcW w:type="dxa" w:w="2250"/>
            <w:shd w:fill="F2F3F4" w:val="clear"/>
            <w:tcMar>
              <w:top w:type="dxa" w:w="60"/>
              <w:left w:type="dxa" w:w="100"/>
              <w:bottom w:type="dxa" w:w="60"/>
              <w:right w:type="dxa" w:w="100"/>
            </w:tcMar>
          </w:tcPr>
          <w:p>
            <w:pPr>
              <w:spacing w:after="40" w:before="40"/>
              <w:jc w:val="right"/>
            </w:pPr>
            <w:r>
              <w:rPr>
                <w:b w:val="false"/>
                <w:bCs w:val="false"/>
                <w:sz w:val="20"/>
                <w:szCs w:val="20"/>
              </w:rPr>
              <w:t xml:space="preserve">£501/mo → £0</w:t>
            </w:r>
          </w:p>
        </w:tc>
        <w:tc>
          <w:tcPr>
            <w:tcW w:type="dxa" w:w="2250"/>
            <w:shd w:fill="F2F3F4" w:val="clear"/>
            <w:tcMar>
              <w:top w:type="dxa" w:w="60"/>
              <w:left w:type="dxa" w:w="100"/>
              <w:bottom w:type="dxa" w:w="60"/>
              <w:right w:type="dxa" w:w="100"/>
            </w:tcMar>
          </w:tcPr>
          <w:p>
            <w:pPr>
              <w:spacing w:after="40" w:before="40"/>
              <w:jc w:val="right"/>
            </w:pPr>
            <w:r>
              <w:rPr>
                <w:b w:val="false"/>
                <w:bCs w:val="false"/>
                <w:sz w:val="20"/>
                <w:szCs w:val="20"/>
              </w:rPr>
              <w:t xml:space="preserve">Loan repaid; salary reflects qualified electrician rate</w:t>
            </w:r>
          </w:p>
        </w:tc>
      </w:tr>
    </w:tbl>
    <w:p>
      <w:pPr>
        <w:spacing w:before="200"/>
      </w:pPr>
    </w:p>
    <w:p>
      <w:pPr>
        <w:spacing w:after="60" w:before="60"/>
      </w:pPr>
      <w:r>
        <w:rPr>
          <w:sz w:val="22"/>
          <w:szCs w:val="22"/>
        </w:rPr>
        <w:t xml:space="preserve">Darwin's salary from Dovecote Systems increases as the company's node fleet grows and trading income rises. From Year 3 (when Darwin holds his JIB Gold Card), his role expands to full electrical installation and commissioning, and his wage reflects this higher skill level.</w:t>
      </w:r>
    </w:p>
    <w:p>
      <w:pPr>
        <w:pStyle w:val="Heading1"/>
        <w:pBdr>
          <w:bottom w:val="single" w:color="1B4F72" w:sz="6"/>
        </w:pBdr>
        <w:spacing w:after="120" w:before="360"/>
      </w:pPr>
      <w:r>
        <w:t xml:space="preserve">6. Personal Financial Position</w:t>
      </w:r>
    </w:p>
    <w:p>
      <w:pPr>
        <w:spacing w:after="60" w:before="60"/>
      </w:pPr>
      <w:r>
        <w:rPr>
          <w:sz w:val="22"/>
          <w:szCs w:val="22"/>
        </w:rPr>
        <w:t xml:space="preserve">Darwin Brander is 18 years old, resident in Southampton in private rented accommodation (rent share £400/mo). He is currently in receipt of Universal Credit (£338.50/mo standard allowance). The housing cost element has not yet been claimed and will be added to the UC award imminently — this is a required action before employment commences.</w:t>
      </w:r>
    </w:p>
    <w:p>
      <w:pPr>
        <w:spacing w:after="60" w:before="60"/>
      </w:pPr>
      <w:r>
        <w:rPr>
          <w:sz w:val="22"/>
          <w:szCs w:val="22"/>
        </w:rPr>
        <w:t xml:space="preserve">Once Darwin commences employment with Dovecote Systems, he will report his earnings through his UC journal. At wages of £900/mo, the 55% taper reduces UC by £495, leaving approximately £244/mo UC retained (standard + housing element combined: ~£738.50 maximum, less £495 taper). A 12-month interest-only repayment holiday has been requested (£156/mo Year 1). Combined monthly position: £900 wages + £244 UC = £1,144 income, against £156 loan interest + £400 rent = £556 committed outgoings, leaving ~£588/mo for personal living costs. The 12-month startup period exempts his directorship from the minimum income floor for Year 1.</w:t>
      </w:r>
    </w:p>
    <w:p>
      <w:pPr>
        <w:spacing w:after="60" w:before="60"/>
      </w:pPr>
      <w:r>
        <w:rPr>
          <w:sz w:val="22"/>
          <w:szCs w:val="22"/>
        </w:rPr>
        <w:t xml:space="preserve">Darwin has no existing credit commitments or debt. This is his first credit application. From Month 13, full loan repayments of £501/mo commence, funded from Dovecote Systems trading income.</w:t>
      </w:r>
    </w:p>
    <w:p>
      <w:pPr>
        <w:spacing w:after="60" w:before="60"/>
      </w:pPr>
      <w:r>
        <w:rPr>
          <w:sz w:val="22"/>
          <w:szCs w:val="22"/>
        </w:rPr>
        <w:t xml:space="preserve">A completed Personal Survival Budget is attached separately.</w:t>
      </w:r>
    </w:p>
    <w:p>
      <w:pPr>
        <w:pStyle w:val="Heading1"/>
        <w:pBdr>
          <w:bottom w:val="single" w:color="1B4F72" w:sz="6"/>
        </w:pBdr>
        <w:spacing w:after="120" w:before="360"/>
      </w:pPr>
      <w:r>
        <w:t xml:space="preserve">7. Declaration</w:t>
      </w:r>
    </w:p>
    <w:p>
      <w:pPr>
        <w:spacing w:after="60" w:before="60"/>
      </w:pPr>
      <w:r>
        <w:rPr>
          <w:sz w:val="22"/>
          <w:szCs w:val="22"/>
        </w:rPr>
        <w:t xml:space="preserve">I confirm that the information provided in this business plan is accurate and complete to the best of my knowledge. I understand that the Start Up Loan is a personal loan and that I am personally liable for repayments.</w:t>
      </w:r>
    </w:p>
    <w:p>
      <w:pPr>
        <w:spacing w:before="400"/>
      </w:pPr>
    </w:p>
    <w:p>
      <w:pPr>
        <w:spacing w:after="60" w:before="60"/>
      </w:pPr>
      <w:r>
        <w:rPr>
          <w:sz w:val="22"/>
          <w:szCs w:val="22"/>
        </w:rPr>
        <w:t xml:space="preserve">Signed: ___________________________          Date: _______________</w:t>
      </w:r>
    </w:p>
    <w:p>
      <w:pPr>
        <w:spacing w:before="200"/>
      </w:pPr>
    </w:p>
    <w:p>
      <w:pPr>
        <w:spacing w:after="60" w:before="60"/>
      </w:pPr>
      <w:r>
        <w:rPr>
          <w:sz w:val="22"/>
          <w:szCs w:val="22"/>
        </w:rPr>
        <w:t xml:space="preserve">Darwin Brander, Co-Director — Dovecote Systems Ltd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B4F72"/>
      <w:sz w:val="28"/>
      <w:szCs w:val="28"/>
    </w:rPr>
  </w:style>
  <w:style w:type="paragraph" w:styleId="Heading2">
    <w:name w:val="Heading 2"/>
    <w:basedOn w:val="Normal"/>
    <w:next w:val="Normal"/>
    <w:qFormat/>
    <w:rPr>
      <w:rFonts w:ascii="Arial" w:cs="Arial" w:eastAsia="Arial" w:hAnsi="Arial"/>
      <w:b/>
      <w:bCs/>
      <w:color w:val="1A252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2026-08-29T09:22:05.610Z</dcterms:created>
  <dcterms:modified xsi:type="dcterms:W3CDTF">2026-08-29T09:22:05.610Z</dcterms:modified>
</cp:coreProperties>
</file>

<file path=docProps/custom.xml><?xml version="1.0" encoding="utf-8"?>
<Properties xmlns="http://schemas.openxmlformats.org/officeDocument/2006/custom-properties" xmlns:vt="http://schemas.openxmlformats.org/officeDocument/2006/docPropsVTypes"/>
</file>