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Business name and seat</w:t>
      </w:r>
    </w:p>
    <w:p>
      <w:pPr>
        <w:pStyle w:val="Heading2"/>
        <w:numPr>
          <w:ilvl w:val="1"/>
          <w:numId w:val="2"/>
        </w:numPr>
      </w:pPr>
      <w:r>
        <w:t xml:space="preserve">Business name</w:t>
      </w:r>
    </w:p>
    <w:p>
      <w:pPr>
        <w:ind w:left="709"/>
      </w:pPr>
      <w:r>
        <w:t xml:space="preserve">The business name of the company is Example Ltd.</w:t>
      </w:r>
    </w:p>
    <w:p>
      <w:pPr>
        <w:pStyle w:val="Heading1"/>
        <w:numPr>
          <w:ilvl w:val="0"/>
          <w:numId w:val="2"/>
        </w:numPr>
      </w:pPr>
      <w:r>
        <w:t xml:space="preserve">Share capital</w:t>
      </w:r>
    </w:p>
    <w:p>
      <w:pPr>
        <w:pStyle w:val="Heading2"/>
        <w:numPr>
          <w:ilvl w:val="1"/>
          <w:numId w:val="2"/>
        </w:numPr>
      </w:pPr>
      <w:r>
        <w:t xml:space="preserve">Amount</w:t>
      </w:r>
    </w:p>
    <w:p>
      <w:pPr>
        <w:ind w:left="709"/>
      </w:pPr>
      <w:r>
        <w:t xml:space="preserve">The share capital of the company is fixed by the shareholders.</w:t>
      </w:r>
    </w:p>
    <w:p>
      <w:pPr>
        <w:pStyle w:val="Heading1"/>
        <w:numPr>
          <w:ilvl w:val="0"/>
          <w:numId w:val="2"/>
        </w:numPr>
      </w:pPr>
      <w:r>
        <w:lastRenderedPageBreak/>
        <w:t xml:space="preserve">Pre-emptive right</w:t>
      </w:r>
    </w:p>
    <w:p>
      <w:pPr>
        <w:pStyle w:val="Heading2"/>
        <w:numPr>
          <w:ilvl w:val="1"/>
          <w:numId w:val="2"/>
        </w:numPr>
      </w:pPr>
      <w:r>
        <w:t xml:space="preserve">Right to subscribe</w:t>
      </w:r>
    </w:p>
    <w:p>
      <w:pPr>
        <w:pStyle w:val="Heading2"/>
        <w:numPr>
          <w:ilvl w:val="1"/>
          <w:numId w:val="2"/>
        </w:numPr>
      </w:pPr>
      <w:r>
        <w:t xml:space="preserve">Shareholders may subscribe for new shares in proportion to their holdings. </w:t>
        <w:lastRenderedPageBreak/>
        <w:t xml:space="preserve">The rest of the section goes on on the next page.</w:t>
      </w:r>
    </w:p>
    <w:p>
      <w:pPr>
        <w:pStyle w:val="Heading1"/>
        <w:numPr>
          <w:ilvl w:val="0"/>
          <w:numId w:val="2"/>
        </w:numPr>
      </w:pPr>
      <w:r>
        <w:t xml:space="preserve">Transfer of shares</w:t>
      </w:r>
    </w:p>
    <w:p>
      <w:pPr>
        <w:pStyle w:val="Heading2"/>
        <w:numPr>
          <w:ilvl w:val="1"/>
          <w:numId w:val="2"/>
        </w:numPr>
      </w:pPr>
      <w:r>
        <w:t xml:space="preserve">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1.%2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Clauses</dc:title>
  <dc:creator>Nightdocs</dc:creator>
  <cp:lastModifiedBy>Un-named</cp:lastModifiedBy>
  <cp:revision>1</cp:revision>
  <dcterms:created xsi:type="dcterms:W3CDTF">2026-10-30T09:39:02.570Z</dcterms:created>
  <dcterms:modified xsi:type="dcterms:W3CDTF">2026-10-30T09:39:02.570Z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