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b/>
          <w:bCs/>
          <w:color w:val="1F3864"/>
          <w:sz w:val="32"/>
          <w:szCs w:val="32"/>
        </w:rPr>
        <w:t xml:space="preserve">12. Risk Assessment</w:t>
      </w:r>
    </w:p>
    <w:p>
      <w:pPr>
        <w:spacing w:after="160" w:before="0"/>
      </w:pPr>
      <w:r>
        <w:rPr>
          <w:rFonts w:ascii="Arial" w:cs="Arial" w:eastAsia="Arial" w:hAnsi="Arial"/>
          <w:b/>
          <w:bCs/>
          <w:color w:val="1F3864"/>
          <w:sz w:val="24"/>
          <w:szCs w:val="24"/>
        </w:rPr>
        <w:t xml:space="preserve">Ubuntu Innovations (Pty) Ltd - Risk Assessment Matrix</w:t>
      </w:r>
    </w:p>
    <w:p>
      <w:pPr>
        <w:pStyle w:val="Heading2"/>
        <w:spacing w:after="120" w:before="240"/>
      </w:pPr>
      <w:r>
        <w:rPr>
          <w:rFonts w:ascii="Arial" w:cs="Arial" w:eastAsia="Arial" w:hAnsi="Arial"/>
          <w:b/>
          <w:bCs/>
          <w:color w:val="1F3864"/>
          <w:sz w:val="26"/>
          <w:szCs w:val="26"/>
        </w:rPr>
        <w:t xml:space="preserve">12.1 Purpose and Scope</w:t>
      </w:r>
    </w:p>
    <w:p>
      <w:pPr>
        <w:spacing w:after="120" w:before="0"/>
      </w:pPr>
      <w:r>
        <w:rPr>
          <w:rFonts w:ascii="Arial" w:cs="Arial" w:eastAsia="Arial" w:hAnsi="Arial"/>
          <w:sz w:val="20"/>
          <w:szCs w:val="20"/>
        </w:rPr>
        <w:t xml:space="preserve">This section identifies the main information-security and operational risks facing Ubuntu Innovations, a 25-person technology company relocating to a new office in Cape Town. Each risk is rated before mitigation (inherent risk) and after the planned controls are in place (residual risk), so management can see where the proposed infrastructure, backup plan and cybersecurity policy reduce exposure.</w:t>
      </w:r>
    </w:p>
    <w:p>
      <w:pPr>
        <w:spacing w:after="120" w:before="0"/>
      </w:pPr>
      <w:r>
        <w:rPr>
          <w:rFonts w:ascii="Arial" w:cs="Arial" w:eastAsia="Arial" w:hAnsi="Arial"/>
          <w:sz w:val="20"/>
          <w:szCs w:val="20"/>
        </w:rPr>
        <w:t xml:space="preserve">Risks R1-R4 follow the scenarios given in the project brief. R5-R12 are additional risks identified for this environment, including local factors such as load shedding and South Africa's Protection of Personal Information Act (POPIA).</w:t>
      </w:r>
    </w:p>
    <w:p>
      <w:pPr>
        <w:pStyle w:val="Heading2"/>
        <w:spacing w:after="120" w:before="240"/>
      </w:pPr>
      <w:r>
        <w:rPr>
          <w:rFonts w:ascii="Arial" w:cs="Arial" w:eastAsia="Arial" w:hAnsi="Arial"/>
          <w:b/>
          <w:bCs/>
          <w:color w:val="1F3864"/>
          <w:sz w:val="26"/>
          <w:szCs w:val="26"/>
        </w:rPr>
        <w:t xml:space="preserve">12.2 Rating Method</w:t>
      </w:r>
    </w:p>
    <w:p>
      <w:pPr>
        <w:spacing w:after="120" w:before="0"/>
      </w:pPr>
      <w:r>
        <w:rPr>
          <w:rFonts w:ascii="Arial" w:cs="Arial" w:eastAsia="Arial" w:hAnsi="Arial"/>
          <w:sz w:val="20"/>
          <w:szCs w:val="20"/>
        </w:rPr>
        <w:t xml:space="preserve">Likelihood and Impact are each scored Low = 1, Medium = 2 or High = 3. The Risk Score is Likelihood x Impact, giving a value from 1 to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Rating</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Score</w:t>
            </w:r>
          </w:p>
        </w:tc>
        <w:tc>
          <w:tcPr>
            <w:tcW w:type="dxa" w:w="5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Expected response</w:t>
            </w:r>
          </w:p>
        </w:tc>
      </w:tr>
      <w:tr>
        <w:tc>
          <w:tcPr>
            <w:tcW w:type="dxa" w:w="18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Low</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1 - 2</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Accept and monitor</w:t>
            </w:r>
          </w:p>
        </w:tc>
      </w:tr>
      <w:tr>
        <w:tc>
          <w:tcPr>
            <w:tcW w:type="dxa" w:w="18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3 - 4</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Mitigate within normal operations</w:t>
            </w:r>
          </w:p>
        </w:tc>
      </w:tr>
      <w:tr>
        <w:tc>
          <w:tcPr>
            <w:tcW w:type="dxa" w:w="1800"/>
            <w:tcBorders>
              <w:top w:val="single" w:color="A6A6A6" w:sz="4"/>
              <w:left w:val="single" w:color="A6A6A6" w:sz="4"/>
              <w:bottom w:val="single" w:color="A6A6A6" w:sz="4"/>
              <w:right w:val="single" w:color="A6A6A6" w:sz="4"/>
            </w:tcBorders>
            <w:shd w:fill="F4B183"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High</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6</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Mitigate as a priority</w:t>
            </w:r>
          </w:p>
        </w:tc>
      </w:tr>
      <w:tr>
        <w:tc>
          <w:tcPr>
            <w:tcW w:type="dxa" w:w="1800"/>
            <w:tcBorders>
              <w:top w:val="single" w:color="A6A6A6" w:sz="4"/>
              <w:left w:val="single" w:color="A6A6A6" w:sz="4"/>
              <w:bottom w:val="single" w:color="A6A6A6" w:sz="4"/>
              <w:right w:val="single" w:color="A6A6A6" w:sz="4"/>
            </w:tcBorders>
            <w:shd w:fill="C00000"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Critical</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9</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Immediate, top-priority controls</w:t>
            </w:r>
          </w:p>
        </w:tc>
      </w:tr>
    </w:tbl>
    <w:p>
      <w:pPr>
        <w:sectPr>
          <w:pgSz w:w="11906" w:h="16838" w:orient="portrait"/>
          <w:pgMar w:top="1134" w:right="1440" w:bottom="1134" w:left="1440" w:header="708" w:footer="708" w:gutter="0"/>
          <w:pgNumType/>
          <w:docGrid w:linePitch="360"/>
        </w:sectPr>
      </w:pPr>
    </w:p>
    <w:p>
      <w:pPr>
        <w:pStyle w:val="Heading2"/>
        <w:spacing w:after="120" w:before="240"/>
      </w:pPr>
      <w:r>
        <w:rPr>
          <w:rFonts w:ascii="Arial" w:cs="Arial" w:eastAsia="Arial" w:hAnsi="Arial"/>
          <w:b/>
          <w:bCs/>
          <w:color w:val="1F3864"/>
          <w:sz w:val="26"/>
          <w:szCs w:val="26"/>
        </w:rPr>
        <w:t xml:space="preserve">12.3 Risk Register</w:t>
      </w:r>
    </w:p>
    <w:p>
      <w:pPr>
        <w:spacing w:after="120" w:before="0"/>
      </w:pPr>
      <w:r>
        <w:rPr>
          <w:rFonts w:ascii="Arial" w:cs="Arial" w:eastAsia="Arial" w:hAnsi="Arial"/>
          <w:sz w:val="20"/>
          <w:szCs w:val="20"/>
        </w:rPr>
        <w:t xml:space="preserve">Residual rating shows the expected level once the listed mitigations are implemented.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1100"/>
        <w:gridCol w:w="1000"/>
        <w:gridCol w:w="800"/>
        <w:gridCol w:w="1000"/>
        <w:gridCol w:w="4400"/>
        <w:gridCol w:w="1100"/>
        <w:gridCol w:w="1100"/>
        <w:gridCol w:w="1578"/>
      </w:tblGrid>
      <w:tr>
        <w:trPr>
          <w:tblHeader/>
        </w:trPr>
        <w:tc>
          <w:tcPr>
            <w:tcW w:type="dxa" w:w="5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ID</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Risk</w:t>
            </w:r>
          </w:p>
        </w:tc>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Likelihood</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Impact</w:t>
            </w:r>
          </w:p>
        </w:tc>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Score</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Rating</w:t>
            </w:r>
          </w:p>
        </w:tc>
        <w:tc>
          <w:tcPr>
            <w:tcW w:type="dxa" w:w="4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Mitigation</w:t>
            </w:r>
          </w:p>
        </w:tc>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Residual Score</w:t>
            </w:r>
          </w:p>
        </w:tc>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Residual Rating</w:t>
            </w:r>
          </w:p>
        </w:tc>
        <w:tc>
          <w:tcPr>
            <w:tcW w:type="dxa" w:w="157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Owner</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b/>
                <w:bCs/>
                <w:sz w:val="18"/>
                <w:szCs w:val="18"/>
              </w:rPr>
              <w:t xml:space="preserve">R1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b/>
                <w:bCs/>
                <w:sz w:val="18"/>
                <w:szCs w:val="18"/>
              </w:rPr>
              <w:t xml:space="preserve">Phishing</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High</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9</w:t>
            </w:r>
          </w:p>
        </w:tc>
        <w:tc>
          <w:tcPr>
            <w:tcW w:type="dxa" w:w="1000"/>
            <w:tcBorders>
              <w:top w:val="single" w:color="A6A6A6" w:sz="4"/>
              <w:left w:val="single" w:color="A6A6A6" w:sz="4"/>
              <w:bottom w:val="single" w:color="A6A6A6" w:sz="4"/>
              <w:right w:val="single" w:color="A6A6A6" w:sz="4"/>
            </w:tcBorders>
            <w:shd w:fill="C00000"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Critical</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Awareness training with simulated phishing; email filtering; MFA on all accounts; simple way to report suspicious email</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4</w:t>
            </w:r>
          </w:p>
        </w:tc>
        <w:tc>
          <w:tcPr>
            <w:tcW w:type="dxa" w:w="11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Medium</w:t>
            </w:r>
          </w:p>
        </w:tc>
        <w:tc>
          <w:tcPr>
            <w:tcW w:type="dxa" w:w="157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IT Support / HR</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b/>
                <w:bCs/>
                <w:sz w:val="18"/>
                <w:szCs w:val="18"/>
              </w:rPr>
              <w:t xml:space="preserve">R2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b/>
                <w:bCs/>
                <w:sz w:val="18"/>
                <w:szCs w:val="18"/>
              </w:rPr>
              <w:t xml:space="preserve">Ransomware</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High</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6</w:t>
            </w:r>
          </w:p>
        </w:tc>
        <w:tc>
          <w:tcPr>
            <w:tcW w:type="dxa" w:w="1000"/>
            <w:tcBorders>
              <w:top w:val="single" w:color="A6A6A6" w:sz="4"/>
              <w:left w:val="single" w:color="A6A6A6" w:sz="4"/>
              <w:bottom w:val="single" w:color="A6A6A6" w:sz="4"/>
              <w:right w:val="single" w:color="A6A6A6" w:sz="4"/>
            </w:tcBorders>
            <w:shd w:fill="F4B183"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High</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Endpoint protection/EDR; daily incremental, weekly full and offsite cloud backups (incl. an offline/immutable copy); patching; least-privilege folder access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3</w:t>
            </w:r>
          </w:p>
        </w:tc>
        <w:tc>
          <w:tcPr>
            <w:tcW w:type="dxa" w:w="11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Medium</w:t>
            </w:r>
          </w:p>
        </w:tc>
        <w:tc>
          <w:tcPr>
            <w:tcW w:type="dxa" w:w="157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IT Support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b/>
                <w:bCs/>
                <w:sz w:val="18"/>
                <w:szCs w:val="18"/>
              </w:rPr>
              <w:t xml:space="preserve">R3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b/>
                <w:bCs/>
                <w:sz w:val="18"/>
                <w:szCs w:val="18"/>
              </w:rPr>
              <w:t xml:space="preserve">Hardware failure</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Medium</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4</w:t>
            </w:r>
          </w:p>
        </w:tc>
        <w:tc>
          <w:tcPr>
            <w:tcW w:type="dxa" w:w="10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Medium</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RAID on NAS; spare switch/power supply; warranty and support contracts; standard PC image for fast replacement</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2</w:t>
            </w:r>
          </w:p>
        </w:tc>
        <w:tc>
          <w:tcPr>
            <w:tcW w:type="dxa" w:w="11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Low</w:t>
            </w:r>
          </w:p>
        </w:tc>
        <w:tc>
          <w:tcPr>
            <w:tcW w:type="dxa" w:w="157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IT Support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b/>
                <w:bCs/>
                <w:sz w:val="18"/>
                <w:szCs w:val="18"/>
              </w:rPr>
              <w:t xml:space="preserve">R4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b/>
                <w:bCs/>
                <w:sz w:val="18"/>
                <w:szCs w:val="18"/>
              </w:rPr>
              <w:t xml:space="preserve">Power outage / load shedding</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High</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6</w:t>
            </w:r>
          </w:p>
        </w:tc>
        <w:tc>
          <w:tcPr>
            <w:tcW w:type="dxa" w:w="1000"/>
            <w:tcBorders>
              <w:top w:val="single" w:color="A6A6A6" w:sz="4"/>
              <w:left w:val="single" w:color="A6A6A6" w:sz="4"/>
              <w:bottom w:val="single" w:color="A6A6A6" w:sz="4"/>
              <w:right w:val="single" w:color="A6A6A6" w:sz="4"/>
            </w:tcBorders>
            <w:shd w:fill="F4B183"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High</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2 x 1500VA UPS for router, switch and NAS; safe-shutdown configuration; consider inverter/generator backup</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2</w:t>
            </w:r>
          </w:p>
        </w:tc>
        <w:tc>
          <w:tcPr>
            <w:tcW w:type="dxa" w:w="11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Low</w:t>
            </w:r>
          </w:p>
        </w:tc>
        <w:tc>
          <w:tcPr>
            <w:tcW w:type="dxa" w:w="157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IT Support / Management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b/>
                <w:bCs/>
                <w:sz w:val="18"/>
                <w:szCs w:val="18"/>
              </w:rPr>
              <w:t xml:space="preserve">R5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b/>
                <w:bCs/>
                <w:sz w:val="18"/>
                <w:szCs w:val="18"/>
              </w:rPr>
              <w:t xml:space="preserve">Weak or compromised passwords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High</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6</w:t>
            </w:r>
          </w:p>
        </w:tc>
        <w:tc>
          <w:tcPr>
            <w:tcW w:type="dxa" w:w="1000"/>
            <w:tcBorders>
              <w:top w:val="single" w:color="A6A6A6" w:sz="4"/>
              <w:left w:val="single" w:color="A6A6A6" w:sz="4"/>
              <w:bottom w:val="single" w:color="A6A6A6" w:sz="4"/>
              <w:right w:val="single" w:color="A6A6A6" w:sz="4"/>
            </w:tcBorders>
            <w:shd w:fill="F4B183"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High</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Password complexity policy; MFA; password manager; account lockout; disable accounts promptly on exit</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2</w:t>
            </w:r>
          </w:p>
        </w:tc>
        <w:tc>
          <w:tcPr>
            <w:tcW w:type="dxa" w:w="11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Low</w:t>
            </w:r>
          </w:p>
        </w:tc>
        <w:tc>
          <w:tcPr>
            <w:tcW w:type="dxa" w:w="157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IT Support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b/>
                <w:bCs/>
                <w:sz w:val="18"/>
                <w:szCs w:val="18"/>
              </w:rPr>
              <w:t xml:space="preserve">R6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b/>
                <w:bCs/>
                <w:sz w:val="18"/>
                <w:szCs w:val="18"/>
              </w:rPr>
              <w:t xml:space="preserve">Lost or stolen laptop</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High</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6</w:t>
            </w:r>
          </w:p>
        </w:tc>
        <w:tc>
          <w:tcPr>
            <w:tcW w:type="dxa" w:w="1000"/>
            <w:tcBorders>
              <w:top w:val="single" w:color="A6A6A6" w:sz="4"/>
              <w:left w:val="single" w:color="A6A6A6" w:sz="4"/>
              <w:bottom w:val="single" w:color="A6A6A6" w:sz="4"/>
              <w:right w:val="single" w:color="A6A6A6" w:sz="4"/>
            </w:tcBorders>
            <w:shd w:fill="F4B183"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High</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Full-disk encryption; screen lock; remote wipe; asset register; no local-only data storage</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2</w:t>
            </w:r>
          </w:p>
        </w:tc>
        <w:tc>
          <w:tcPr>
            <w:tcW w:type="dxa" w:w="11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Low</w:t>
            </w:r>
          </w:p>
        </w:tc>
        <w:tc>
          <w:tcPr>
            <w:tcW w:type="dxa" w:w="157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IT Support / Management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b/>
                <w:bCs/>
                <w:sz w:val="18"/>
                <w:szCs w:val="18"/>
              </w:rPr>
              <w:t xml:space="preserve">R7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b/>
                <w:bCs/>
                <w:sz w:val="18"/>
                <w:szCs w:val="18"/>
              </w:rPr>
              <w:t xml:space="preserve">Unpatched or outdated software</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Medium</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6</w:t>
            </w:r>
          </w:p>
        </w:tc>
        <w:tc>
          <w:tcPr>
            <w:tcW w:type="dxa" w:w="1000"/>
            <w:tcBorders>
              <w:top w:val="single" w:color="A6A6A6" w:sz="4"/>
              <w:left w:val="single" w:color="A6A6A6" w:sz="4"/>
              <w:bottom w:val="single" w:color="A6A6A6" w:sz="4"/>
              <w:right w:val="single" w:color="A6A6A6" w:sz="4"/>
            </w:tcBorders>
            <w:shd w:fill="F4B183"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High</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Scheduled patch management; automatic OS and antivirus updates; monthly patch review</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2</w:t>
            </w:r>
          </w:p>
        </w:tc>
        <w:tc>
          <w:tcPr>
            <w:tcW w:type="dxa" w:w="11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Low</w:t>
            </w:r>
          </w:p>
        </w:tc>
        <w:tc>
          <w:tcPr>
            <w:tcW w:type="dxa" w:w="157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IT Support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b/>
                <w:bCs/>
                <w:sz w:val="18"/>
                <w:szCs w:val="18"/>
              </w:rPr>
              <w:t xml:space="preserve">R8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b/>
                <w:bCs/>
                <w:sz w:val="18"/>
                <w:szCs w:val="18"/>
              </w:rPr>
              <w:t xml:space="preserve">Internet / ISP outage</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Medium</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4</w:t>
            </w:r>
          </w:p>
        </w:tc>
        <w:tc>
          <w:tcPr>
            <w:tcW w:type="dxa" w:w="10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Medium</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Fibre SLA with the ISP; 4G/5G failover on the router; offline-capable cloud tools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2</w:t>
            </w:r>
          </w:p>
        </w:tc>
        <w:tc>
          <w:tcPr>
            <w:tcW w:type="dxa" w:w="11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Low</w:t>
            </w:r>
          </w:p>
        </w:tc>
        <w:tc>
          <w:tcPr>
            <w:tcW w:type="dxa" w:w="157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IT Support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b/>
                <w:bCs/>
                <w:sz w:val="18"/>
                <w:szCs w:val="18"/>
              </w:rPr>
              <w:t xml:space="preserve">R9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b/>
                <w:bCs/>
                <w:sz w:val="18"/>
                <w:szCs w:val="18"/>
              </w:rPr>
              <w:t xml:space="preserve">Accidental deletion / human error</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Medium</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4</w:t>
            </w:r>
          </w:p>
        </w:tc>
        <w:tc>
          <w:tcPr>
            <w:tcW w:type="dxa" w:w="10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Medium</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NAS snapshots; file version history; restricted write permissions; tested restore procedure</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1</w:t>
            </w:r>
          </w:p>
        </w:tc>
        <w:tc>
          <w:tcPr>
            <w:tcW w:type="dxa" w:w="11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Low</w:t>
            </w:r>
          </w:p>
        </w:tc>
        <w:tc>
          <w:tcPr>
            <w:tcW w:type="dxa" w:w="157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IT Support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b/>
                <w:bCs/>
                <w:sz w:val="18"/>
                <w:szCs w:val="18"/>
              </w:rPr>
              <w:t xml:space="preserve">R10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b/>
                <w:bCs/>
                <w:sz w:val="18"/>
                <w:szCs w:val="18"/>
              </w:rPr>
              <w:t xml:space="preserve">Unauthorised access / insider threat</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Low</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High</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3</w:t>
            </w:r>
          </w:p>
        </w:tc>
        <w:tc>
          <w:tcPr>
            <w:tcW w:type="dxa" w:w="10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Medium</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Department security groups (least privilege); audit logging on Finance and HR folders; onboarding/offboarding checklist</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2</w:t>
            </w:r>
          </w:p>
        </w:tc>
        <w:tc>
          <w:tcPr>
            <w:tcW w:type="dxa" w:w="11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Low</w:t>
            </w:r>
          </w:p>
        </w:tc>
        <w:tc>
          <w:tcPr>
            <w:tcW w:type="dxa" w:w="157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IT Support / HR</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b/>
                <w:bCs/>
                <w:sz w:val="18"/>
                <w:szCs w:val="18"/>
              </w:rPr>
              <w:t xml:space="preserve">R11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b/>
                <w:bCs/>
                <w:sz w:val="18"/>
                <w:szCs w:val="18"/>
              </w:rPr>
              <w:t xml:space="preserve">Personal data breach (POPIA)</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Low</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High</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3</w:t>
            </w:r>
          </w:p>
        </w:tc>
        <w:tc>
          <w:tcPr>
            <w:tcW w:type="dxa" w:w="10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Medium</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Encryption at rest and in transit; restricted HR/Finance folders; Incident Response Plan with breach-notification steps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2</w:t>
            </w:r>
          </w:p>
        </w:tc>
        <w:tc>
          <w:tcPr>
            <w:tcW w:type="dxa" w:w="11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Low</w:t>
            </w:r>
          </w:p>
        </w:tc>
        <w:tc>
          <w:tcPr>
            <w:tcW w:type="dxa" w:w="157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Management / IT Support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b/>
                <w:bCs/>
                <w:sz w:val="18"/>
                <w:szCs w:val="18"/>
              </w:rPr>
              <w:t xml:space="preserve">R12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b/>
                <w:bCs/>
                <w:sz w:val="18"/>
                <w:szCs w:val="18"/>
              </w:rPr>
              <w:t xml:space="preserve">Physical theft / unauthorised office access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Low</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Medium</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2</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Low</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Lockable comms cabinet for router, switch and NAS; entrance access control; visitor log</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1</w:t>
            </w:r>
          </w:p>
        </w:tc>
        <w:tc>
          <w:tcPr>
            <w:tcW w:type="dxa" w:w="11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Low</w:t>
            </w:r>
          </w:p>
        </w:tc>
        <w:tc>
          <w:tcPr>
            <w:tcW w:type="dxa" w:w="157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left"/>
            </w:pPr>
            <w:r>
              <w:rPr>
                <w:rFonts w:ascii="Arial" w:cs="Arial" w:eastAsia="Arial" w:hAnsi="Arial"/>
                <w:sz w:val="18"/>
                <w:szCs w:val="18"/>
              </w:rPr>
              <w:t xml:space="preserve">Management</w:t>
            </w:r>
          </w:p>
        </w:tc>
      </w:tr>
    </w:tbl>
    <w:p>
      <w:pPr>
        <w:sectPr>
          <w:type w:val="nextPage"/>
          <w:pgSz w:w="16838" w:h="11906" w:orient="landscape"/>
          <w:pgMar w:top="1000" w:right="900" w:bottom="1000" w:left="900" w:header="708" w:footer="708" w:gutter="0"/>
          <w:pgNumType/>
          <w:docGrid w:linePitch="360"/>
        </w:sectPr>
      </w:pPr>
    </w:p>
    <w:p>
      <w:pPr>
        <w:pStyle w:val="Heading2"/>
        <w:spacing w:after="120" w:before="240"/>
      </w:pPr>
      <w:r>
        <w:rPr>
          <w:rFonts w:ascii="Arial" w:cs="Arial" w:eastAsia="Arial" w:hAnsi="Arial"/>
          <w:b/>
          <w:bCs/>
          <w:color w:val="1F3864"/>
          <w:sz w:val="26"/>
          <w:szCs w:val="26"/>
        </w:rPr>
        <w:t xml:space="preserve">12.4 Risk Heat Maps</w:t>
      </w:r>
    </w:p>
    <w:p>
      <w:pPr>
        <w:spacing w:after="80" w:before="160"/>
      </w:pPr>
      <w:r>
        <w:rPr>
          <w:rFonts w:ascii="Arial" w:cs="Arial" w:eastAsia="Arial" w:hAnsi="Arial"/>
          <w:b/>
          <w:bCs/>
          <w:color w:val="1F3864"/>
          <w:sz w:val="22"/>
          <w:szCs w:val="22"/>
        </w:rPr>
        <w:t xml:space="preserve">Inherent risk (before mitigation)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Likelihood \ Impact</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Low</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Medium</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High</w:t>
            </w:r>
          </w:p>
        </w:tc>
      </w:tr>
      <w:tr>
        <w:trPr>
          <w:trHeight w:val="620" w:hRule="atLeast"/>
        </w:trPr>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High</w:t>
            </w:r>
          </w:p>
        </w:tc>
        <w:tc>
          <w:tcPr>
            <w:tcW w:type="dxa" w:w="24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20"/>
                <w:szCs w:val="20"/>
              </w:rPr>
              <w:t xml:space="preserve"/>
            </w:r>
          </w:p>
        </w:tc>
        <w:tc>
          <w:tcPr>
            <w:tcW w:type="dxa" w:w="2400"/>
            <w:tcBorders>
              <w:top w:val="single" w:color="A6A6A6" w:sz="4"/>
              <w:left w:val="single" w:color="A6A6A6" w:sz="4"/>
              <w:bottom w:val="single" w:color="A6A6A6" w:sz="4"/>
              <w:right w:val="single" w:color="A6A6A6" w:sz="4"/>
            </w:tcBorders>
            <w:shd w:fill="F4B183"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20"/>
                <w:szCs w:val="20"/>
              </w:rPr>
              <w:t xml:space="preserve">R7</w:t>
            </w:r>
          </w:p>
        </w:tc>
        <w:tc>
          <w:tcPr>
            <w:tcW w:type="dxa" w:w="2400"/>
            <w:tcBorders>
              <w:top w:val="single" w:color="A6A6A6" w:sz="4"/>
              <w:left w:val="single" w:color="A6A6A6" w:sz="4"/>
              <w:bottom w:val="single" w:color="A6A6A6" w:sz="4"/>
              <w:right w:val="single" w:color="A6A6A6" w:sz="4"/>
            </w:tcBorders>
            <w:shd w:fill="C00000"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20"/>
                <w:szCs w:val="20"/>
              </w:rPr>
              <w:t xml:space="preserve">R1</w:t>
            </w:r>
          </w:p>
        </w:tc>
      </w:tr>
      <w:tr>
        <w:trPr>
          <w:trHeight w:val="620" w:hRule="atLeast"/>
        </w:trPr>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Medium</w:t>
            </w:r>
          </w:p>
        </w:tc>
        <w:tc>
          <w:tcPr>
            <w:tcW w:type="dxa" w:w="24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20"/>
                <w:szCs w:val="20"/>
              </w:rPr>
              <w:t xml:space="preserve"/>
            </w:r>
          </w:p>
        </w:tc>
        <w:tc>
          <w:tcPr>
            <w:tcW w:type="dxa" w:w="24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20"/>
                <w:szCs w:val="20"/>
              </w:rPr>
              <w:t xml:space="preserve">R3, R8, R9</w:t>
            </w:r>
          </w:p>
        </w:tc>
        <w:tc>
          <w:tcPr>
            <w:tcW w:type="dxa" w:w="2400"/>
            <w:tcBorders>
              <w:top w:val="single" w:color="A6A6A6" w:sz="4"/>
              <w:left w:val="single" w:color="A6A6A6" w:sz="4"/>
              <w:bottom w:val="single" w:color="A6A6A6" w:sz="4"/>
              <w:right w:val="single" w:color="A6A6A6" w:sz="4"/>
            </w:tcBorders>
            <w:shd w:fill="F4B183"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20"/>
                <w:szCs w:val="20"/>
              </w:rPr>
              <w:t xml:space="preserve">R2, R4, R5, R6</w:t>
            </w:r>
          </w:p>
        </w:tc>
      </w:tr>
      <w:tr>
        <w:trPr>
          <w:trHeight w:val="620" w:hRule="atLeast"/>
        </w:trPr>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Low</w:t>
            </w:r>
          </w:p>
        </w:tc>
        <w:tc>
          <w:tcPr>
            <w:tcW w:type="dxa" w:w="24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20"/>
                <w:szCs w:val="20"/>
              </w:rPr>
              <w:t xml:space="preserve"/>
            </w:r>
          </w:p>
        </w:tc>
        <w:tc>
          <w:tcPr>
            <w:tcW w:type="dxa" w:w="24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20"/>
                <w:szCs w:val="20"/>
              </w:rPr>
              <w:t xml:space="preserve">R12</w:t>
            </w:r>
          </w:p>
        </w:tc>
        <w:tc>
          <w:tcPr>
            <w:tcW w:type="dxa" w:w="24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20"/>
                <w:szCs w:val="20"/>
              </w:rPr>
              <w:t xml:space="preserve">R10, R11</w:t>
            </w:r>
          </w:p>
        </w:tc>
      </w:tr>
    </w:tbl>
    <w:p>
      <w:pPr>
        <w:spacing w:after="80" w:before="160"/>
      </w:pPr>
      <w:r>
        <w:rPr>
          <w:rFonts w:ascii="Arial" w:cs="Arial" w:eastAsia="Arial" w:hAnsi="Arial"/>
          <w:b/>
          <w:bCs/>
          <w:color w:val="1F3864"/>
          <w:sz w:val="22"/>
          <w:szCs w:val="22"/>
        </w:rPr>
        <w:t xml:space="preserve">Residual risk (after planned mitigation)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Likelihood \ Impact</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Low</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Medium</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High</w:t>
            </w:r>
          </w:p>
        </w:tc>
      </w:tr>
      <w:tr>
        <w:trPr>
          <w:trHeight w:val="620" w:hRule="atLeast"/>
        </w:trPr>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High</w:t>
            </w:r>
          </w:p>
        </w:tc>
        <w:tc>
          <w:tcPr>
            <w:tcW w:type="dxa" w:w="24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20"/>
                <w:szCs w:val="20"/>
              </w:rPr>
              <w:t xml:space="preserve"/>
            </w:r>
          </w:p>
        </w:tc>
        <w:tc>
          <w:tcPr>
            <w:tcW w:type="dxa" w:w="2400"/>
            <w:tcBorders>
              <w:top w:val="single" w:color="A6A6A6" w:sz="4"/>
              <w:left w:val="single" w:color="A6A6A6" w:sz="4"/>
              <w:bottom w:val="single" w:color="A6A6A6" w:sz="4"/>
              <w:right w:val="single" w:color="A6A6A6" w:sz="4"/>
            </w:tcBorders>
            <w:shd w:fill="F4B183"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20"/>
                <w:szCs w:val="20"/>
              </w:rPr>
              <w:t xml:space="preserve"/>
            </w:r>
          </w:p>
        </w:tc>
        <w:tc>
          <w:tcPr>
            <w:tcW w:type="dxa" w:w="2400"/>
            <w:tcBorders>
              <w:top w:val="single" w:color="A6A6A6" w:sz="4"/>
              <w:left w:val="single" w:color="A6A6A6" w:sz="4"/>
              <w:bottom w:val="single" w:color="A6A6A6" w:sz="4"/>
              <w:right w:val="single" w:color="A6A6A6" w:sz="4"/>
            </w:tcBorders>
            <w:shd w:fill="C00000"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20"/>
                <w:szCs w:val="20"/>
              </w:rPr>
              <w:t xml:space="preserve"/>
            </w:r>
          </w:p>
        </w:tc>
      </w:tr>
      <w:tr>
        <w:trPr>
          <w:trHeight w:val="620" w:hRule="atLeast"/>
        </w:trPr>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Medium</w:t>
            </w:r>
          </w:p>
        </w:tc>
        <w:tc>
          <w:tcPr>
            <w:tcW w:type="dxa" w:w="24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20"/>
                <w:szCs w:val="20"/>
              </w:rPr>
              <w:t xml:space="preserve">R6</w:t>
            </w:r>
          </w:p>
        </w:tc>
        <w:tc>
          <w:tcPr>
            <w:tcW w:type="dxa" w:w="24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20"/>
                <w:szCs w:val="20"/>
              </w:rPr>
              <w:t xml:space="preserve">R1</w:t>
            </w:r>
          </w:p>
        </w:tc>
        <w:tc>
          <w:tcPr>
            <w:tcW w:type="dxa" w:w="2400"/>
            <w:tcBorders>
              <w:top w:val="single" w:color="A6A6A6" w:sz="4"/>
              <w:left w:val="single" w:color="A6A6A6" w:sz="4"/>
              <w:bottom w:val="single" w:color="A6A6A6" w:sz="4"/>
              <w:right w:val="single" w:color="A6A6A6" w:sz="4"/>
            </w:tcBorders>
            <w:shd w:fill="F4B183"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20"/>
                <w:szCs w:val="20"/>
              </w:rPr>
              <w:t xml:space="preserve"/>
            </w:r>
          </w:p>
        </w:tc>
      </w:tr>
      <w:tr>
        <w:trPr>
          <w:trHeight w:val="620" w:hRule="atLeast"/>
        </w:trPr>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Low</w:t>
            </w:r>
          </w:p>
        </w:tc>
        <w:tc>
          <w:tcPr>
            <w:tcW w:type="dxa" w:w="24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20"/>
                <w:szCs w:val="20"/>
              </w:rPr>
              <w:t xml:space="preserve">R9, R12</w:t>
            </w:r>
          </w:p>
        </w:tc>
        <w:tc>
          <w:tcPr>
            <w:tcW w:type="dxa" w:w="24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20"/>
                <w:szCs w:val="20"/>
              </w:rPr>
              <w:t xml:space="preserve">R3, R4, R5, R7, R8, R10, R11</w:t>
            </w:r>
          </w:p>
        </w:tc>
        <w:tc>
          <w:tcPr>
            <w:tcW w:type="dxa" w:w="24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20"/>
                <w:szCs w:val="20"/>
              </w:rPr>
              <w:t xml:space="preserve">R2</w:t>
            </w:r>
          </w:p>
        </w:tc>
      </w:tr>
    </w:tbl>
    <w:p>
      <w:pPr>
        <w:spacing w:after="80" w:before="160"/>
      </w:pPr>
      <w:r>
        <w:rPr>
          <w:rFonts w:ascii="Arial" w:cs="Arial" w:eastAsia="Arial" w:hAnsi="Arial"/>
          <w:b/>
          <w:bCs/>
          <w:color w:val="1F3864"/>
          <w:sz w:val="22"/>
          <w:szCs w:val="22"/>
        </w:rPr>
        <w:t xml:space="preserve">Number of risks by rating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Rating</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Inherent</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Residual</w:t>
            </w:r>
          </w:p>
        </w:tc>
      </w:tr>
      <w:tr>
        <w:tc>
          <w:tcPr>
            <w:tcW w:type="dxa" w:w="3000"/>
            <w:tcBorders>
              <w:top w:val="single" w:color="A6A6A6" w:sz="4"/>
              <w:left w:val="single" w:color="A6A6A6" w:sz="4"/>
              <w:bottom w:val="single" w:color="A6A6A6" w:sz="4"/>
              <w:right w:val="single" w:color="A6A6A6" w:sz="4"/>
            </w:tcBorders>
            <w:shd w:fill="C00000"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8"/>
                <w:szCs w:val="18"/>
              </w:rPr>
              <w:t xml:space="preserve">Critical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0</w:t>
            </w:r>
          </w:p>
        </w:tc>
      </w:tr>
      <w:tr>
        <w:tc>
          <w:tcPr>
            <w:tcW w:type="dxa" w:w="3000"/>
            <w:tcBorders>
              <w:top w:val="single" w:color="A6A6A6" w:sz="4"/>
              <w:left w:val="single" w:color="A6A6A6" w:sz="4"/>
              <w:bottom w:val="single" w:color="A6A6A6" w:sz="4"/>
              <w:right w:val="single" w:color="A6A6A6" w:sz="4"/>
            </w:tcBorders>
            <w:shd w:fill="F4B183"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High</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0</w:t>
            </w:r>
          </w:p>
        </w:tc>
      </w:tr>
      <w:tr>
        <w:tc>
          <w:tcPr>
            <w:tcW w:type="dxa" w:w="30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Medium</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2</w:t>
            </w:r>
          </w:p>
        </w:tc>
      </w:tr>
      <w:tr>
        <w:tc>
          <w:tcPr>
            <w:tcW w:type="dxa" w:w="3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8"/>
                <w:szCs w:val="18"/>
              </w:rPr>
              <w:t xml:space="preserve">Low</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after="0"/>
              <w:jc w:val="center"/>
            </w:pPr>
            <w:r>
              <w:rPr>
                <w:rFonts w:ascii="Arial" w:cs="Arial" w:eastAsia="Arial" w:hAnsi="Arial"/>
                <w:sz w:val="18"/>
                <w:szCs w:val="18"/>
              </w:rPr>
              <w:t xml:space="preserve">10</w:t>
            </w:r>
          </w:p>
        </w:tc>
      </w:tr>
    </w:tbl>
    <w:p>
      <w:pPr>
        <w:pStyle w:val="Heading2"/>
        <w:spacing w:after="120" w:before="240"/>
      </w:pPr>
      <w:r>
        <w:rPr>
          <w:rFonts w:ascii="Arial" w:cs="Arial" w:eastAsia="Arial" w:hAnsi="Arial"/>
          <w:b/>
          <w:bCs/>
          <w:color w:val="1F3864"/>
          <w:sz w:val="26"/>
          <w:szCs w:val="26"/>
        </w:rPr>
        <w:t xml:space="preserve">12.5 Key Findings</w:t>
      </w:r>
    </w:p>
    <w:p>
      <w:pPr>
        <w:pStyle w:val="ListParagraph"/>
        <w:numPr>
          <w:ilvl w:val="0"/>
          <w:numId w:val="2"/>
        </w:numPr>
        <w:spacing w:after="80"/>
      </w:pPr>
      <w:r>
        <w:rPr>
          <w:rFonts w:ascii="Arial" w:cs="Arial" w:eastAsia="Arial" w:hAnsi="Arial"/>
          <w:b/>
          <w:bCs/>
          <w:sz w:val="20"/>
          <w:szCs w:val="20"/>
        </w:rPr>
        <w:t xml:space="preserve">Phishing is the top priority.</w:t>
      </w:r>
      <w:r>
        <w:rPr>
          <w:rFonts w:ascii="Arial" w:cs="Arial" w:eastAsia="Arial" w:hAnsi="Arial"/>
          <w:sz w:val="20"/>
          <w:szCs w:val="20"/>
        </w:rPr>
        <w:t xml:space="preserve"> Phishing (R1) is the only Critical risk before mitigation, because staff email is the most likely entry point and a compromised account can expose Finance and HR data. Awareness training (Security Awareness Training Outline), email filtering and MFA reduce it to Medium.</w:t>
      </w:r>
    </w:p>
    <w:p>
      <w:pPr>
        <w:pStyle w:val="ListParagraph"/>
        <w:numPr>
          <w:ilvl w:val="0"/>
          <w:numId w:val="2"/>
        </w:numPr>
        <w:spacing w:after="80"/>
      </w:pPr>
      <w:r>
        <w:rPr>
          <w:rFonts w:ascii="Arial" w:cs="Arial" w:eastAsia="Arial" w:hAnsi="Arial"/>
          <w:b/>
          <w:bCs/>
          <w:sz w:val="20"/>
          <w:szCs w:val="20"/>
        </w:rPr>
        <w:t xml:space="preserve">Five High risks share common controls.</w:t>
      </w:r>
      <w:r>
        <w:rPr>
          <w:rFonts w:ascii="Arial" w:cs="Arial" w:eastAsia="Arial" w:hAnsi="Arial"/>
          <w:sz w:val="20"/>
          <w:szCs w:val="20"/>
        </w:rPr>
        <w:t xml:space="preserve"> Ransomware, power loss, weak passwords, lost laptops and unpatched software are all rated High. They share a small set of core controls: MFA, encryption, tested offsite backups, UPS protection and scheduled patching.</w:t>
      </w:r>
    </w:p>
    <w:p>
      <w:pPr>
        <w:pStyle w:val="ListParagraph"/>
        <w:numPr>
          <w:ilvl w:val="0"/>
          <w:numId w:val="2"/>
        </w:numPr>
        <w:spacing w:after="80"/>
      </w:pPr>
      <w:r>
        <w:rPr>
          <w:rFonts w:ascii="Arial" w:cs="Arial" w:eastAsia="Arial" w:hAnsi="Arial"/>
          <w:b/>
          <w:bCs/>
          <w:sz w:val="20"/>
          <w:szCs w:val="20"/>
        </w:rPr>
        <w:t xml:space="preserve">Power is a local risk.</w:t>
      </w:r>
      <w:r>
        <w:rPr>
          <w:rFonts w:ascii="Arial" w:cs="Arial" w:eastAsia="Arial" w:hAnsi="Arial"/>
          <w:sz w:val="20"/>
          <w:szCs w:val="20"/>
        </w:rPr>
        <w:t xml:space="preserve"> Load shedding is a realistic local threat. The two 1500VA UPS units protect the router, switch and NAS through short outages; if outages are long or frequent, an inverter or generator should be considered.</w:t>
      </w:r>
    </w:p>
    <w:p>
      <w:pPr>
        <w:pStyle w:val="ListParagraph"/>
        <w:numPr>
          <w:ilvl w:val="0"/>
          <w:numId w:val="2"/>
        </w:numPr>
        <w:spacing w:after="80"/>
      </w:pPr>
      <w:r>
        <w:rPr>
          <w:rFonts w:ascii="Arial" w:cs="Arial" w:eastAsia="Arial" w:hAnsi="Arial"/>
          <w:b/>
          <w:bCs/>
          <w:sz w:val="20"/>
          <w:szCs w:val="20"/>
        </w:rPr>
        <w:t xml:space="preserve">POPIA applies.</w:t>
      </w:r>
      <w:r>
        <w:rPr>
          <w:rFonts w:ascii="Arial" w:cs="Arial" w:eastAsia="Arial" w:hAnsi="Arial"/>
          <w:sz w:val="20"/>
          <w:szCs w:val="20"/>
        </w:rPr>
        <w:t xml:space="preserve"> Because the company holds employee and financial records, a breach could trigger POPIA notification duties. Restricted HR and Finance folders, encryption and the Incident Response Plan support compliance.</w:t>
      </w:r>
    </w:p>
    <w:p>
      <w:pPr>
        <w:pStyle w:val="ListParagraph"/>
        <w:numPr>
          <w:ilvl w:val="0"/>
          <w:numId w:val="2"/>
        </w:numPr>
        <w:spacing w:after="80"/>
      </w:pPr>
      <w:r>
        <w:rPr>
          <w:rFonts w:ascii="Arial" w:cs="Arial" w:eastAsia="Arial" w:hAnsi="Arial"/>
          <w:b/>
          <w:bCs/>
          <w:sz w:val="20"/>
          <w:szCs w:val="20"/>
        </w:rPr>
        <w:t xml:space="preserve">Residual risk.</w:t>
      </w:r>
      <w:r>
        <w:rPr>
          <w:rFonts w:ascii="Arial" w:cs="Arial" w:eastAsia="Arial" w:hAnsi="Arial"/>
          <w:sz w:val="20"/>
          <w:szCs w:val="20"/>
        </w:rPr>
        <w:t xml:space="preserve"> After mitigation no risk remains Critical or High. Phishing (R1) and ransomware (R2) stay at Medium because their potential impact cannot be fully removed, so they should be monitored closely.</w:t>
      </w:r>
    </w:p>
    <w:p>
      <w:pPr>
        <w:pStyle w:val="Heading2"/>
        <w:spacing w:after="120" w:before="240"/>
      </w:pPr>
      <w:r>
        <w:rPr>
          <w:rFonts w:ascii="Arial" w:cs="Arial" w:eastAsia="Arial" w:hAnsi="Arial"/>
          <w:b/>
          <w:bCs/>
          <w:color w:val="1F3864"/>
          <w:sz w:val="26"/>
          <w:szCs w:val="26"/>
        </w:rPr>
        <w:t xml:space="preserve">12.6 Review and Ownership</w:t>
      </w:r>
    </w:p>
    <w:p>
      <w:pPr>
        <w:spacing w:after="120" w:before="0"/>
      </w:pPr>
      <w:r>
        <w:rPr>
          <w:rFonts w:ascii="Arial" w:cs="Arial" w:eastAsia="Arial" w:hAnsi="Arial"/>
          <w:sz w:val="20"/>
          <w:szCs w:val="20"/>
        </w:rPr>
        <w:t xml:space="preserve">The register should be reviewed at least every six months, and after any security incident, major change to the network, or change in staffing. Each risk has a named owner who confirms its mitigations are in place. The companion workbook (Risk_Assessment_Matrix.xlsx) recalculates scores and heat maps when values change.</w:t>
      </w:r>
    </w:p>
    <w:sectPr>
      <w:type w:val="nextPage"/>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2"/>
      <w:szCs w:val="32"/>
    </w:rPr>
  </w:style>
  <w:style w:type="paragraph" w:styleId="Heading2">
    <w:name w:val="Heading 2"/>
    <w:basedOn w:val="Normal"/>
    <w:next w:val="Normal"/>
    <w:qFormat/>
    <w:pPr>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2026-09-28T09:21:30.270Z</dcterms:created>
  <dcterms:modified xsi:type="dcterms:W3CDTF">2026-09-28T09:21:30.270Z</dcterms:modified>
</cp:coreProperties>
</file>

<file path=docProps/custom.xml><?xml version="1.0" encoding="utf-8"?>
<Properties xmlns="http://schemas.openxmlformats.org/officeDocument/2006/custom-properties" xmlns:vt="http://schemas.openxmlformats.org/officeDocument/2006/docPropsVTypes"/>
</file>