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9" w:name="content"/>
    <w:bookmarkStart w:id="108" w:name="X4aecaea040f120d0a8839a61f36950810bd393c"/>
    <w:p>
      <w:pPr>
        <w:pStyle w:val="Heading1"/>
      </w:pPr>
      <w:r>
        <w:t xml:space="preserve">AI-Agenten für Modellabfrage und Modelländerung in Design-, Prozess- und Low-Code-Tools</w:t>
      </w:r>
    </w:p>
    <w:bookmarkStart w:id="3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Der Stand der Technik hat sich 2024–2026 spürbar von „Chatbots</w:t>
      </w:r>
      <w:r>
        <w:t xml:space="preserve"> </w:t>
      </w:r>
      <w:r>
        <w:rPr>
          <w:i/>
          <w:iCs/>
        </w:rPr>
        <w:t xml:space="preserve">über</w:t>
      </w:r>
      <w:r>
        <w:t xml:space="preserve"> </w:t>
      </w:r>
      <w:r>
        <w:t xml:space="preserve">Modelle“ hin zu „Agenten</w:t>
      </w:r>
      <w:r>
        <w:t xml:space="preserve"> </w:t>
      </w:r>
      <w:r>
        <w:rPr>
          <w:i/>
          <w:iCs/>
        </w:rPr>
        <w:t xml:space="preserve">mit Werkzeugzugriff</w:t>
      </w:r>
      <w:r>
        <w:t xml:space="preserve"> </w:t>
      </w:r>
      <w:r>
        <w:t xml:space="preserve">auf Modelle“ verschoben. Der wichtigste Trend ist dabei die Standardisierung/Produktisierung von Tool-Zugriffen über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: Figma stellt einen</w:t>
      </w:r>
      <w:r>
        <w:t xml:space="preserve"> </w:t>
      </w:r>
      <w:r>
        <w:rPr>
          <w:b/>
          <w:bCs/>
        </w:rPr>
        <w:t xml:space="preserve">Figma MCP Server</w:t>
      </w:r>
      <w:r>
        <w:t xml:space="preserve"> </w:t>
      </w:r>
      <w:r>
        <w:t xml:space="preserve">bereit (remote und desktop), der strukturierte Design‑Kontexte, Metadaten und ausgewählte Schreiboperationen (z. B. Code‑Connect‑Mappings, Diagramm‑Generierung) als Tools anbietet.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Parallel dazu wird MCP in Agent‑Plattformen „first class“ (z. B. in OpenAI</w:t>
      </w:r>
      <w:hyperlink r:id="rId22">
        <w:r>
          <w:rPr>
            <w:rStyle w:val="Hyperlink"/>
          </w:rPr>
          <w:t xml:space="preserve">[2]</w:t>
        </w:r>
      </w:hyperlink>
      <w:r>
        <w:t xml:space="preserve">‑Dokumentation: „Connectors and MCP servers“; tool calling und Agent‑SDK‑Traces).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Für</w:t>
      </w:r>
      <w:r>
        <w:t xml:space="preserve"> </w:t>
      </w:r>
      <w:r>
        <w:rPr>
          <w:b/>
          <w:bCs/>
        </w:rPr>
        <w:t xml:space="preserve">modellbasierte Low‑Code‑Plattformen</w:t>
      </w:r>
      <w:r>
        <w:t xml:space="preserve"> </w:t>
      </w:r>
      <w:r>
        <w:t xml:space="preserve">ist besonders relevant, dass mehrere Anbieter inzwischen</w:t>
      </w:r>
      <w:r>
        <w:t xml:space="preserve"> </w:t>
      </w:r>
      <w:r>
        <w:rPr>
          <w:b/>
          <w:bCs/>
        </w:rPr>
        <w:t xml:space="preserve">programmatische Schreibpfade</w:t>
      </w:r>
      <w:r>
        <w:t xml:space="preserve"> </w:t>
      </w:r>
      <w:r>
        <w:t xml:space="preserve">in ihre Modell‑Stacks bringen:</w:t>
      </w:r>
      <w:r>
        <w:br/>
      </w:r>
      <w:r>
        <w:t xml:space="preserve"> </w:t>
      </w:r>
      <w:r>
        <w:rPr>
          <w:i/>
          <w:iCs/>
        </w:rPr>
        <w:t xml:space="preserve">Mendix</w:t>
      </w:r>
      <w:r>
        <w:t xml:space="preserve"> </w:t>
      </w:r>
      <w:r>
        <w:rPr>
          <w:i/>
          <w:iCs/>
        </w:rPr>
        <w:t xml:space="preserve">bietet mit Platform+Model SDKs explizit „Read/Write“ auf Metamodel‑Elemente, inklusive Working Copies und Commit ins Repository – mit dem klaren Hinweis, dass man Modelle auch invalid machen kann.</w:t>
      </w:r>
      <w:r>
        <w:rPr>
          <w:i/>
          <w:iCs/>
        </w:rPr>
        <w:t xml:space="preserve"> </w:t>
      </w:r>
      <w:hyperlink r:id="rId24">
        <w:r>
          <w:rPr>
            <w:rStyle w:val="Hyperlink"/>
            <w:i/>
            <w:iCs/>
          </w:rPr>
          <w:t xml:space="preserve">[4]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Zusätzlich integriert Mendix „Maia Make“ als In‑IDE‑AI und erwähnt ausdrücklich einen</w:t>
      </w:r>
      <w:r>
        <w:t xml:space="preserve"> </w:t>
      </w:r>
      <w:r>
        <w:rPr>
          <w:i/>
          <w:iCs/>
        </w:rPr>
        <w:t xml:space="preserve">MCP Client, der Maia mit beliebigen MCP‑Servern verbinden kann.</w:t>
      </w:r>
      <w:r>
        <w:rPr>
          <w:i/>
          <w:iCs/>
        </w:rPr>
        <w:t xml:space="preserve"> </w:t>
      </w:r>
      <w:hyperlink r:id="rId25">
        <w:r>
          <w:rPr>
            <w:rStyle w:val="Hyperlink"/>
            <w:i/>
            <w:iCs/>
          </w:rPr>
          <w:t xml:space="preserve">[5]</w:t>
        </w:r>
      </w:hyperlink>
      <w:r>
        <w:br/>
      </w:r>
      <w:r>
        <w:t xml:space="preserve"> </w:t>
      </w:r>
      <w:r>
        <w:rPr>
          <w:b/>
          <w:bCs/>
        </w:rPr>
        <w:t xml:space="preserve">Salesforce</w:t>
      </w:r>
      <w:r>
        <w:t xml:space="preserve"> </w:t>
      </w:r>
      <w:r>
        <w:t xml:space="preserve">behandelt Agenten selbst als</w:t>
      </w:r>
      <w:r>
        <w:t xml:space="preserve"> </w:t>
      </w:r>
      <w:r>
        <w:rPr>
          <w:b/>
          <w:bCs/>
        </w:rPr>
        <w:t xml:space="preserve">Metadata‑Komposition</w:t>
      </w:r>
      <w:r>
        <w:t xml:space="preserve"> </w:t>
      </w:r>
      <w:r>
        <w:t xml:space="preserve">(AiAuthoringBundle, Bot/BotVersion, GenAiPlannerBundle, GenAiFunction …) und liefert mit</w:t>
      </w:r>
      <w:r>
        <w:t xml:space="preserve"> </w:t>
      </w:r>
      <w:r>
        <w:rPr>
          <w:b/>
          <w:bCs/>
        </w:rPr>
        <w:t xml:space="preserve">Agentforce DX</w:t>
      </w:r>
      <w:r>
        <w:t xml:space="preserve"> </w:t>
      </w:r>
      <w:r>
        <w:t xml:space="preserve">CLI/VS‑Code‑Workflows (Agent Spec YAML, Aktivieren/Deaktivieren).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 </w:t>
      </w:r>
      <w:r>
        <w:rPr>
          <w:i/>
          <w:iCs/>
        </w:rPr>
        <w:t xml:space="preserve">Camunda</w:t>
      </w:r>
      <w:r>
        <w:t xml:space="preserve"> </w:t>
      </w:r>
      <w:r>
        <w:rPr>
          <w:i/>
          <w:iCs/>
        </w:rPr>
        <w:t xml:space="preserve">bietet für Modell‑Artefakte (BPMN/DMN/Forms) eine</w:t>
      </w:r>
      <w:r>
        <w:t xml:space="preserve"> </w:t>
      </w:r>
      <w:r>
        <w:rPr>
          <w:i/>
          <w:iCs/>
        </w:rPr>
        <w:t xml:space="preserve">Web Modeler REST API</w:t>
      </w:r>
      <w:r>
        <w:t xml:space="preserve"> </w:t>
      </w:r>
      <w:r>
        <w:rPr>
          <w:i/>
          <w:iCs/>
        </w:rPr>
        <w:t xml:space="preserve">(JWT, Rate Limit in SaaS) sowie „Play mode“ zur Validierung innerhalb des Modelers; gleichzeitig wird „zbctl“ als offizieller CLI‑Pfad ab 8.6 faktisch zurückgestuft zugunsten eines vereinheitlichten REST‑API‑Pfads.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[7]</w:t>
        </w:r>
      </w:hyperlink>
      <w:r>
        <w:br/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ergänzt neben MCP auch REST‑Schreibendpunkte für Teilmodelle wie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(bulk create/update/delete in definierter Reihenfolge) und</w:t>
      </w:r>
      <w:r>
        <w:t xml:space="preserve"> </w:t>
      </w:r>
      <w:r>
        <w:rPr>
          <w:b/>
          <w:bCs/>
        </w:rPr>
        <w:t xml:space="preserve">Dev Resources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Für eure A12‑Plattform (modellbasierte App‑Entwicklung) lassen sich daraus drei robuste Architektur‑Optionen ableiten: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Transaktionales „Model Command Gateway“ als MCP‑Server</w:t>
      </w:r>
      <w:r>
        <w:t xml:space="preserve"> </w:t>
      </w:r>
      <w:r>
        <w:t xml:space="preserve">(tool‑basiert, typed, diff/preview, policy‑gesteuert),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GitOps‑/PR‑Workflow „Model as Code“</w:t>
      </w:r>
      <w:r>
        <w:t xml:space="preserve"> </w:t>
      </w:r>
      <w:r>
        <w:t xml:space="preserve">(Agent arbeitet in Branches, CI validiert, Merge als Gate),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In‑Modeler Copilot/Plugin</w:t>
      </w:r>
      <w:r>
        <w:t xml:space="preserve"> </w:t>
      </w:r>
      <w:r>
        <w:t xml:space="preserve">(Agent nahe an GUI‑Semantik, aber serverseitig abgesichert). (Details inkl. Sequenzdiagrammen weiter unten.)</w:t>
      </w:r>
    </w:p>
    <w:p>
      <w:pPr>
        <w:pStyle w:val="BodyText"/>
      </w:pPr>
      <w:r>
        <w:t xml:space="preserve">Die Kern‑Trade‑offs sind:</w:t>
      </w:r>
      <w:r>
        <w:t xml:space="preserve"> </w:t>
      </w:r>
      <w:r>
        <w:rPr>
          <w:b/>
          <w:bCs/>
        </w:rPr>
        <w:t xml:space="preserve">Latenz vs. Kontrollierbarkeit</w:t>
      </w:r>
      <w:r>
        <w:t xml:space="preserve">,</w:t>
      </w:r>
      <w:r>
        <w:t xml:space="preserve"> </w:t>
      </w:r>
      <w:r>
        <w:rPr>
          <w:b/>
          <w:bCs/>
        </w:rPr>
        <w:t xml:space="preserve">freie Modellmanipulation vs. Garantien/Validität</w:t>
      </w:r>
      <w:r>
        <w:t xml:space="preserve">,</w:t>
      </w:r>
      <w:r>
        <w:t xml:space="preserve"> </w:t>
      </w:r>
      <w:r>
        <w:rPr>
          <w:b/>
          <w:bCs/>
        </w:rPr>
        <w:t xml:space="preserve">GUI‑Produktivität vs. Merge‑/Audit‑Qualität</w:t>
      </w:r>
      <w:r>
        <w:t xml:space="preserve">. Forschung zu grafischen vs. textuellen Repräsentationen zeigt konsistent, dass grafische Artefakte in Kommunikation/Recall Vorteile haben können, während die Effekte kontextabhängig bleiben; konkrete Experimente berichten signifikante Unterschiede je nach Aufgabe/Notation.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bookmarkEnd w:id="30"/>
    <w:bookmarkStart w:id="42" w:name="markt--und-technologiestand"/>
    <w:p>
      <w:pPr>
        <w:pStyle w:val="Heading2"/>
      </w:pPr>
      <w:r>
        <w:t xml:space="preserve">Markt- und Technologiestand</w:t>
      </w:r>
    </w:p>
    <w:bookmarkStart w:id="33" w:name="design-ui-modellierung"/>
    <w:p>
      <w:pPr>
        <w:pStyle w:val="Heading3"/>
      </w:pPr>
      <w:r>
        <w:t xml:space="preserve">Design-/UI-Modellierung</w:t>
      </w:r>
    </w:p>
    <w:p>
      <w:pPr>
        <w:pStyle w:val="FirstParagraph"/>
      </w:pPr>
      <w:r>
        <w:rPr>
          <w:b/>
          <w:bCs/>
        </w:rPr>
        <w:t xml:space="preserve">Figma MCP Server (beta → produktisiert, remote/desktop):</w:t>
      </w:r>
      <w:r>
        <w:t xml:space="preserve"> </w:t>
      </w:r>
      <w:r>
        <w:t xml:space="preserve">Der Server stellt Tools bereit, um Design‑Kontext (Layer/Selection), Variablen/Styles, Metadaten, Screenshots sowie FigJam‑XML/Diagramm‑Generierung bereitzustellen; zudem existieren Schreib‑Tools wie</w:t>
      </w:r>
      <w:r>
        <w:t xml:space="preserve"> </w:t>
      </w:r>
      <w:r>
        <w:rPr>
          <w:rStyle w:val="VerbatimChar"/>
        </w:rPr>
        <w:t xml:space="preserve">add_code_connect_map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generate_diagram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Der remote Server ist als gehosteter Endpoint nutzbar (in Figma‑Doku wird explizit ein MCP‑Endpoint genannt), und Figma beschreibt „Skills“ als agent‑seitige Anleitungen zur Tool‑Sequenzierung.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REST/Plugin als zweiter Pfad:</w:t>
      </w:r>
      <w:r>
        <w:t xml:space="preserve"> </w:t>
      </w:r>
      <w:r>
        <w:t xml:space="preserve">Der Figma REST‑Stack unterstützt nicht nur Lesen, sondern für bestimmte Modellteile auch Schreiben (u. a. Variables bulk POST; Dev Resources CRUD; Comments POST/DELETE; Webhooks).</w:t>
      </w:r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Figma liefert außerdem Version‑History Endpoints (GET versions) und Typen, die explizit „view, track and restore previous versions“ beschreiben – relevant für Rollback/Provenienz.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</w:p>
    <w:bookmarkEnd w:id="33"/>
    <w:bookmarkStart w:id="37" w:name="prozessmodellierung-und-orchestrierung"/>
    <w:p>
      <w:pPr>
        <w:pStyle w:val="Heading3"/>
      </w:pPr>
      <w:r>
        <w:t xml:space="preserve">Prozessmodellierung und Orchestrierung</w:t>
      </w:r>
    </w:p>
    <w:p>
      <w:pPr>
        <w:pStyle w:val="FirstParagraph"/>
      </w:pPr>
      <w:r>
        <w:rPr>
          <w:b/>
          <w:bCs/>
        </w:rPr>
        <w:t xml:space="preserve">Camunda Web Modeler API (REST):</w:t>
      </w:r>
      <w:r>
        <w:t xml:space="preserve"> </w:t>
      </w:r>
      <w:r>
        <w:t xml:space="preserve">Camunda dokumentiert eine Web Modeler REST API (</w:t>
      </w:r>
      <w:r>
        <w:rPr>
          <w:rStyle w:val="VerbatimChar"/>
        </w:rPr>
        <w:t xml:space="preserve">/api/*</w:t>
      </w:r>
      <w:r>
        <w:t xml:space="preserve">) mit JWT‑Auth, OpenAPI/Swagger und klarer SaaS‑Rate‑Limitierung (240 req/min). Wichtig: In den Usage Notes wird betont, dass das Löschen über API</w:t>
      </w:r>
      <w:r>
        <w:t xml:space="preserve"> </w:t>
      </w:r>
      <w:r>
        <w:rPr>
          <w:b/>
          <w:bCs/>
        </w:rPr>
        <w:t xml:space="preserve">nicht rückgängig</w:t>
      </w:r>
      <w:r>
        <w:t xml:space="preserve"> </w:t>
      </w:r>
      <w:r>
        <w:t xml:space="preserve">gemacht werden kann („deletion cannot be undone“) – das ist ein zentraler Unterschied zu Repository‑basierten Workflows.</w:t>
      </w:r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Validierung/Simulation in der Modellierungsumgebung:</w:t>
      </w:r>
      <w:r>
        <w:t xml:space="preserve"> </w:t>
      </w:r>
      <w:r>
        <w:t xml:space="preserve">„Play mode“ ist ein „Zeebe‑powered playground“ in Web Modeler, um Prozesse „at any stage“ zu validieren und zu debuggen.</w:t>
      </w:r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CLI und Shift Richtung REST:</w:t>
      </w:r>
      <w:r>
        <w:t xml:space="preserve"> </w:t>
      </w:r>
      <w:r>
        <w:rPr>
          <w:rStyle w:val="VerbatimChar"/>
        </w:rPr>
        <w:t xml:space="preserve">zbctl</w:t>
      </w:r>
      <w:r>
        <w:t xml:space="preserve"> </w:t>
      </w:r>
      <w:r>
        <w:t xml:space="preserve">existiert als CLI‑Tool für Deploy/Jobs/Status, wird aber ab Camunda 8.6 nicht mehr als offiziell weiterentwickelter Feature‑Carrier positioniert; Camunda begründet das u. a. mit Fokus auf REST API und OpenAPI/Postman.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AI in der Modellierung:</w:t>
      </w:r>
      <w:r>
        <w:t xml:space="preserve"> </w:t>
      </w:r>
      <w:r>
        <w:t xml:space="preserve">Camunda positioniert „Copilot“ als Hilfe beim Prototyping/Validieren/Verbessern von Prozessmodellen und bei ausführbarer Logik (z. B. FEEL‑Bezug in Preview‑Blogpost).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(Das ist wichtig als Referenz, wie Vendor‑AI in Modeler‑UX eingebettet wird.)</w:t>
      </w:r>
    </w:p>
    <w:bookmarkEnd w:id="37"/>
    <w:bookmarkStart w:id="41" w:name="low-code-plattformen"/>
    <w:p>
      <w:pPr>
        <w:pStyle w:val="Heading3"/>
      </w:pPr>
      <w:r>
        <w:t xml:space="preserve">Low-Code Plattformen</w:t>
      </w:r>
    </w:p>
    <w:p>
      <w:pPr>
        <w:pStyle w:val="FirstParagraph"/>
      </w:pPr>
      <w:r>
        <w:rPr>
          <w:b/>
          <w:bCs/>
        </w:rPr>
        <w:t xml:space="preserve">Salesforce (Modelle als Metadata + AI‑Agenten als Metadata‑Komposition):</w:t>
      </w:r>
      <w:r>
        <w:t xml:space="preserve"> </w:t>
      </w:r>
      <w:r>
        <w:t xml:space="preserve">Agentforce DX beschreibt Agenten als Sammlung aus mehreren Metadata‑Komponenten; AiAuthoringBundle besteht aus einer klassischen Metadata‑XML plus einer</w:t>
      </w:r>
      <w:r>
        <w:t xml:space="preserve"> </w:t>
      </w:r>
      <w:r>
        <w:rPr>
          <w:rStyle w:val="VerbatimChar"/>
        </w:rPr>
        <w:t xml:space="preserve">.agent</w:t>
      </w:r>
      <w:r>
        <w:t xml:space="preserve">‑Quelle in einer „Agent Script language“.</w:t>
      </w:r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Agent Spec Files sind YAML, enthalten Agent‑Eigenschaften und eine LLM‑generierte Topic‑Liste; Iteration erfolgt durch erneutes Generieren mit verfeinerten Beschreibungen.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Für Operations an Agenten ist das Aktivieren/Deaktivieren über VS Code oder CLI dokumentiert (Agent muss für gewisse Funktionen aktiv sein; Änderungen erfordern Deaktivieren).</w:t>
      </w:r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Mendix (explizite Modell‑APIs + In‑IDE AI):</w:t>
      </w:r>
      <w:r>
        <w:t xml:space="preserve"> </w:t>
      </w:r>
      <w:r>
        <w:t xml:space="preserve">Mendix SDKs sind explizit auf „Read“ und „Write“ am App‑Metamodell ausgelegt (Domain Models, Microflows, Pages, Security usw.), mit Warnhinweisen, dass bestimmte Bereiche leicht invalid werden können.</w:t>
      </w:r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Die Platform‑SDK abstrahiert Repository/Working Copies und Commits.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Mendix „Maia“ wird als AI‑Assistenz für schnelleres Modellieren beschrieben, inklusive Zusicherung, dass Maia keine Kundendaten für Training nutzt und auf „off‑the‑shelf“ LLMs basiert.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In Release‑Kommunikation wird „Maia Make“ als Chat‑Interface in Studio Pro beschrieben und explizit um einen</w:t>
      </w:r>
      <w:r>
        <w:t xml:space="preserve"> </w:t>
      </w:r>
      <w:r>
        <w:rPr>
          <w:b/>
          <w:bCs/>
        </w:rPr>
        <w:t xml:space="preserve">MCP Client</w:t>
      </w:r>
      <w:r>
        <w:t xml:space="preserve"> </w:t>
      </w:r>
      <w:r>
        <w:t xml:space="preserve">erweitert („connect Maia to any MCP server …“).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bookmarkEnd w:id="41"/>
    <w:bookmarkEnd w:id="42"/>
    <w:bookmarkStart w:id="61" w:name="X8dd9fb1db06dce0800e6d3fdaa6edb88b081847"/>
    <w:p>
      <w:pPr>
        <w:pStyle w:val="Heading2"/>
      </w:pPr>
      <w:r>
        <w:t xml:space="preserve">Modelloperationen, die AI-Agenten heute praktisch ausführen</w:t>
      </w:r>
    </w:p>
    <w:p>
      <w:pPr>
        <w:pStyle w:val="FirstParagraph"/>
      </w:pPr>
      <w:r>
        <w:t xml:space="preserve">Im Use‑Case „Agent fragt Modelle ab und modifiziert sie“ lohnt eine</w:t>
      </w:r>
      <w:r>
        <w:t xml:space="preserve"> </w:t>
      </w:r>
      <w:r>
        <w:rPr>
          <w:b/>
          <w:bCs/>
        </w:rPr>
        <w:t xml:space="preserve">Operations‑Taxonomie</w:t>
      </w:r>
      <w:r>
        <w:t xml:space="preserve">, weil sich daraus API‑Design, Tool‑Schnittstellen und Transaktions-/Audit‑Mechaniken ableiten lassen.</w:t>
      </w:r>
    </w:p>
    <w:bookmarkStart w:id="52" w:name="operations-set-und-typische-realisierung"/>
    <w:p>
      <w:pPr>
        <w:pStyle w:val="Heading3"/>
      </w:pPr>
      <w:r>
        <w:t xml:space="preserve">Operations-Set und typische Realisierung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Ziel im Modellkontext</w:t>
            </w:r>
          </w:p>
        </w:tc>
        <w:tc>
          <w:tcPr/>
          <w:p>
            <w:pPr>
              <w:pStyle w:val="Compact"/>
            </w:pPr>
            <w:r>
              <w:t xml:space="preserve">Typische technische Umsetzung</w:t>
            </w:r>
          </w:p>
        </w:tc>
        <w:tc>
          <w:tcPr/>
          <w:p>
            <w:pPr>
              <w:pStyle w:val="Compact"/>
            </w:pPr>
            <w:r>
              <w:t xml:space="preserve">Beispiele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/ Query</w:t>
            </w:r>
          </w:p>
        </w:tc>
        <w:tc>
          <w:tcPr/>
          <w:p>
            <w:pPr>
              <w:pStyle w:val="Compact"/>
            </w:pPr>
            <w:r>
              <w:t xml:space="preserve">Navigieren/Filtern (IDs, Knoten, Properties, Referenzen)</w:t>
            </w:r>
          </w:p>
        </w:tc>
        <w:tc>
          <w:tcPr/>
          <w:p>
            <w:pPr>
              <w:pStyle w:val="Compact"/>
            </w:pPr>
            <w:r>
              <w:t xml:space="preserve">REST GET, MCP Tool</w:t>
            </w:r>
            <w:r>
              <w:t xml:space="preserve"> </w:t>
            </w:r>
            <w:r>
              <w:rPr>
                <w:rStyle w:val="VerbatimChar"/>
              </w:rPr>
              <w:t xml:space="preserve">get_*</w:t>
            </w:r>
            <w:r>
              <w:t xml:space="preserve">, SDK Queries, Export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  <w:r>
              <w:t xml:space="preserve"> </w:t>
            </w:r>
            <w:r>
              <w:rPr>
                <w:rStyle w:val="VerbatimChar"/>
              </w:rPr>
              <w:t xml:space="preserve">get_design_context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get_metadata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[24]</w:t>
              </w:r>
            </w:hyperlink>
            <w:r>
              <w:t xml:space="preserve">; Camunda Web Modeler API Read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[25]</w:t>
              </w:r>
            </w:hyperlink>
            <w:r>
              <w:t xml:space="preserve">; Mendix</w:t>
            </w:r>
            <w:r>
              <w:t xml:space="preserve"> </w:t>
            </w:r>
            <w:r>
              <w:rPr>
                <w:rStyle w:val="VerbatimChar"/>
              </w:rPr>
              <w:t xml:space="preserve">openModel()</w:t>
            </w:r>
            <w:r>
              <w:t xml:space="preserve"> </w:t>
            </w:r>
            <w:r>
              <w:t xml:space="preserve">+ Finder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Semantikänderung (z. B. BPMN‑Pattern, Normalisierung, Token‑Renames)</w:t>
            </w:r>
          </w:p>
        </w:tc>
        <w:tc>
          <w:tcPr/>
          <w:p>
            <w:pPr>
              <w:pStyle w:val="Compact"/>
            </w:pPr>
            <w:r>
              <w:t xml:space="preserve">SDK‑Mutation, JSON/XML Patch, „Command“‑API</w:t>
            </w:r>
          </w:p>
        </w:tc>
        <w:tc>
          <w:tcPr/>
          <w:p>
            <w:pPr>
              <w:pStyle w:val="Compact"/>
            </w:pPr>
            <w:r>
              <w:t xml:space="preserve">Figma Variables bulk UPDATE/DELETE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; Mendix Model SDK „write“ auf Metamodel‑Elemente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Konsistenz/Well‑formedness/Policies</w:t>
            </w:r>
          </w:p>
        </w:tc>
        <w:tc>
          <w:tcPr/>
          <w:p>
            <w:pPr>
              <w:pStyle w:val="Compact"/>
            </w:pPr>
            <w:r>
              <w:t xml:space="preserve">Server‑Validator, Linter, Schema‑Checks, „dry‑run“ Deploy</w:t>
            </w:r>
          </w:p>
        </w:tc>
        <w:tc>
          <w:tcPr/>
          <w:p>
            <w:pPr>
              <w:pStyle w:val="Compact"/>
            </w:pPr>
            <w:r>
              <w:t xml:space="preserve">Camunda Play (Validierung im Modeler)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; Zeebe/GRPC: invalid resource Kriterien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Strukturelle Umbauten ohne Funktionsänderung</w:t>
            </w:r>
          </w:p>
        </w:tc>
        <w:tc>
          <w:tcPr/>
          <w:p>
            <w:pPr>
              <w:pStyle w:val="Compact"/>
            </w:pPr>
            <w:r>
              <w:t xml:space="preserve">Graph‑Rewrites + Referenz‑Update</w:t>
            </w:r>
          </w:p>
        </w:tc>
        <w:tc>
          <w:tcPr/>
          <w:p>
            <w:pPr>
              <w:pStyle w:val="Compact"/>
            </w:pPr>
            <w:r>
              <w:t xml:space="preserve">Mendix: möglich, aber Risiko „invalid model“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Generate / Codegen</w:t>
            </w:r>
          </w:p>
        </w:tc>
        <w:tc>
          <w:tcPr/>
          <w:p>
            <w:pPr>
              <w:pStyle w:val="Compact"/>
            </w:pPr>
            <w:r>
              <w:t xml:space="preserve">Code, Konfiguration, Tests, Doku aus Modell</w:t>
            </w:r>
          </w:p>
        </w:tc>
        <w:tc>
          <w:tcPr/>
          <w:p>
            <w:pPr>
              <w:pStyle w:val="Compact"/>
            </w:pPr>
            <w:r>
              <w:t xml:space="preserve">MCP/SDK, Template‑Engines, Build‑Pipelines</w:t>
            </w:r>
          </w:p>
        </w:tc>
        <w:tc>
          <w:tcPr/>
          <w:p>
            <w:pPr>
              <w:pStyle w:val="Compact"/>
            </w:pPr>
            <w:r>
              <w:t xml:space="preserve">Figma MCP: Design‑Kontext → Code‑Workflow;</w:t>
            </w:r>
            <w:r>
              <w:t xml:space="preserve"> </w:t>
            </w:r>
            <w:r>
              <w:rPr>
                <w:rStyle w:val="VerbatimChar"/>
              </w:rPr>
              <w:t xml:space="preserve">create_design_system_rules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[24]</w:t>
              </w:r>
            </w:hyperlink>
            <w:r>
              <w:t xml:space="preserve">; Salesforce Agentforce DX: Spec → Bundles/Metadata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Simulate / Execute</w:t>
            </w:r>
          </w:p>
        </w:tc>
        <w:tc>
          <w:tcPr/>
          <w:p>
            <w:pPr>
              <w:pStyle w:val="Compact"/>
            </w:pPr>
            <w:r>
              <w:t xml:space="preserve">Laufzeit‑Semantik prüfen (Tokens, Datenpfade)</w:t>
            </w:r>
          </w:p>
        </w:tc>
        <w:tc>
          <w:tcPr/>
          <w:p>
            <w:pPr>
              <w:pStyle w:val="Compact"/>
            </w:pPr>
            <w:r>
              <w:t xml:space="preserve">Sandbox‑Runtime, Play/Test Runner</w:t>
            </w:r>
          </w:p>
        </w:tc>
        <w:tc>
          <w:tcPr/>
          <w:p>
            <w:pPr>
              <w:pStyle w:val="Compact"/>
            </w:pPr>
            <w:r>
              <w:t xml:space="preserve">Camunda Play mode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[31]</w:t>
              </w:r>
            </w:hyperlink>
            <w:r>
              <w:t xml:space="preserve">; Salesforce Flow Debugger/Tests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[32]</w:t>
              </w:r>
            </w:hyperlink>
            <w:r>
              <w:t xml:space="preserve">; Mendix Microflow Debugging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Merge / Conflict Resolution</w:t>
            </w:r>
          </w:p>
        </w:tc>
        <w:tc>
          <w:tcPr/>
          <w:p>
            <w:pPr>
              <w:pStyle w:val="Compact"/>
            </w:pPr>
            <w:r>
              <w:t xml:space="preserve">Paralleländerungen konsolidieren</w:t>
            </w:r>
          </w:p>
        </w:tc>
        <w:tc>
          <w:tcPr/>
          <w:p>
            <w:pPr>
              <w:pStyle w:val="Compact"/>
            </w:pPr>
            <w:r>
              <w:t xml:space="preserve">Git merge + domain‑aware merge drivers</w:t>
            </w:r>
          </w:p>
        </w:tc>
        <w:tc>
          <w:tcPr/>
          <w:p>
            <w:pPr>
              <w:pStyle w:val="Compact"/>
            </w:pPr>
            <w:r>
              <w:t xml:space="preserve">Mendix Merge‑Algorithmus +</w:t>
            </w:r>
            <w:r>
              <w:t xml:space="preserve"> </w:t>
            </w:r>
            <w:r>
              <w:rPr>
                <w:rStyle w:val="VerbatimChar"/>
              </w:rPr>
              <w:t xml:space="preserve">mx merge</w:t>
            </w:r>
            <w:r>
              <w:t xml:space="preserve"> </w:t>
            </w:r>
            <w:r>
              <w:t xml:space="preserve">+ #Conflicts Markierung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„Wer/Warum/Wie“ (inkl. Agent‑Kontext)</w:t>
            </w:r>
          </w:p>
        </w:tc>
        <w:tc>
          <w:tcPr/>
          <w:p>
            <w:pPr>
              <w:pStyle w:val="Compact"/>
            </w:pPr>
            <w:r>
              <w:t xml:space="preserve">Audit Logs, Event Streams, Version History</w:t>
            </w:r>
          </w:p>
        </w:tc>
        <w:tc>
          <w:tcPr/>
          <w:p>
            <w:pPr>
              <w:pStyle w:val="Compact"/>
            </w:pPr>
            <w:r>
              <w:t xml:space="preserve">Salesforce Setup Audit Trail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[35]</w:t>
              </w:r>
            </w:hyperlink>
            <w:r>
              <w:t xml:space="preserve">; Figma Discovery API inkl. AI Prompts + Comments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Zurück auf vorherigen Zustand</w:t>
            </w:r>
          </w:p>
        </w:tc>
        <w:tc>
          <w:tcPr/>
          <w:p>
            <w:pPr>
              <w:pStyle w:val="Compact"/>
            </w:pPr>
            <w:r>
              <w:t xml:space="preserve">Version History restore, Git revert, rollbackOnError</w:t>
            </w:r>
          </w:p>
        </w:tc>
        <w:tc>
          <w:tcPr/>
          <w:p>
            <w:pPr>
              <w:pStyle w:val="Compact"/>
            </w:pPr>
            <w:r>
              <w:t xml:space="preserve">Figma Version History „restore“ (Konzept)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[37]</w:t>
              </w:r>
            </w:hyperlink>
            <w:r>
              <w:t xml:space="preserve">; Salesforce</w:t>
            </w:r>
            <w:r>
              <w:t xml:space="preserve"> </w:t>
            </w:r>
            <w:r>
              <w:rPr>
                <w:rStyle w:val="VerbatimChar"/>
              </w:rPr>
              <w:t xml:space="preserve">rollbackOnError</w:t>
            </w:r>
            <w:r>
              <w:t xml:space="preserve"> </w:t>
            </w:r>
            <w:r>
              <w:t xml:space="preserve">in DeployOptions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[38]</w:t>
              </w:r>
            </w:hyperlink>
          </w:p>
        </w:tc>
      </w:tr>
    </w:tbl>
    <w:bookmarkEnd w:id="52"/>
    <w:bookmarkStart w:id="60" w:name="Xb042445f8be085175d1b153d3e1eb15a6a928ba"/>
    <w:p>
      <w:pPr>
        <w:pStyle w:val="Heading3"/>
      </w:pPr>
      <w:r>
        <w:t xml:space="preserve">Konkrete API/SDK/CLI-Beispiele für Query und Modify</w:t>
      </w:r>
    </w:p>
    <w:bookmarkStart w:id="53" w:name="X534c08bec693d0afd9d466ae153bb021ba1779e"/>
    <w:p>
      <w:pPr>
        <w:pStyle w:val="Heading4"/>
      </w:pPr>
      <w:r>
        <w:t xml:space="preserve">Figma: Variables bulk create/update/delete via REST</w:t>
      </w:r>
    </w:p>
    <w:p>
      <w:pPr>
        <w:pStyle w:val="FirstParagraph"/>
      </w:pPr>
      <w:r>
        <w:t xml:space="preserve">Figma dokumentiert</w:t>
      </w:r>
      <w:r>
        <w:t xml:space="preserve"> </w:t>
      </w:r>
      <w:r>
        <w:rPr>
          <w:rStyle w:val="VerbatimChar"/>
        </w:rPr>
        <w:t xml:space="preserve">POST /v1/files/:file_key/variables</w:t>
      </w:r>
      <w:r>
        <w:t xml:space="preserve"> </w:t>
      </w:r>
      <w:r>
        <w:t xml:space="preserve">als Bulk‑Operation, die create/update/delete in definierter Reihenfolge annimmt.</w:t>
      </w:r>
      <w:r>
        <w:t xml:space="preserve"> </w:t>
      </w:r>
      <w:hyperlink r:id="rId28">
        <w:r>
          <w:rPr>
            <w:rStyle w:val="Hyperlink"/>
          </w:rPr>
          <w:t xml:space="preserve">[39]</w:t>
        </w:r>
      </w:hyperlink>
    </w:p>
    <w:p>
      <w:pPr>
        <w:pStyle w:val="SourceCode"/>
      </w:pPr>
      <w:r>
        <w:rPr>
          <w:rStyle w:val="VerbatimChar"/>
        </w:rPr>
        <w:t xml:space="preserve"># (Beispiel) Neue Variable Collection anlegen</w:t>
      </w:r>
      <w:r>
        <w:br/>
      </w:r>
      <w:r>
        <w:rPr>
          <w:rStyle w:val="VerbatimChar"/>
        </w:rPr>
        <w:t xml:space="preserve">curl -X POST "https://api.figma.com/v1/files/&lt;FILE_KEY&gt;/variables" \</w:t>
      </w:r>
      <w:r>
        <w:br/>
      </w:r>
      <w:r>
        <w:rPr>
          <w:rStyle w:val="VerbatimChar"/>
        </w:rPr>
        <w:t xml:space="preserve">  -H "Authorization: Bearer $FIGMA_TOKEN"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"variableCollections": [</w:t>
      </w:r>
      <w:r>
        <w:br/>
      </w:r>
      <w:r>
        <w:rPr>
          <w:rStyle w:val="VerbatimChar"/>
        </w:rPr>
        <w:t xml:space="preserve">      { "action": "CREATE", "name": "Example variable collection"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}'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"variableCollections": [</w:t>
      </w:r>
      <w:r>
        <w:br/>
      </w:r>
      <w:r>
        <w:rPr>
          <w:rStyle w:val="VerbatimChar"/>
        </w:rPr>
        <w:t xml:space="preserve">    { "action": "CREATE", "name": "Example variable collection"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"variables":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"action": "CREATE",</w:t>
      </w:r>
      <w:r>
        <w:br/>
      </w:r>
      <w:r>
        <w:rPr>
          <w:rStyle w:val="VerbatimChar"/>
        </w:rPr>
        <w:t xml:space="preserve">      "name": "color.brand.primary",</w:t>
      </w:r>
      <w:r>
        <w:br/>
      </w:r>
      <w:r>
        <w:rPr>
          <w:rStyle w:val="VerbatimChar"/>
        </w:rPr>
        <w:t xml:space="preserve">      "variableCollectionId": "&lt;TEMP_OR_EXISTING_COLLECTION_ID&gt;",</w:t>
      </w:r>
      <w:r>
        <w:br/>
      </w:r>
      <w:r>
        <w:rPr>
          <w:rStyle w:val="VerbatimChar"/>
        </w:rPr>
        <w:t xml:space="preserve">      "resolvedType": "COLOR"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Agentisches Muster:</w:t>
      </w:r>
      <w:r>
        <w:t xml:space="preserve"> </w:t>
      </w:r>
      <w:r>
        <w:t xml:space="preserve">Ein Agent kann zuerst über MCP/REST Variablen enumerieren (</w:t>
      </w:r>
      <w:r>
        <w:rPr>
          <w:rStyle w:val="VerbatimChar"/>
        </w:rPr>
        <w:t xml:space="preserve">GET local variables</w:t>
      </w:r>
      <w:r>
        <w:t xml:space="preserve">) und dann mit einer einzigen Bulk‑Mutation konsistente Token‑Änderungen durchführen (z. B. Rename + Value Change in mehreren Modes), statt hunderte UI‑Clicks.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</w:p>
    <w:bookmarkEnd w:id="53"/>
    <w:bookmarkStart w:id="55" w:name="X5895f0a5f9e9a98c83a0cb64ea442bef358b077"/>
    <w:p>
      <w:pPr>
        <w:pStyle w:val="Heading4"/>
      </w:pPr>
      <w:r>
        <w:t xml:space="preserve">Camunda: BPMN deploy/test über CLI und Play</w:t>
      </w:r>
    </w:p>
    <w:p>
      <w:pPr>
        <w:pStyle w:val="FirstParagraph"/>
      </w:pPr>
      <w:r>
        <w:rPr>
          <w:rStyle w:val="VerbatimChar"/>
        </w:rPr>
        <w:t xml:space="preserve">zbctl</w:t>
      </w:r>
      <w:r>
        <w:t xml:space="preserve"> </w:t>
      </w:r>
      <w:r>
        <w:t xml:space="preserve">ist als CLI dokumentiert für Deploy/Status/Instanzen.</w:t>
      </w:r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Gleichzeitig empfiehlt Camunda strategisch den Shift zur REST‑API;</w:t>
      </w:r>
      <w:r>
        <w:t xml:space="preserve"> </w:t>
      </w:r>
      <w:r>
        <w:rPr>
          <w:rStyle w:val="VerbatimChar"/>
        </w:rPr>
        <w:t xml:space="preserve">zbctl</w:t>
      </w:r>
      <w:r>
        <w:t xml:space="preserve"> </w:t>
      </w:r>
      <w:r>
        <w:t xml:space="preserve">wird ab 8.6 nur community‑maintained weitergeführt.</w:t>
      </w:r>
      <w:r>
        <w:t xml:space="preserve"> </w:t>
      </w:r>
      <w:hyperlink r:id="rId54">
        <w:r>
          <w:rPr>
            <w:rStyle w:val="Hyperlink"/>
          </w:rPr>
          <w:t xml:space="preserve">[42]</w:t>
        </w:r>
      </w:hyperlink>
    </w:p>
    <w:p>
      <w:pPr>
        <w:pStyle w:val="SourceCode"/>
      </w:pPr>
      <w:r>
        <w:rPr>
          <w:rStyle w:val="VerbatimChar"/>
        </w:rPr>
        <w:t xml:space="preserve"># Deploy BPMN</w:t>
      </w:r>
      <w:r>
        <w:br/>
      </w:r>
      <w:r>
        <w:rPr>
          <w:rStyle w:val="VerbatimChar"/>
        </w:rPr>
        <w:t xml:space="preserve">zbctl deploy resource order-process.bpmn</w:t>
      </w:r>
      <w:r>
        <w:br/>
      </w:r>
      <w:r>
        <w:br/>
      </w:r>
      <w:r>
        <w:rPr>
          <w:rStyle w:val="VerbatimChar"/>
        </w:rPr>
        <w:t xml:space="preserve"># (typisch) Cluster Status prüfen</w:t>
      </w:r>
      <w:r>
        <w:br/>
      </w:r>
      <w:r>
        <w:rPr>
          <w:rStyle w:val="VerbatimChar"/>
        </w:rPr>
        <w:t xml:space="preserve">zbctl status</w:t>
      </w:r>
    </w:p>
    <w:p>
      <w:pPr>
        <w:pStyle w:val="FirstParagraph"/>
      </w:pPr>
      <w:r>
        <w:t xml:space="preserve">Für die Validierung in der Modellierungsumgebung existiert „Play mode“ als Sandbox‑Validierung in Web Modeler.</w:t>
      </w:r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i/>
          <w:iCs/>
        </w:rPr>
        <w:t xml:space="preserve">Agentisches Muster:</w:t>
      </w:r>
      <w:r>
        <w:t xml:space="preserve"> </w:t>
      </w:r>
      <w:r>
        <w:t xml:space="preserve">Agent erzeugt/editiert BPMN (XML) → deploy in Dev‑Cluster → startet Testinstanzen → prüft Incidents/Fehler → iteriert. Dass Deploys bei invaliden Ressourcen abgelehnt werden (z. B. broken XML oder semantisch invalid) ist in Zeebe‑API‑Dokumentation für INVALID_ARGUMENT‑Fälle beschrieben.</w:t>
      </w:r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</w:p>
    <w:bookmarkEnd w:id="55"/>
    <w:bookmarkStart w:id="57" w:name="X7897a19b4e6cf2b1e85c55abde6d731469eee2a"/>
    <w:p>
      <w:pPr>
        <w:pStyle w:val="Heading4"/>
      </w:pPr>
      <w:r>
        <w:t xml:space="preserve">Salesforce: Agentforce DX (Agenten) und Flow (Prozess-/Automation-Modelle)</w:t>
      </w:r>
    </w:p>
    <w:p>
      <w:pPr>
        <w:pStyle w:val="FirstParagraph"/>
      </w:pPr>
      <w:r>
        <w:t xml:space="preserve">Agentforce DX behandelt Agenten als versionierbares Source‑Bundle (AiAuthoringBundle +</w:t>
      </w:r>
      <w:r>
        <w:t xml:space="preserve"> </w:t>
      </w:r>
      <w:r>
        <w:rPr>
          <w:rStyle w:val="VerbatimChar"/>
        </w:rPr>
        <w:t xml:space="preserve">.agent</w:t>
      </w:r>
      <w:r>
        <w:t xml:space="preserve">), generiert werden kann ein YAML‑Agent‑Spec, dessen Topics LLM‑generiert sind.</w:t>
      </w:r>
      <w:r>
        <w:t xml:space="preserve"> </w:t>
      </w:r>
      <w:hyperlink r:id="rId26">
        <w:r>
          <w:rPr>
            <w:rStyle w:val="Hyperlink"/>
          </w:rPr>
          <w:t xml:space="preserve">[43]</w:t>
        </w:r>
      </w:hyperlink>
    </w:p>
    <w:p>
      <w:pPr>
        <w:pStyle w:val="SourceCode"/>
      </w:pPr>
      <w:r>
        <w:rPr>
          <w:rStyle w:val="VerbatimChar"/>
        </w:rPr>
        <w:t xml:space="preserve"># (Beispiel) Agent Spec generieren (interaktiv; YAML entsteht in specs/)</w:t>
      </w:r>
      <w:r>
        <w:br/>
      </w:r>
      <w:r>
        <w:rPr>
          <w:rStyle w:val="VerbatimChar"/>
        </w:rPr>
        <w:t xml:space="preserve">sf agent generate agent-spec</w:t>
      </w:r>
      <w:r>
        <w:br/>
      </w:r>
      <w:r>
        <w:br/>
      </w:r>
      <w:r>
        <w:rPr>
          <w:rStyle w:val="VerbatimChar"/>
        </w:rPr>
        <w:t xml:space="preserve"># Agent aktivieren/deaktivieren (für Änderungen i. d. R. deaktivieren)</w:t>
      </w:r>
      <w:r>
        <w:br/>
      </w:r>
      <w:r>
        <w:rPr>
          <w:rStyle w:val="VerbatimChar"/>
        </w:rPr>
        <w:t xml:space="preserve">sf agent deactivate --api-name &lt;AGENT_API_NAME&gt;</w:t>
      </w:r>
      <w:r>
        <w:br/>
      </w:r>
      <w:r>
        <w:rPr>
          <w:rStyle w:val="VerbatimChar"/>
        </w:rPr>
        <w:t xml:space="preserve">sf agent activate   --api-name &lt;AGENT_API_NAME&gt;</w:t>
      </w:r>
    </w:p>
    <w:p>
      <w:pPr>
        <w:pStyle w:val="FirstParagraph"/>
      </w:pPr>
      <w:r>
        <w:t xml:space="preserve">Die Aktivierungs-/Deaktivierungslogik (Änderungen erfordern Deaktivieren) ist in der Agentforce‑DX‑Doku beschrieben.</w:t>
      </w:r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Für Flow‑Modelle ist relevant, dass Flow/FlowDefinition als Metadata existieren, inkl. Versionierungsaspekten (FlowDefinition repräsentiert u. a. aktive Version; Flow‑Type beschreibt Deploy/Retrieve von Versionen).</w:t>
      </w:r>
      <w:r>
        <w:t xml:space="preserve"> </w:t>
      </w:r>
      <w:hyperlink r:id="rId56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i/>
          <w:iCs/>
        </w:rPr>
        <w:t xml:space="preserve">Agentisches Muster:</w:t>
      </w:r>
      <w:r>
        <w:t xml:space="preserve"> </w:t>
      </w:r>
      <w:r>
        <w:t xml:space="preserve">Agent retrieved Flow‑XML (CLI/Metadata API), führt textuelle Transform (z. B. Rename von Ressourcen, Einfügen eines Decision‑Branches), validiert in Sandbox per Flow Debugger/Flow Tests.</w:t>
      </w:r>
      <w:r>
        <w:t xml:space="preserve"> </w:t>
      </w:r>
      <w:hyperlink r:id="rId45">
        <w:r>
          <w:rPr>
            <w:rStyle w:val="Hyperlink"/>
          </w:rPr>
          <w:t xml:space="preserve">[32]</w:t>
        </w:r>
      </w:hyperlink>
    </w:p>
    <w:bookmarkEnd w:id="57"/>
    <w:bookmarkStart w:id="59" w:name="mendix-model-sdk-write-repository-commit"/>
    <w:p>
      <w:pPr>
        <w:pStyle w:val="Heading4"/>
      </w:pPr>
      <w:r>
        <w:t xml:space="preserve">Mendix: Model SDK Write + Repository Commit</w:t>
      </w:r>
    </w:p>
    <w:p>
      <w:pPr>
        <w:pStyle w:val="FirstParagraph"/>
      </w:pPr>
      <w:r>
        <w:t xml:space="preserve">Mendix beschreibt explizit: Working Copy öffnen → Modell mutieren →</w:t>
      </w:r>
      <w:r>
        <w:t xml:space="preserve"> </w:t>
      </w:r>
      <w:r>
        <w:rPr>
          <w:rStyle w:val="VerbatimChar"/>
        </w:rPr>
        <w:t xml:space="preserve">model.flushChanges()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commitToRepository()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[45]</w:t>
        </w:r>
      </w:hyperlink>
    </w:p>
    <w:p>
      <w:pPr>
        <w:pStyle w:val="SourceCode"/>
      </w:pPr>
      <w:r>
        <w:rPr>
          <w:rStyle w:val="VerbatimChar"/>
        </w:rPr>
        <w:t xml:space="preserve">import { domainmodels } from "mendixmodelsdk";</w:t>
      </w:r>
      <w:r>
        <w:br/>
      </w:r>
      <w:r>
        <w:rPr>
          <w:rStyle w:val="VerbatimChar"/>
        </w:rPr>
        <w:t xml:space="preserve">import { MendixPlatformClient } from "mendixplatformsdk";</w:t>
      </w:r>
      <w:r>
        <w:br/>
      </w:r>
      <w:r>
        <w:br/>
      </w:r>
      <w:r>
        <w:rPr>
          <w:rStyle w:val="VerbatimChar"/>
        </w:rPr>
        <w:t xml:space="preserve">async function main() {</w:t>
      </w:r>
      <w:r>
        <w:br/>
      </w:r>
      <w:r>
        <w:rPr>
          <w:rStyle w:val="VerbatimChar"/>
        </w:rPr>
        <w:t xml:space="preserve">  const client = new MendixPlatformClient();</w:t>
      </w:r>
      <w:r>
        <w:br/>
      </w:r>
      <w:r>
        <w:rPr>
          <w:rStyle w:val="VerbatimChar"/>
        </w:rPr>
        <w:t xml:space="preserve">  const app = await client.getApp("&lt;APP_ID&gt;");</w:t>
      </w:r>
      <w:r>
        <w:br/>
      </w:r>
      <w:r>
        <w:rPr>
          <w:rStyle w:val="VerbatimChar"/>
        </w:rPr>
        <w:t xml:space="preserve">  const wc = await app.createTemporaryWorkingCopy("main");</w:t>
      </w:r>
      <w:r>
        <w:br/>
      </w:r>
      <w:r>
        <w:rPr>
          <w:rStyle w:val="VerbatimChar"/>
        </w:rPr>
        <w:t xml:space="preserve">  const model = await wc.openModel();</w:t>
      </w:r>
      <w:r>
        <w:br/>
      </w:r>
      <w:r>
        <w:br/>
      </w:r>
      <w:r>
        <w:rPr>
          <w:rStyle w:val="VerbatimChar"/>
        </w:rPr>
        <w:t xml:space="preserve">  const dmIface = model.allDomainModels().find(dm =&gt; dm.containerAsModule.name === "MyFirstModule");</w:t>
      </w:r>
      <w:r>
        <w:br/>
      </w:r>
      <w:r>
        <w:rPr>
          <w:rStyle w:val="VerbatimChar"/>
        </w:rPr>
        <w:t xml:space="preserve">  const dm = await dmIface!.load();</w:t>
      </w:r>
      <w:r>
        <w:br/>
      </w:r>
      <w:r>
        <w:br/>
      </w:r>
      <w:r>
        <w:rPr>
          <w:rStyle w:val="VerbatimChar"/>
        </w:rPr>
        <w:t xml:space="preserve">  const entity = domainmodels.Entity.createIn(dm);</w:t>
      </w:r>
      <w:r>
        <w:br/>
      </w:r>
      <w:r>
        <w:rPr>
          <w:rStyle w:val="VerbatimChar"/>
        </w:rPr>
        <w:t xml:space="preserve">  entity.name = "Customer";</w:t>
      </w:r>
      <w:r>
        <w:br/>
      </w:r>
      <w:r>
        <w:br/>
      </w:r>
      <w:r>
        <w:rPr>
          <w:rStyle w:val="VerbatimChar"/>
        </w:rPr>
        <w:t xml:space="preserve">  await model.flushChanges();</w:t>
      </w:r>
      <w:r>
        <w:br/>
      </w:r>
      <w:r>
        <w:rPr>
          <w:rStyle w:val="VerbatimChar"/>
        </w:rPr>
        <w:t xml:space="preserve">  await wc.commitToRepository("main", { commitMessage: "Add Customer entity" });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main().catch(console.error);</w:t>
      </w:r>
    </w:p>
    <w:p>
      <w:pPr>
        <w:pStyle w:val="FirstParagraph"/>
      </w:pPr>
      <w:r>
        <w:t xml:space="preserve">Die SDK‑Einführung macht klar, dass dies „full read‑write access“ ist und man Modelle invalid machen kann; Mendix stellt deshalb u. a. Reverse‑Engineering‑Hilfen bereit und dokumentiert Troubleshooting für „invalid format“ nach Model‑SDK‑Edits.</w:t>
      </w:r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</w:p>
    <w:bookmarkEnd w:id="59"/>
    <w:bookmarkEnd w:id="60"/>
    <w:bookmarkEnd w:id="61"/>
    <w:bookmarkStart w:id="75" w:name="X91b46789c3ed5d7ba99a4bc9a869ad0635c970f"/>
    <w:p>
      <w:pPr>
        <w:pStyle w:val="Heading2"/>
      </w:pPr>
      <w:r>
        <w:t xml:space="preserve">Integrationsmuster für Agenten: MCP, APIs, SDKs, CLI/Git und Agent-as-a-Service</w:t>
      </w:r>
    </w:p>
    <w:bookmarkStart w:id="62" w:name="Xed082315366d61fc9171eb3367eb45e8eca7cc8"/>
    <w:p>
      <w:pPr>
        <w:pStyle w:val="Heading3"/>
      </w:pPr>
      <w:r>
        <w:t xml:space="preserve">MCP als „Model-Controller-Proxy“ im Sinne eines Tool-Gateways</w:t>
      </w:r>
    </w:p>
    <w:p>
      <w:pPr>
        <w:pStyle w:val="FirstParagraph"/>
      </w:pPr>
      <w:r>
        <w:rPr>
          <w:b/>
          <w:bCs/>
        </w:rPr>
        <w:t xml:space="preserve">Praktische Beobachtung aus dem Markt:</w:t>
      </w:r>
      <w:r>
        <w:br/>
      </w:r>
      <w:r>
        <w:rPr>
          <w:i/>
          <w:iCs/>
        </w:rPr>
        <w:t xml:space="preserve">Figma liefert MCP als Server‑Produkt (remote/desktop) mit konkreten Tools.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[10]</w:t>
        </w:r>
      </w:hyperlink>
      <w:r>
        <w:br/>
      </w:r>
      <w:r>
        <w:t xml:space="preserve"> </w:t>
      </w:r>
      <w:r>
        <w:t xml:space="preserve">Mendix integriert MCP explizit als Client‑Fähigkeit in „Maia Make“.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* OpenAI dokumentiert MCP‑Server/Connectors als Tools in der Responses‑/Agent‑Toolchain.</w:t>
      </w:r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Warum MCP für Modell‑Systeme attraktiv ist:</w:t>
      </w:r>
      <w:r>
        <w:t xml:space="preserve"> </w:t>
      </w:r>
      <w:r>
        <w:t xml:space="preserve">MCP zwingt (wenn gut implementiert) zu einem</w:t>
      </w:r>
      <w:r>
        <w:t xml:space="preserve"> </w:t>
      </w:r>
      <w:r>
        <w:rPr>
          <w:b/>
          <w:bCs/>
        </w:rPr>
        <w:t xml:space="preserve">Tool‑Katalog</w:t>
      </w:r>
      <w:r>
        <w:t xml:space="preserve"> </w:t>
      </w:r>
      <w:r>
        <w:t xml:space="preserve">mit klaren Inputs/Outputs und kann dadurch ein</w:t>
      </w:r>
      <w:r>
        <w:t xml:space="preserve"> </w:t>
      </w:r>
      <w:r>
        <w:rPr>
          <w:i/>
          <w:iCs/>
        </w:rPr>
        <w:t xml:space="preserve">Policy‑Durchsetzungspunkt</w:t>
      </w:r>
      <w:r>
        <w:t xml:space="preserve"> </w:t>
      </w:r>
      <w:r>
        <w:t xml:space="preserve">werden. Der zentrale Architekturpunkt ist: Das LLM darf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„freies Schreiben“ in eure Modelldatenbank, sondern ruft</w:t>
      </w:r>
      <w:r>
        <w:t xml:space="preserve"> </w:t>
      </w:r>
      <w:r>
        <w:rPr>
          <w:b/>
          <w:bCs/>
        </w:rPr>
        <w:t xml:space="preserve">domänenspezifische Modell‑Commands</w:t>
      </w:r>
      <w:r>
        <w:t xml:space="preserve"> </w:t>
      </w:r>
      <w:r>
        <w:t xml:space="preserve">auf (create entity, rename attribute, move node, …), die serverseitig validieren und auditiert werden.</w:t>
      </w:r>
    </w:p>
    <w:bookmarkEnd w:id="62"/>
    <w:bookmarkStart w:id="63" w:name="Xfd5932d77191e54e9d01ea3c6207feefe465038"/>
    <w:p>
      <w:pPr>
        <w:pStyle w:val="Heading3"/>
      </w:pPr>
      <w:r>
        <w:t xml:space="preserve">REST/GraphQL direkt auf Model-Repositories</w:t>
      </w:r>
    </w:p>
    <w:p>
      <w:pPr>
        <w:pStyle w:val="FirstParagraph"/>
      </w:pPr>
      <w:r>
        <w:t xml:space="preserve">Direkte HTTP‑APIs sind der klassische Weg und in vielen Modell‑Stacks präsent (Figma REST, Camunda Web Modeler API, Salesforce Metadata/Tooling APIs, Mendix Platform APIs).</w:t>
      </w:r>
      <w:r>
        <w:t xml:space="preserve"> </w:t>
      </w:r>
      <w:hyperlink r:id="rId49">
        <w:r>
          <w:rPr>
            <w:rStyle w:val="Hyperlink"/>
          </w:rPr>
          <w:t xml:space="preserve">[48]</w:t>
        </w:r>
      </w:hyperlink>
      <w:r>
        <w:br/>
      </w:r>
      <w:r>
        <w:t xml:space="preserve">Für Agenten ist der kritische Unterschied: Ohne Tool‑Gateways neigen LLMs zu</w:t>
      </w:r>
      <w:r>
        <w:t xml:space="preserve"> </w:t>
      </w:r>
      <w:r>
        <w:rPr>
          <w:b/>
          <w:bCs/>
        </w:rPr>
        <w:t xml:space="preserve">zu granularen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nicht idempotenten</w:t>
      </w:r>
      <w:r>
        <w:t xml:space="preserve"> </w:t>
      </w:r>
      <w:r>
        <w:t xml:space="preserve">Writes (z. B. „PATCH 20 Felder nacheinander“), was Latenz, Rate‑Limits und Konsistenz verschlechtert.</w:t>
      </w:r>
    </w:p>
    <w:bookmarkEnd w:id="63"/>
    <w:bookmarkStart w:id="65" w:name="X978567002090fea659c8c0f96cf2cbeace505b0"/>
    <w:p>
      <w:pPr>
        <w:pStyle w:val="Heading3"/>
      </w:pPr>
      <w:r>
        <w:t xml:space="preserve">Language-specific SDKs als „Typed Mutation Layer“</w:t>
      </w:r>
    </w:p>
    <w:p>
      <w:pPr>
        <w:pStyle w:val="FirstParagraph"/>
      </w:pPr>
      <w:r>
        <w:t xml:space="preserve">Mendix ist hier state‑of‑the‑art: platform+model SDKs bieten type‑sichere Mutation auf Metamodel‑Objekten, inklusive Commit‑Semantik.</w:t>
      </w:r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Auch Camunda stellt TypeScript‑SDKs rund um REST‑APIs bereit (z. B. Orchestration Cluster TS SDK).</w:t>
      </w:r>
      <w:r>
        <w:t xml:space="preserve"> </w:t>
      </w:r>
      <w:hyperlink r:id="rId64">
        <w:r>
          <w:rPr>
            <w:rStyle w:val="Hyperlink"/>
          </w:rPr>
          <w:t xml:space="preserve">[50]</w:t>
        </w:r>
      </w:hyperlink>
      <w:r>
        <w:br/>
      </w:r>
      <w:r>
        <w:t xml:space="preserve">SDKs sind besonders geeignet, wenn ihr</w:t>
      </w:r>
      <w:r>
        <w:t xml:space="preserve"> </w:t>
      </w:r>
      <w:r>
        <w:rPr>
          <w:b/>
          <w:bCs/>
        </w:rPr>
        <w:t xml:space="preserve">komplexe Invarianten</w:t>
      </w:r>
      <w:r>
        <w:t xml:space="preserve"> </w:t>
      </w:r>
      <w:r>
        <w:t xml:space="preserve">habt (Referenzen, IDs, Layout‑Koordinaten, Constraints). Der Agent kann dann</w:t>
      </w:r>
      <w:r>
        <w:t xml:space="preserve"> </w:t>
      </w:r>
      <w:r>
        <w:rPr>
          <w:i/>
          <w:iCs/>
        </w:rPr>
        <w:t xml:space="preserve">Tool‑Call → SDK‑Mutation → Validator → Commit</w:t>
      </w:r>
      <w:r>
        <w:t xml:space="preserve"> </w:t>
      </w:r>
      <w:r>
        <w:t xml:space="preserve">abbilden.</w:t>
      </w:r>
    </w:p>
    <w:bookmarkEnd w:id="65"/>
    <w:bookmarkStart w:id="68" w:name="X6b6a4f791822d0e0b7e84d8104cac0f1fadb060"/>
    <w:p>
      <w:pPr>
        <w:pStyle w:val="Heading3"/>
      </w:pPr>
      <w:r>
        <w:t xml:space="preserve">CLI-basierte Workflows (Terminal-first, agent-friendly)</w:t>
      </w:r>
    </w:p>
    <w:p>
      <w:pPr>
        <w:pStyle w:val="FirstParagraph"/>
      </w:pPr>
      <w:r>
        <w:t xml:space="preserve">CLI ist für agentische Systeme oft der schnellste Integrationspfad, weil „Tool = Kommando“ und Output/Exit Codes gut maschinenlesbar sind. Beispiele:</w:t>
      </w:r>
      <w:r>
        <w:t xml:space="preserve"> </w:t>
      </w:r>
      <w:r>
        <w:t xml:space="preserve">* Camunda:</w:t>
      </w:r>
      <w:r>
        <w:t xml:space="preserve"> </w:t>
      </w:r>
      <w:r>
        <w:rPr>
          <w:rStyle w:val="VerbatimChar"/>
        </w:rPr>
        <w:t xml:space="preserve">zbctl</w:t>
      </w:r>
      <w:r>
        <w:t xml:space="preserve"> </w:t>
      </w:r>
      <w:r>
        <w:t xml:space="preserve">(auch wenn strategisch zurückgefahren).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  <w:r>
        <w:br/>
      </w:r>
      <w:r>
        <w:rPr>
          <w:i/>
          <w:iCs/>
        </w:rPr>
        <w:t xml:space="preserve">Salesforce: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sf</w:t>
      </w:r>
      <w:r>
        <w:rPr>
          <w:i/>
          <w:iCs/>
        </w:rPr>
        <w:t xml:space="preserve">‑CLI und Agentforce‑Plugin (Command Specs sind in Plugin‑Repo dokumentiert).</w:t>
      </w:r>
      <w:r>
        <w:rPr>
          <w:i/>
          <w:iCs/>
        </w:rPr>
        <w:t xml:space="preserve"> </w:t>
      </w:r>
      <w:hyperlink r:id="rId66">
        <w:r>
          <w:rPr>
            <w:rStyle w:val="Hyperlink"/>
            <w:i/>
            <w:iCs/>
          </w:rPr>
          <w:t xml:space="preserve">[51]</w:t>
        </w:r>
      </w:hyperlink>
      <w:r>
        <w:br/>
      </w:r>
      <w:r>
        <w:t xml:space="preserve"> </w:t>
      </w:r>
      <w:r>
        <w:t xml:space="preserve">Mendix:</w:t>
      </w:r>
      <w:r>
        <w:t xml:space="preserve"> </w:t>
      </w:r>
      <w:r>
        <w:rPr>
          <w:rStyle w:val="VerbatimChar"/>
        </w:rPr>
        <w:t xml:space="preserve">mx merge</w:t>
      </w:r>
      <w:r>
        <w:t xml:space="preserve"> </w:t>
      </w:r>
      <w:r>
        <w:t xml:space="preserve">als Merge‑Driver für .mpr, mit definierten Return Codes und anschließender Konfliktlösung in Studio Pro.</w:t>
      </w:r>
      <w:r>
        <w:t xml:space="preserve"> </w:t>
      </w:r>
      <w:hyperlink r:id="rId67">
        <w:r>
          <w:rPr>
            <w:rStyle w:val="Hyperlink"/>
          </w:rPr>
          <w:t xml:space="preserve">[52]</w:t>
        </w:r>
      </w:hyperlink>
    </w:p>
    <w:bookmarkEnd w:id="68"/>
    <w:bookmarkStart w:id="70" w:name="git-basierte-model-as-code-und-gitops"/>
    <w:p>
      <w:pPr>
        <w:pStyle w:val="Heading3"/>
      </w:pPr>
      <w:r>
        <w:t xml:space="preserve">Git-basierte „Model as Code“ und GitOps</w:t>
      </w:r>
    </w:p>
    <w:p>
      <w:pPr>
        <w:pStyle w:val="FirstParagraph"/>
      </w:pPr>
      <w:r>
        <w:t xml:space="preserve">Für deklarative Artefakte (JSON, YAML, BPMN XML, Salesforce metadata XML) ist Git/GitOps ein robustes Pattern, weil es versioniert, reviewbar und auditierbar ist. Als Referenz beschreibt Cloud Native Computing Foundation</w:t>
      </w:r>
      <w:hyperlink r:id="rId25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GitOps‑Prinzipien (declarative, versioned state, automated reconciliation).</w:t>
      </w:r>
      <w:r>
        <w:t xml:space="preserve"> </w:t>
      </w:r>
      <w:hyperlink r:id="rId69">
        <w:r>
          <w:rPr>
            <w:rStyle w:val="Hyperlink"/>
          </w:rPr>
          <w:t xml:space="preserve">[54]</w:t>
        </w:r>
      </w:hyperlink>
      <w:r>
        <w:br/>
      </w:r>
      <w:r>
        <w:t xml:space="preserve">Für proprietäre/binary Modelle (klassisch: Mendix .mpr) braucht ihr domain‑aware merge/diff (siehe Mendix Merge‑Tooling).</w:t>
      </w:r>
      <w:r>
        <w:t xml:space="preserve"> </w:t>
      </w:r>
      <w:hyperlink r:id="rId67">
        <w:r>
          <w:rPr>
            <w:rStyle w:val="Hyperlink"/>
          </w:rPr>
          <w:t xml:space="preserve">[55]</w:t>
        </w:r>
      </w:hyperlink>
    </w:p>
    <w:bookmarkEnd w:id="70"/>
    <w:bookmarkStart w:id="72" w:name="Xf34a051f8aace4b6495e93e139ae8b86d1ca3ce"/>
    <w:p>
      <w:pPr>
        <w:pStyle w:val="Heading3"/>
      </w:pPr>
      <w:r>
        <w:t xml:space="preserve">RAG + Vector DB als „Lesepfad“ für Modellwissen</w:t>
      </w:r>
    </w:p>
    <w:p>
      <w:pPr>
        <w:pStyle w:val="FirstParagraph"/>
      </w:pPr>
      <w:r>
        <w:t xml:space="preserve">RAG ist primär ein</w:t>
      </w:r>
      <w:r>
        <w:t xml:space="preserve"> </w:t>
      </w:r>
      <w:r>
        <w:rPr>
          <w:b/>
          <w:bCs/>
        </w:rPr>
        <w:t xml:space="preserve">Read‑Amplifier</w:t>
      </w:r>
      <w:r>
        <w:t xml:space="preserve">: Modelle/Docs/Logs werden indiziert, Agent holt Kontext nach. Das NeurIPS‑Paper zu Retrieval‑Augmented Generation begründet den Nutzen: Zugriff auf „explicit non‑parametric memory“ verbessert Faktizität/Provenienzfähigkeit gegenüber rein parametrischem Wissen.</w:t>
      </w:r>
      <w:r>
        <w:t xml:space="preserve"> </w:t>
      </w:r>
      <w:hyperlink r:id="rId71">
        <w:r>
          <w:rPr>
            <w:rStyle w:val="Hyperlink"/>
          </w:rPr>
          <w:t xml:space="preserve">[56]</w:t>
        </w:r>
      </w:hyperlink>
      <w:r>
        <w:br/>
      </w:r>
      <w:r>
        <w:t xml:space="preserve">Für Modell‑Artefakte bedeutet das praktisch:</w:t>
      </w:r>
      <w:r>
        <w:br/>
      </w:r>
      <w:r>
        <w:rPr>
          <w:i/>
          <w:iCs/>
        </w:rPr>
        <w:t xml:space="preserve">Serialisierung von Graph‑Strukturen (z. B. „sparse XML“, JSON‑AST, BPMN element inventory),</w:t>
      </w:r>
      <w:r>
        <w:br/>
      </w:r>
      <w:r>
        <w:t xml:space="preserve"> </w:t>
      </w:r>
      <w:r>
        <w:t xml:space="preserve">Chunking nach Subgraphen/Komponenten,</w:t>
      </w:r>
      <w:r>
        <w:br/>
      </w:r>
      <w:r>
        <w:t xml:space="preserve">* Retrieval plus Tool‑Calls, um Änderungen zu planen.</w:t>
      </w:r>
    </w:p>
    <w:bookmarkEnd w:id="72"/>
    <w:bookmarkStart w:id="74" w:name="vergleichstabelle-integrationsmuster"/>
    <w:p>
      <w:pPr>
        <w:pStyle w:val="Heading3"/>
      </w:pPr>
      <w:r>
        <w:t xml:space="preserve">Vergleichstabelle Integrationsmuster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Muster</w:t>
            </w:r>
          </w:p>
        </w:tc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Schwächen/Risiken</w:t>
            </w:r>
          </w:p>
        </w:tc>
        <w:tc>
          <w:tcPr/>
          <w:p>
            <w:pPr>
              <w:pStyle w:val="Compact"/>
            </w:pPr>
            <w:r>
              <w:t xml:space="preserve">Geeignet wenn…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 Gateway</w:t>
            </w:r>
          </w:p>
        </w:tc>
        <w:tc>
          <w:tcPr/>
          <w:p>
            <w:pPr>
              <w:pStyle w:val="Compact"/>
            </w:pPr>
            <w:r>
              <w:t xml:space="preserve">Einheitlicher Tool‑Katalog, gute Policy‑Kontrolle, agent‑kompatibel, weniger Prompt‑Glue‑Code; MCP‑Tools sind in Agent‑Stacks (z. B. OpenAI) explizit vorgesehen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Sicherheits-/Auth‑Komplexität (OAuth, token audience binding), Tool‑Scope Design entscheidend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Ihr einen stabilen, kontrollierten „Model Command“‑Layer wollt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Direkte REST/GraphQL</w:t>
            </w:r>
          </w:p>
        </w:tc>
        <w:tc>
          <w:tcPr/>
          <w:p>
            <w:pPr>
              <w:pStyle w:val="Compact"/>
            </w:pPr>
            <w:r>
              <w:t xml:space="preserve">Einfach, etabliert, vendor‑nativ</w:t>
            </w:r>
          </w:p>
        </w:tc>
        <w:tc>
          <w:tcPr/>
          <w:p>
            <w:pPr>
              <w:pStyle w:val="Compact"/>
            </w:pPr>
            <w:r>
              <w:t xml:space="preserve">Höhere Granularität, Rate‑Limits, schwerere Transaktions-/Audit‑Semantik</w:t>
            </w:r>
          </w:p>
        </w:tc>
        <w:tc>
          <w:tcPr/>
          <w:p>
            <w:pPr>
              <w:pStyle w:val="Compact"/>
            </w:pPr>
            <w:r>
              <w:t xml:space="preserve">Modelländerungen bereits serverseitig transaktional/validierend gekapselt sind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(typed)</w:t>
            </w:r>
          </w:p>
        </w:tc>
        <w:tc>
          <w:tcPr/>
          <w:p>
            <w:pPr>
              <w:pStyle w:val="Compact"/>
            </w:pPr>
            <w:r>
              <w:t xml:space="preserve">Typ-/Invarianten-Sicherheit, bessere Refactorability</w:t>
            </w:r>
          </w:p>
        </w:tc>
        <w:tc>
          <w:tcPr/>
          <w:p>
            <w:pPr>
              <w:pStyle w:val="Compact"/>
            </w:pPr>
            <w:r>
              <w:t xml:space="preserve">SDK‑Upgrades/Versioning, Risiko invalid models bei falscher Nutzung (Mendix warnt explizit)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Metamodell komplex ist und starke Konsistenz nötig 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+ Git Branch/PR</w:t>
            </w:r>
          </w:p>
        </w:tc>
        <w:tc>
          <w:tcPr/>
          <w:p>
            <w:pPr>
              <w:pStyle w:val="Compact"/>
            </w:pPr>
            <w:r>
              <w:t xml:space="preserve">Audit/Review „out of the box“, Rolling back via revert, CI‑Validierung</w:t>
            </w:r>
          </w:p>
        </w:tc>
        <w:tc>
          <w:tcPr/>
          <w:p>
            <w:pPr>
              <w:pStyle w:val="Compact"/>
            </w:pPr>
            <w:r>
              <w:t xml:space="preserve">Für binary/proprietär diff/merge schwierig; CLI‑Pfad kann vendor‑strategisch wechseln (Camunda</w:t>
            </w:r>
            <w:r>
              <w:t xml:space="preserve"> </w:t>
            </w:r>
            <w:r>
              <w:rPr>
                <w:rStyle w:val="VerbatimChar"/>
              </w:rPr>
              <w:t xml:space="preserve">zbctl</w:t>
            </w:r>
            <w:r>
              <w:t xml:space="preserve">)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Ihr „Software‑Engineering‑Governance“ priorisiert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Agent-as-a-Service</w:t>
            </w:r>
          </w:p>
        </w:tc>
        <w:tc>
          <w:tcPr/>
          <w:p>
            <w:pPr>
              <w:pStyle w:val="Compact"/>
            </w:pPr>
            <w:r>
              <w:t xml:space="preserve">Zentralisierte Governance, Observability, Secrets</w:t>
            </w:r>
          </w:p>
        </w:tc>
        <w:tc>
          <w:tcPr/>
          <w:p>
            <w:pPr>
              <w:pStyle w:val="Compact"/>
            </w:pPr>
            <w:r>
              <w:t xml:space="preserve">Mehr Latenz, Multi‑Tenant‑Security, Datenhoheit</w:t>
            </w:r>
          </w:p>
        </w:tc>
        <w:tc>
          <w:tcPr/>
          <w:p>
            <w:pPr>
              <w:pStyle w:val="Compact"/>
            </w:pPr>
            <w:r>
              <w:t xml:space="preserve">Viele Clients/Teams auf denselben Agent‑Service zugreifen sollen</w:t>
            </w:r>
          </w:p>
        </w:tc>
      </w:tr>
    </w:tbl>
    <w:bookmarkEnd w:id="74"/>
    <w:bookmarkEnd w:id="75"/>
    <w:bookmarkStart w:id="85" w:name="X1acc8868e9a94f08ec53d94d1adab606e5e3af5"/>
    <w:p>
      <w:pPr>
        <w:pStyle w:val="Heading2"/>
      </w:pPr>
      <w:r>
        <w:t xml:space="preserve">Bewertung nach Latenz, Sicherheit, Zugriffskontrolle, Transaktionen, Observability und Audit</w:t>
      </w:r>
    </w:p>
    <w:bookmarkStart w:id="78" w:name="latenz-und-skalierung"/>
    <w:p>
      <w:pPr>
        <w:pStyle w:val="Heading3"/>
      </w:pPr>
      <w:r>
        <w:t xml:space="preserve">Latenz und Skalierung</w:t>
      </w:r>
    </w:p>
    <w:p>
      <w:pPr>
        <w:pStyle w:val="FirstParagraph"/>
      </w:pPr>
      <w:r>
        <w:rPr>
          <w:b/>
          <w:bCs/>
        </w:rPr>
        <w:t xml:space="preserve">MCP/Tool‑Gateways</w:t>
      </w:r>
      <w:r>
        <w:t xml:space="preserve"> </w:t>
      </w:r>
      <w:r>
        <w:t xml:space="preserve">senken oft die</w:t>
      </w:r>
      <w:r>
        <w:t xml:space="preserve"> </w:t>
      </w:r>
      <w:r>
        <w:rPr>
          <w:i/>
          <w:iCs/>
        </w:rPr>
        <w:t xml:space="preserve">effektive</w:t>
      </w:r>
      <w:r>
        <w:t xml:space="preserve"> </w:t>
      </w:r>
      <w:r>
        <w:t xml:space="preserve">Latenz, weil sie</w:t>
      </w:r>
      <w:r>
        <w:t xml:space="preserve"> </w:t>
      </w:r>
      <w:r>
        <w:rPr>
          <w:i/>
          <w:iCs/>
        </w:rPr>
        <w:t xml:space="preserve">weniger, dafür gröbere</w:t>
      </w:r>
      <w:r>
        <w:t xml:space="preserve"> </w:t>
      </w:r>
      <w:r>
        <w:t xml:space="preserve">Modelloperationen aufrufen („bulk update variables“, „apply refactor plan“) – statt Dutzende REST Writes. Figma zeigt Bulk‑Mutationen bei Variables, und Camunda setzt SaaS‑Rate Limits für Web Modeler API; beides sind Indikatoren, dass „Chatty APIs“ schnell limitierend werden.</w:t>
      </w:r>
      <w:r>
        <w:t xml:space="preserve"> </w:t>
      </w:r>
      <w:hyperlink r:id="rId28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rPr>
          <w:b/>
          <w:bCs/>
        </w:rPr>
        <w:t xml:space="preserve">Figma REST Rate Limits</w:t>
      </w:r>
      <w:r>
        <w:t xml:space="preserve"> </w:t>
      </w:r>
      <w:r>
        <w:t xml:space="preserve">sind formal dokumentiert und seit Nov 2025 angepasst; die Mechanik (429 + Retry‑After etc.) wird beschrieben.</w:t>
      </w:r>
      <w:r>
        <w:t xml:space="preserve"> </w:t>
      </w:r>
      <w:hyperlink r:id="rId76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In Community‑Feedback wird berichtet, dass Limits teils überraschend greifen (z. B. Images API).</w:t>
      </w:r>
      <w:r>
        <w:t xml:space="preserve"> </w:t>
      </w:r>
      <w:hyperlink r:id="rId77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Für Agenten heißt das: aggressive Caching/Batching und webhook‑basiertes „Change detection“ statt Polling.</w:t>
      </w:r>
    </w:p>
    <w:bookmarkEnd w:id="78"/>
    <w:bookmarkStart w:id="80" w:name="sicherheit-und-access-control"/>
    <w:p>
      <w:pPr>
        <w:pStyle w:val="Heading3"/>
      </w:pPr>
      <w:r>
        <w:t xml:space="preserve">Sicherheit und Access Control</w:t>
      </w:r>
    </w:p>
    <w:p>
      <w:pPr>
        <w:pStyle w:val="FirstParagraph"/>
      </w:pPr>
      <w:r>
        <w:rPr>
          <w:b/>
          <w:bCs/>
        </w:rPr>
        <w:t xml:space="preserve">MCP Auth:</w:t>
      </w:r>
      <w:r>
        <w:t xml:space="preserve"> </w:t>
      </w:r>
      <w:r>
        <w:t xml:space="preserve">Der MCP Authorization‑Standard fordert für OAuth‑basierte Remote Server die Implementierung von</w:t>
      </w:r>
      <w:r>
        <w:t xml:space="preserve"> </w:t>
      </w:r>
      <w:r>
        <w:rPr>
          <w:b/>
          <w:bCs/>
        </w:rPr>
        <w:t xml:space="preserve">RFC 8707 Resource Indicators</w:t>
      </w:r>
      <w:r>
        <w:t xml:space="preserve">, um Token an die intendierte Audience/Ressource zu binden.</w:t>
      </w:r>
      <w:r>
        <w:t xml:space="preserve"> </w:t>
      </w:r>
      <w:hyperlink r:id="rId73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Das ist für „Agenten mit Schreibrechten“ zentral, weil sonst Token‑Misuse/Phishing‑Klassen möglich sind.</w:t>
      </w:r>
    </w:p>
    <w:p>
      <w:pPr>
        <w:pStyle w:val="BodyText"/>
      </w:pPr>
      <w:r>
        <w:rPr>
          <w:b/>
          <w:bCs/>
        </w:rPr>
        <w:t xml:space="preserve">Real-World Risiko:</w:t>
      </w:r>
      <w:r>
        <w:t xml:space="preserve"> </w:t>
      </w:r>
      <w:r>
        <w:t xml:space="preserve">Berichte über MCP‑Server‑Ökosystem‑Probleme (z. B. Sicherheitslücken in Git‑MCP‑Servern) zeigen, dass „Tool‑Access“ die Angriffsfläche real erweitert.</w:t>
      </w:r>
      <w:r>
        <w:t xml:space="preserve"> </w:t>
      </w:r>
      <w:hyperlink r:id="rId7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Für A12 sollte daraus folgen:</w:t>
      </w:r>
      <w:r>
        <w:br/>
      </w:r>
      <w:r>
        <w:rPr>
          <w:i/>
          <w:iCs/>
        </w:rPr>
        <w:t xml:space="preserve">konsequente</w:t>
      </w:r>
      <w:r>
        <w:t xml:space="preserve"> </w:t>
      </w:r>
      <w:r>
        <w:rPr>
          <w:i/>
          <w:iCs/>
        </w:rPr>
        <w:t xml:space="preserve">deny‑by‑default</w:t>
      </w:r>
      <w:r>
        <w:t xml:space="preserve"> </w:t>
      </w:r>
      <w:r>
        <w:rPr>
          <w:i/>
          <w:iCs/>
        </w:rPr>
        <w:t xml:space="preserve">Tool‑Scopes,</w:t>
      </w:r>
      <w:r>
        <w:br/>
      </w:r>
      <w:r>
        <w:t xml:space="preserve"> </w:t>
      </w:r>
      <w:r>
        <w:t xml:space="preserve">serverseitige</w:t>
      </w:r>
      <w:r>
        <w:t xml:space="preserve"> </w:t>
      </w:r>
      <w:r>
        <w:rPr>
          <w:b/>
          <w:bCs/>
        </w:rPr>
        <w:t xml:space="preserve">Policy Engine</w:t>
      </w:r>
      <w:r>
        <w:t xml:space="preserve"> </w:t>
      </w:r>
      <w:r>
        <w:t xml:space="preserve">(RBAC/ABAC pro Modelloperation),</w:t>
      </w:r>
      <w:r>
        <w:br/>
      </w:r>
      <w:r>
        <w:t xml:space="preserve"> </w:t>
      </w:r>
      <w:r>
        <w:rPr>
          <w:i/>
          <w:iCs/>
        </w:rPr>
        <w:t xml:space="preserve">sandboxed execution</w:t>
      </w:r>
      <w:r>
        <w:t xml:space="preserve"> </w:t>
      </w:r>
      <w:r>
        <w:rPr>
          <w:i/>
          <w:iCs/>
        </w:rPr>
        <w:t xml:space="preserve">für CLI/Code‑Tools,</w:t>
      </w:r>
      <w:r>
        <w:br/>
      </w:r>
      <w:r>
        <w:t xml:space="preserve"> </w:t>
      </w:r>
      <w:r>
        <w:t xml:space="preserve">Secrets nie im Prompt, nur im Tool‑Runtime.</w:t>
      </w:r>
    </w:p>
    <w:bookmarkEnd w:id="80"/>
    <w:bookmarkStart w:id="81" w:name="transaktionale-garantien-und-rollback"/>
    <w:p>
      <w:pPr>
        <w:pStyle w:val="Heading3"/>
      </w:pPr>
      <w:r>
        <w:t xml:space="preserve">Transaktionale Garantien und Rollback</w:t>
      </w:r>
    </w:p>
    <w:p>
      <w:pPr>
        <w:pStyle w:val="FirstParagraph"/>
      </w:pPr>
      <w:r>
        <w:rPr>
          <w:b/>
          <w:bCs/>
        </w:rPr>
        <w:t xml:space="preserve">Salesforce Metadata Deploy</w:t>
      </w:r>
      <w:r>
        <w:t xml:space="preserve"> </w:t>
      </w:r>
      <w:r>
        <w:t xml:space="preserve">dokumentiert explizit</w:t>
      </w:r>
      <w:r>
        <w:t xml:space="preserve"> </w:t>
      </w:r>
      <w:r>
        <w:rPr>
          <w:rStyle w:val="VerbatimChar"/>
        </w:rPr>
        <w:t xml:space="preserve">rollbackOnError</w:t>
      </w:r>
      <w:r>
        <w:t xml:space="preserve"> </w:t>
      </w:r>
      <w:r>
        <w:t xml:space="preserve">in DeployOptions: bei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kompletter Rollback bei Fehler; bei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können Teilaktionen bestehen bleiben.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Das ist ein gutes Referenzdesign: jede agentische „Deploy Change“ Operation sollte einen deklarativen Transaktionsmodus haben (all‑or‑nothing vs partial).</w:t>
      </w:r>
    </w:p>
    <w:p>
      <w:pPr>
        <w:pStyle w:val="BodyText"/>
      </w:pPr>
      <w:r>
        <w:rPr>
          <w:b/>
          <w:bCs/>
        </w:rPr>
        <w:t xml:space="preserve">Mendix Working Copy + Commit:</w:t>
      </w:r>
      <w:r>
        <w:t xml:space="preserve"> </w:t>
      </w:r>
      <w:r>
        <w:t xml:space="preserve">Änderungen werden erst nach</w:t>
      </w:r>
      <w:r>
        <w:t xml:space="preserve"> </w:t>
      </w:r>
      <w:r>
        <w:rPr>
          <w:rStyle w:val="VerbatimChar"/>
        </w:rPr>
        <w:t xml:space="preserve">flushChanges()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commitToRepository()</w:t>
      </w:r>
      <w:r>
        <w:t xml:space="preserve"> </w:t>
      </w:r>
      <w:r>
        <w:t xml:space="preserve">in den Repository‑Strang gebracht; damit habt ihr eine natürliche „staging → commit“ Transaktionsgrenze.</w:t>
      </w:r>
      <w:r>
        <w:t xml:space="preserve"> </w:t>
      </w:r>
      <w:hyperlink r:id="rId58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Camunda Deploy:</w:t>
      </w:r>
      <w:r>
        <w:t xml:space="preserve"> </w:t>
      </w:r>
      <w:r>
        <w:t xml:space="preserve">Zeebe APIs definieren invalid resource Bedingungen (u. a. broken XML, semantische Invalidität). Das wirkt wie ein serverseitiger Validator/Gate bei Deploy.</w:t>
      </w:r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Figma Variables Bulk:</w:t>
      </w:r>
      <w:r>
        <w:t xml:space="preserve"> </w:t>
      </w:r>
      <w:r>
        <w:t xml:space="preserve">Die Doku beschreibt eine definierte Apply‑Reihenfolge innerhalb eines Requests; sie formuliert jedoch nicht explizit „all‑or‑nothing“. Für agentische Writes sollte man daher auf idempotente Bulk‑Designs + eindeutige Mapping‑Antworten (tempId→realId) setzen und bei Unsicherheit „dry‑run“/Preview‑Mechanik ergänzen.</w:t>
      </w:r>
      <w:r>
        <w:t xml:space="preserve"> </w:t>
      </w:r>
      <w:hyperlink r:id="rId28">
        <w:r>
          <w:rPr>
            <w:rStyle w:val="Hyperlink"/>
          </w:rPr>
          <w:t xml:space="preserve">[27]</w:t>
        </w:r>
      </w:hyperlink>
    </w:p>
    <w:bookmarkEnd w:id="81"/>
    <w:bookmarkStart w:id="84" w:name="observability-und-auditability"/>
    <w:p>
      <w:pPr>
        <w:pStyle w:val="Heading3"/>
      </w:pPr>
      <w:r>
        <w:t xml:space="preserve">Observability und Auditability</w:t>
      </w:r>
    </w:p>
    <w:p>
      <w:pPr>
        <w:pStyle w:val="Compact"/>
        <w:numPr>
          <w:ilvl w:val="0"/>
          <w:numId w:val="1001"/>
        </w:numPr>
      </w:pPr>
      <w:r>
        <w:t xml:space="preserve">OpenAI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beschreibt im Agents SDK explizit, dass ein Agent‑System Tool‑Nutzung orchestriert und „a full trace“ behalten kann – als Referenz für auditierbare Agent‑Runs.</w:t>
      </w:r>
      <w:r>
        <w:t xml:space="preserve"> </w:t>
      </w:r>
      <w:hyperlink r:id="rId82">
        <w:r>
          <w:rPr>
            <w:rStyle w:val="Hyperlink"/>
          </w:rPr>
          <w:t xml:space="preserve">[64]</w:t>
        </w:r>
      </w:hyperlink>
    </w:p>
    <w:p>
      <w:pPr>
        <w:pStyle w:val="Compact"/>
        <w:numPr>
          <w:ilvl w:val="0"/>
          <w:numId w:val="1001"/>
        </w:numPr>
      </w:pPr>
      <w:r>
        <w:t xml:space="preserve">Salesforce Setup Audit Trail protokolliert Setup-/Konfig‑Änderungen durch Admins – wichtig für „Model changes as configuration“.</w:t>
      </w:r>
      <w:r>
        <w:t xml:space="preserve"> </w:t>
      </w:r>
      <w:hyperlink r:id="rId48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1"/>
        </w:numPr>
      </w:pPr>
      <w:r>
        <w:t xml:space="preserve">Figma Discovery API liefert Text‑Events inkl. „AI prompts“ sowie file comments; damit kann man agentische Änderungen (oder Prompt‑gestützte Änderungen) retrospektiv korrelieren.</w:t>
      </w:r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1"/>
        </w:numPr>
      </w:pPr>
      <w:r>
        <w:t xml:space="preserve">Mendix dokumentiert Logging‑Kategorien explizit bis hin zu MicroflowDebugger/MicroflowEngine.</w:t>
      </w:r>
      <w:r>
        <w:t xml:space="preserve"> </w:t>
      </w:r>
      <w:hyperlink r:id="rId83">
        <w:r>
          <w:rPr>
            <w:rStyle w:val="Hyperlink"/>
          </w:rPr>
          <w:t xml:space="preserve">[65]</w:t>
        </w:r>
      </w:hyperlink>
    </w:p>
    <w:p>
      <w:pPr>
        <w:pStyle w:val="FirstParagraph"/>
      </w:pPr>
      <w:r>
        <w:rPr>
          <w:b/>
          <w:bCs/>
        </w:rPr>
        <w:t xml:space="preserve">A12‑Designfolgerung:</w:t>
      </w:r>
      <w:r>
        <w:t xml:space="preserve"> </w:t>
      </w:r>
      <w:r>
        <w:t xml:space="preserve">„Auditability“ sollte nicht nachträglich als Logfile gedacht werden, sondern als</w:t>
      </w:r>
      <w:r>
        <w:t xml:space="preserve"> </w:t>
      </w:r>
      <w:r>
        <w:rPr>
          <w:b/>
          <w:bCs/>
        </w:rPr>
        <w:t xml:space="preserve">First‑Class Modell‑Provenienzobjekt</w:t>
      </w:r>
      <w:r>
        <w:t xml:space="preserve">: jede Mutation erhält (a) Actor (User/Agent), (b) Tool/Command, (c) Input Hash, (d) Pre/Post Snapshot IDs, (e) Validator Ergebnis, (f) Deployment Correlation ID.</w:t>
      </w:r>
    </w:p>
    <w:bookmarkEnd w:id="84"/>
    <w:bookmarkEnd w:id="85"/>
    <w:bookmarkStart w:id="96" w:name="X6b88ff71e5766a83a81242e51f1fe53b650a51d"/>
    <w:p>
      <w:pPr>
        <w:pStyle w:val="Heading2"/>
      </w:pPr>
      <w:r>
        <w:t xml:space="preserve">Evidenz und Erfahrungen: Nutzerfeedback, Fallstudien und Forschung GUI+AI vs JSON/CLI</w:t>
      </w:r>
    </w:p>
    <w:bookmarkStart w:id="88" w:name="X910fb5b98e28e24ab89d7dd73412d89baa6a356"/>
    <w:p>
      <w:pPr>
        <w:pStyle w:val="Heading3"/>
      </w:pPr>
      <w:r>
        <w:t xml:space="preserve">Fallstudien und dokumentierte Nutzerpfade</w:t>
      </w:r>
    </w:p>
    <w:p>
      <w:pPr>
        <w:pStyle w:val="FirstParagraph"/>
      </w:pPr>
      <w:r>
        <w:rPr>
          <w:b/>
          <w:bCs/>
        </w:rPr>
        <w:t xml:space="preserve">Figma:</w:t>
      </w:r>
      <w:r>
        <w:t xml:space="preserve"> </w:t>
      </w:r>
      <w:r>
        <w:t xml:space="preserve">Figma beschreibt den MCP‑Server als Brücke, um LLMs design‑informiert Code generieren zu lassen, und erweitert den Workflow bis hin zu „live UI capture“ als Design‑Layer.</w:t>
      </w:r>
      <w:r>
        <w:t xml:space="preserve"> </w:t>
      </w:r>
      <w:hyperlink r:id="rId86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Camunda:</w:t>
      </w:r>
      <w:r>
        <w:t xml:space="preserve"> </w:t>
      </w:r>
      <w:r>
        <w:t xml:space="preserve">Camunda positioniert Play als integrierte Validierung und zeigt AI‑Agent‑Beispiele, die innerhalb des Modeler‑Workflows getestet werden („Step through your model with Play“).</w:t>
      </w:r>
      <w:r>
        <w:t xml:space="preserve"> </w:t>
      </w:r>
      <w:hyperlink r:id="rId87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b/>
          <w:bCs/>
        </w:rPr>
        <w:t xml:space="preserve">Salesforce:</w:t>
      </w:r>
      <w:r>
        <w:t xml:space="preserve"> </w:t>
      </w:r>
      <w:r>
        <w:t xml:space="preserve">Agentforce DX beschreibt Agenten als Metadata‑first und liefert YAML‑/CLI‑Workflows; damit werden Agenten explizit in DevOps‑Prozesse integrierbar.</w:t>
      </w:r>
      <w:r>
        <w:t xml:space="preserve"> </w:t>
      </w:r>
      <w:hyperlink r:id="rId26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rPr>
          <w:b/>
          <w:bCs/>
        </w:rPr>
        <w:t xml:space="preserve">Mendix:</w:t>
      </w:r>
      <w:r>
        <w:t xml:space="preserve"> </w:t>
      </w:r>
      <w:r>
        <w:t xml:space="preserve">Mendix positioniert Maia als AI‑Assistenz im Modellieren, betont Datenschutz (keine Kundendaten fürs Training) und führt explizit MCP‑Connectivity in Maia Make ein.</w:t>
      </w:r>
      <w:r>
        <w:t xml:space="preserve"> </w:t>
      </w:r>
      <w:hyperlink r:id="rId40">
        <w:r>
          <w:rPr>
            <w:rStyle w:val="Hyperlink"/>
          </w:rPr>
          <w:t xml:space="preserve">[69]</w:t>
        </w:r>
      </w:hyperlink>
    </w:p>
    <w:bookmarkEnd w:id="88"/>
    <w:bookmarkStart w:id="91" w:name="community-feedback-und-pain-points"/>
    <w:p>
      <w:pPr>
        <w:pStyle w:val="Heading3"/>
      </w:pPr>
      <w:r>
        <w:t xml:space="preserve">Community-Feedback und „Pain Points“</w:t>
      </w:r>
    </w:p>
    <w:p>
      <w:pPr>
        <w:pStyle w:val="FirstParagraph"/>
      </w:pPr>
      <w:r>
        <w:rPr>
          <w:b/>
          <w:bCs/>
        </w:rPr>
        <w:t xml:space="preserve">Rate Limits &amp; Agent‑Workflows (Figma):</w:t>
      </w:r>
      <w:r>
        <w:t xml:space="preserve"> </w:t>
      </w:r>
      <w:r>
        <w:t xml:space="preserve">REST‑Rate‑Limitierung ist dokumentiert; in Community‑/Issue‑Diskussionen treten 429/Retry‑After‑Probleme auf, die für agentische „looping“ retrievals kritisch sind.</w:t>
      </w:r>
      <w:r>
        <w:t xml:space="preserve"> </w:t>
      </w:r>
      <w:hyperlink r:id="rId76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b/>
          <w:bCs/>
        </w:rPr>
        <w:t xml:space="preserve">CLI/Metadata Reifegrad (Salesforce):</w:t>
      </w:r>
      <w:r>
        <w:t xml:space="preserve"> </w:t>
      </w:r>
      <w:r>
        <w:t xml:space="preserve">Ein GitHub Issue zeigt, dass das Retrieven von „Agent:&lt;Name&gt;“ via</w:t>
      </w:r>
      <w:r>
        <w:t xml:space="preserve"> </w:t>
      </w:r>
      <w:r>
        <w:rPr>
          <w:rStyle w:val="VerbatimChar"/>
        </w:rPr>
        <w:t xml:space="preserve">sf project retrieve start</w:t>
      </w:r>
      <w:r>
        <w:t xml:space="preserve"> </w:t>
      </w:r>
      <w:r>
        <w:t xml:space="preserve">in einem konkreten Fall in einen EPIPE‑Fehler nach minutenlanger Wartezeit läuft; das ist ein archetypisches Beispiel für „modellartige Artefakte sind neu, Tooling hinkt“.</w:t>
      </w:r>
      <w:r>
        <w:t xml:space="preserve"> </w:t>
      </w:r>
      <w:hyperlink r:id="rId89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Merge für proprietäre Modelle (Mendix):</w:t>
      </w:r>
      <w:r>
        <w:t xml:space="preserve"> </w:t>
      </w:r>
      <w:r>
        <w:t xml:space="preserve">Mendix adressiert Merge/Conflict explizit über</w:t>
      </w:r>
      <w:r>
        <w:t xml:space="preserve"> </w:t>
      </w:r>
      <w:r>
        <w:rPr>
          <w:rStyle w:val="VerbatimChar"/>
        </w:rPr>
        <w:t xml:space="preserve">mx merge</w:t>
      </w:r>
      <w:r>
        <w:t xml:space="preserve"> </w:t>
      </w:r>
      <w:r>
        <w:t xml:space="preserve">und Studio Pro Konfliktlösung; Return Codes und Merge‑Driver‑Konzept werden dokumentiert.</w:t>
      </w:r>
      <w:r>
        <w:t xml:space="preserve"> </w:t>
      </w:r>
      <w:hyperlink r:id="rId67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Das ist ein starkes Signal, dass „Git‑only für binary models“ nicht reicht.</w:t>
      </w:r>
    </w:p>
    <w:p>
      <w:pPr>
        <w:pStyle w:val="BodyText"/>
      </w:pPr>
      <w:r>
        <w:rPr>
          <w:b/>
          <w:bCs/>
        </w:rPr>
        <w:t xml:space="preserve">Safety bei SDK‑Writes (Mendix):</w:t>
      </w:r>
      <w:r>
        <w:t xml:space="preserve"> </w:t>
      </w:r>
      <w:r>
        <w:t xml:space="preserve">Mendix dokumentiert, dass Model SDK‑Edits das App‑Format invalid machen und Studio Pro das Projekt ggf. nicht mehr öffnen kann; dafür existieren Troubleshooting‑Guides.</w:t>
      </w:r>
      <w:r>
        <w:t xml:space="preserve"> </w:t>
      </w:r>
      <w:hyperlink r:id="rId90">
        <w:r>
          <w:rPr>
            <w:rStyle w:val="Hyperlink"/>
          </w:rPr>
          <w:t xml:space="preserve">[72]</w:t>
        </w:r>
      </w:hyperlink>
    </w:p>
    <w:bookmarkEnd w:id="91"/>
    <w:bookmarkStart w:id="95" w:name="X5fa33de1c3f7ee02364b7474d77fa5d7fe790b4"/>
    <w:p>
      <w:pPr>
        <w:pStyle w:val="Heading3"/>
      </w:pPr>
      <w:r>
        <w:t xml:space="preserve">Forschung: GUI/graphisch + AI vs JSON/CLI (textuell) – was lässt sich belastbar ableiten?</w:t>
      </w:r>
    </w:p>
    <w:p>
      <w:pPr>
        <w:pStyle w:val="FirstParagraph"/>
      </w:pPr>
      <w:r>
        <w:t xml:space="preserve">Direkte Studien „GUI+AI Agent vs JSON/CLI Agent“ sind (Stand heute) selten öffentlich als kontrollierte Experimente dokumentiert; die belastbarste Proxy‑Evidenz kommt aus Experimenten zu</w:t>
      </w:r>
      <w:r>
        <w:t xml:space="preserve"> </w:t>
      </w:r>
      <w:r>
        <w:rPr>
          <w:b/>
          <w:bCs/>
        </w:rPr>
        <w:t xml:space="preserve">grafischen vs textuellen Notationen</w:t>
      </w:r>
      <w:r>
        <w:t xml:space="preserve"> </w:t>
      </w:r>
      <w:r>
        <w:t xml:space="preserve">und aus empirischen Arbeiten zur Low‑Code‑Entwicklerleistung.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Grafisch verbessert Kommunikation/Recall, wenn Menschen kollaborieren.</w:t>
      </w:r>
      <w:r>
        <w:t xml:space="preserve"> </w:t>
      </w:r>
      <w:r>
        <w:t xml:space="preserve">Ein großer Versuchsverbund („family of experiments“) mit 240 Teilnehmenden berichtet, dass grafische Designbeschreibungen aktives Diskutieren fördern und Recall von Design‑Details verbessern; zugleich kann ein „well‑organized text“ Recall verbessern, aber mit anderen Trade‑offs.</w:t>
      </w:r>
      <w:r>
        <w:t xml:space="preserve"> </w:t>
      </w:r>
      <w:hyperlink r:id="rId29">
        <w:r>
          <w:rPr>
            <w:rStyle w:val="Hyperlink"/>
          </w:rPr>
          <w:t xml:space="preserve">[73]</w:t>
        </w:r>
      </w:hyperlink>
      <w:r>
        <w:br/>
      </w:r>
      <w:r>
        <w:rPr>
          <w:i/>
          <w:iCs/>
        </w:rPr>
        <w:t xml:space="preserve">Implikation für Agenten:</w:t>
      </w:r>
      <w:r>
        <w:t xml:space="preserve"> </w:t>
      </w:r>
      <w:r>
        <w:t xml:space="preserve">GUI+AI‑Assistenten im Modeler können besonders stark sein, wenn der Mensch‑Agent‑Loop kollaborativ ist (Review, gemeinsame Exploration) und visuelle Anker die Fehlinterpretation reduzieren.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Notation beeinflusst Effizienz/Effektivität in Modellierungsaufgaben signifikant.</w:t>
      </w:r>
      <w:r>
        <w:t xml:space="preserve"> </w:t>
      </w:r>
      <w:r>
        <w:t xml:space="preserve">Eine empirische Studie zur Produktivität in Domain‑Modelling berichtet einen statistisch signifikanten Effekt des Notationstyps auf Effizienz/Effektivität, mit Befundrichtung zugunsten grafischer Notation für die betrachteten Aufgaben/Teilnehmenden.</w:t>
      </w:r>
      <w:r>
        <w:t xml:space="preserve"> </w:t>
      </w:r>
      <w:hyperlink r:id="rId92">
        <w:r>
          <w:rPr>
            <w:rStyle w:val="Hyperlink"/>
          </w:rPr>
          <w:t xml:space="preserve">[74]</w:t>
        </w:r>
      </w:hyperlink>
      <w:r>
        <w:br/>
      </w:r>
      <w:r>
        <w:rPr>
          <w:i/>
          <w:iCs/>
        </w:rPr>
        <w:t xml:space="preserve">Implikation:</w:t>
      </w:r>
      <w:r>
        <w:t xml:space="preserve"> </w:t>
      </w:r>
      <w:r>
        <w:t xml:space="preserve">Für „Model editing by intent“ kann ein Agent, der GUI‑Semantik nutzt (z. B. „füge Entity und Association hier ein“), weniger Fehler produzieren als reines Text‑Patchen –</w:t>
      </w:r>
      <w:r>
        <w:t xml:space="preserve"> </w:t>
      </w:r>
      <w:r>
        <w:rPr>
          <w:b/>
          <w:bCs/>
        </w:rPr>
        <w:t xml:space="preserve">wenn</w:t>
      </w:r>
      <w:r>
        <w:t xml:space="preserve"> </w:t>
      </w:r>
      <w:r>
        <w:t xml:space="preserve">die Tool‑API die Semantik korrekt kapselt.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Textuelle Artefakte sind überlegen bei Merge/Audit, aber nicht automatisch bei menschlicher Aufgabenleistung.</w:t>
      </w:r>
      <w:r>
        <w:t xml:space="preserve"> </w:t>
      </w:r>
      <w:r>
        <w:t xml:space="preserve">Mendix’ eigener Merge‑Stack zeigt, dass textbasierter Merge bei proprietären Modellen nicht trivial ist und domain‑aware Tooling erfordert.</w:t>
      </w:r>
      <w:r>
        <w:t xml:space="preserve"> </w:t>
      </w:r>
      <w:hyperlink r:id="rId67">
        <w:r>
          <w:rPr>
            <w:rStyle w:val="Hyperlink"/>
          </w:rPr>
          <w:t xml:space="preserve">[55]</w:t>
        </w:r>
      </w:hyperlink>
      <w:r>
        <w:br/>
      </w:r>
      <w:r>
        <w:rPr>
          <w:i/>
          <w:iCs/>
        </w:rPr>
        <w:t xml:space="preserve">Implikation:</w:t>
      </w:r>
      <w:r>
        <w:t xml:space="preserve"> </w:t>
      </w:r>
      <w:r>
        <w:t xml:space="preserve">JSON/CLI‑Workflows gewinnen bei Automatisierung, Reproduzierbarkeit und Audit, verlieren aber ohne domänenspezifische Merge‑/Validierungslogik.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Low-/No-Code Effizienz vs Experience (MODELS’24):</w:t>
      </w:r>
      <w:r>
        <w:t xml:space="preserve"> </w:t>
      </w:r>
      <w:r>
        <w:t xml:space="preserve">Eine empirische Studie (University of Kassel</w:t>
      </w:r>
      <w:hyperlink r:id="rId29">
        <w:r>
          <w:rPr>
            <w:rStyle w:val="Hyperlink"/>
          </w:rPr>
          <w:t xml:space="preserve">[75]</w:t>
        </w:r>
      </w:hyperlink>
      <w:r>
        <w:t xml:space="preserve">) berichtet in einem quantitativen Experiment, dass es keine signifikanten Unterschiede in Task‑Correctness oder Processing Time zwischen Programmierern und Citizen Developers in einem No‑Code‑Builder gab (für die untersuchten Aufgaben).</w:t>
      </w:r>
      <w:r>
        <w:t xml:space="preserve"> </w:t>
      </w:r>
      <w:hyperlink r:id="rId93">
        <w:r>
          <w:rPr>
            <w:rStyle w:val="Hyperlink"/>
          </w:rPr>
          <w:t xml:space="preserve">[76]</w:t>
        </w:r>
      </w:hyperlink>
      <w:r>
        <w:br/>
      </w:r>
      <w:r>
        <w:rPr>
          <w:i/>
          <w:iCs/>
        </w:rPr>
        <w:t xml:space="preserve">Implikation:</w:t>
      </w:r>
      <w:r>
        <w:t xml:space="preserve"> </w:t>
      </w:r>
      <w:r>
        <w:t xml:space="preserve">Modell‑UI kann (für gewisse Aufgaben) die „Skill‑Gap“ reduzieren – was auch für human‑in‑the‑loop Agenten wichtig ist, wenn nicht nur Pro‑Devs Zielgruppe sind.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LLM‑basierte Low‑Code Themen verschieben sich stark in Richtung Implementierungsphase.</w:t>
      </w:r>
      <w:r>
        <w:t xml:space="preserve"> </w:t>
      </w:r>
      <w:r>
        <w:t xml:space="preserve">Eine empirische Studie zu Traditional vs LLM‑based Low‑Code analysiert 7k+ posts als Ausgangsmenge und filtert auf relevante Datensätze; sie diskutiert u. a. LLM‑Agenten‑Integration und zeigt, dass Diskussionen über Implementierungsaufgaben in Q&amp;A‑Foren dominieren.</w:t>
      </w:r>
      <w:r>
        <w:t xml:space="preserve"> </w:t>
      </w:r>
      <w:hyperlink r:id="rId94">
        <w:r>
          <w:rPr>
            <w:rStyle w:val="Hyperlink"/>
          </w:rPr>
          <w:t xml:space="preserve">[77]</w:t>
        </w:r>
      </w:hyperlink>
      <w:r>
        <w:br/>
      </w:r>
      <w:r>
        <w:rPr>
          <w:i/>
          <w:iCs/>
        </w:rPr>
        <w:t xml:space="preserve">Implikation:</w:t>
      </w:r>
      <w:r>
        <w:t xml:space="preserve"> </w:t>
      </w:r>
      <w:r>
        <w:t xml:space="preserve">Agent‑Funktionen sollten nicht nur „Design‑Time“ (Generate Model) unterstützen, sondern vor allem „Implement‑Time“: Debuggability, Tests, Deployment‑Gates, Datenintegration.</w:t>
      </w:r>
    </w:p>
    <w:p>
      <w:pPr>
        <w:pStyle w:val="BodyText"/>
      </w:pPr>
      <w:r>
        <w:rPr>
          <w:b/>
          <w:bCs/>
        </w:rPr>
        <w:t xml:space="preserve">Konkrete Benchmark-Idee für A12 (ableitbar):</w:t>
      </w:r>
      <w:r>
        <w:br/>
      </w:r>
      <w:r>
        <w:t xml:space="preserve">Da Vendor‑Benchmarks selten sind, lohnt ein internes A/B‑Benchmarking: (a) Agent editiert A12‑Modelle über GUI‑nahe Commands vs (b) Agent editiert JSON‑Snapshots + CLI compile/validate. Messen: Zeit bis „green build“, Fehlerrate (invalid model / failed deploy), Merge‑Konflikte pro Änderung, Review‑Zeit.</w:t>
      </w:r>
    </w:p>
    <w:bookmarkEnd w:id="95"/>
    <w:bookmarkEnd w:id="96"/>
    <w:bookmarkStart w:id="102" w:name="empfohlene-architektur-optionen-für-a12"/>
    <w:p>
      <w:pPr>
        <w:pStyle w:val="Heading2"/>
      </w:pPr>
      <w:r>
        <w:t xml:space="preserve">Empfohlene Architektur-Optionen für A12</w:t>
      </w:r>
    </w:p>
    <w:p>
      <w:pPr>
        <w:pStyle w:val="FirstParagraph"/>
      </w:pPr>
      <w:r>
        <w:t xml:space="preserve">Im Folgenden drei robuste Optionen, die sich direkt aus den Marktmechaniken ableiten. Ziel: „Agenten können A12‑Modelle abfragen und ändern“, ohne dass ihr Konsistenz, Security oder Audit verliert.</w:t>
      </w:r>
    </w:p>
    <w:bookmarkStart w:id="97" w:name="option-a12-mcp-model-command-gateway"/>
    <w:p>
      <w:pPr>
        <w:pStyle w:val="Heading3"/>
      </w:pPr>
      <w:r>
        <w:t xml:space="preserve">Option: A12 MCP Model Command Gateway</w:t>
      </w:r>
    </w:p>
    <w:p>
      <w:pPr>
        <w:pStyle w:val="FirstParagraph"/>
      </w:pPr>
      <w:r>
        <w:rPr>
          <w:b/>
          <w:bCs/>
        </w:rPr>
        <w:t xml:space="preserve">Kernidee:</w:t>
      </w:r>
      <w:r>
        <w:t xml:space="preserve"> </w:t>
      </w:r>
      <w:r>
        <w:t xml:space="preserve">A12 stellt einen MCP‑Server bereit, der</w:t>
      </w:r>
      <w:r>
        <w:t xml:space="preserve"> </w:t>
      </w:r>
      <w:r>
        <w:rPr>
          <w:b/>
          <w:bCs/>
        </w:rPr>
        <w:t xml:space="preserve">hochlevelige, domänenspezifische Tools</w:t>
      </w:r>
      <w:r>
        <w:t xml:space="preserve"> </w:t>
      </w:r>
      <w:r>
        <w:t xml:space="preserve">anbietet (keine generischen „write JSON“ Tools). Jeder Tool‑Call erzeugt serverseitig: Pre‑Snapshot → Mutation → Validation → Post‑Snapshot → Audit Event.</w:t>
      </w:r>
    </w:p>
    <w:p>
      <w:pPr>
        <w:pStyle w:val="BodyText"/>
      </w:pPr>
      <w:r>
        <w:rPr>
          <w:i/>
          <w:iCs/>
        </w:rPr>
        <w:t xml:space="preserve">Warum SOTA:</w:t>
      </w:r>
      <w:r>
        <w:t xml:space="preserve"> </w:t>
      </w:r>
      <w:r>
        <w:t xml:space="preserve">Figma zeigt, wie MCP‑Tools als produktisierte „Core server features“ katalogisiert werden.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OpenAI dokumentiert MCP‑Tooling als integriertes Agent‑Werkzeug.</w:t>
      </w:r>
      <w:r>
        <w:t xml:space="preserve"> </w:t>
      </w:r>
      <w:hyperlink r:id="rId23">
        <w:r>
          <w:rPr>
            <w:rStyle w:val="Hyperlink"/>
          </w:rPr>
          <w:t xml:space="preserve">[57]</w:t>
        </w:r>
      </w:hyperlink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</w:t>
      </w:r>
      <w:r>
        <w:br/>
      </w:r>
      <w:r>
        <w:rPr>
          <w:rStyle w:val="VerbatimChar"/>
        </w:rPr>
        <w:t xml:space="preserve">  participant A as LLM-Agent</w:t>
      </w:r>
      <w:r>
        <w:br/>
      </w:r>
      <w:r>
        <w:rPr>
          <w:rStyle w:val="VerbatimChar"/>
        </w:rPr>
        <w:t xml:space="preserve">  participant M as A12 MCP Server (Tool Gateway)</w:t>
      </w:r>
      <w:r>
        <w:br/>
      </w:r>
      <w:r>
        <w:rPr>
          <w:rStyle w:val="VerbatimChar"/>
        </w:rPr>
        <w:t xml:space="preserve">  participant V as A12 Validator/Compiler</w:t>
      </w:r>
      <w:r>
        <w:br/>
      </w:r>
      <w:r>
        <w:rPr>
          <w:rStyle w:val="VerbatimChar"/>
        </w:rPr>
        <w:t xml:space="preserve">  participant R as Model Repository</w:t>
      </w:r>
      <w:r>
        <w:br/>
      </w:r>
      <w:r>
        <w:rPr>
          <w:rStyle w:val="VerbatimChar"/>
        </w:rPr>
        <w:t xml:space="preserve">  participant L as Audit Log/Event Bus</w:t>
      </w:r>
      <w:r>
        <w:br/>
      </w:r>
      <w:r>
        <w:br/>
      </w:r>
      <w:r>
        <w:rPr>
          <w:rStyle w:val="VerbatimChar"/>
        </w:rPr>
        <w:t xml:space="preserve">  U-&gt;&gt;A: "Füge Entity Customer hinzu und verknüpfe mit Order"</w:t>
      </w:r>
      <w:r>
        <w:br/>
      </w:r>
      <w:r>
        <w:rPr>
          <w:rStyle w:val="VerbatimChar"/>
        </w:rPr>
        <w:t xml:space="preserve">  A-&gt;&gt;M: tool: a12.query_model(semanticQuery)</w:t>
      </w:r>
      <w:r>
        <w:br/>
      </w:r>
      <w:r>
        <w:rPr>
          <w:rStyle w:val="VerbatimChar"/>
        </w:rPr>
        <w:t xml:space="preserve">  M-&gt;&gt;R: read snapshot / graph slice</w:t>
      </w:r>
      <w:r>
        <w:br/>
      </w:r>
      <w:r>
        <w:rPr>
          <w:rStyle w:val="VerbatimChar"/>
        </w:rPr>
        <w:t xml:space="preserve">  R--&gt;&gt;M: model slice</w:t>
      </w:r>
      <w:r>
        <w:br/>
      </w:r>
      <w:r>
        <w:rPr>
          <w:rStyle w:val="VerbatimChar"/>
        </w:rPr>
        <w:t xml:space="preserve">  M--&gt;&gt;A: structured result</w:t>
      </w:r>
      <w:r>
        <w:br/>
      </w:r>
      <w:r>
        <w:br/>
      </w:r>
      <w:r>
        <w:rPr>
          <w:rStyle w:val="VerbatimChar"/>
        </w:rPr>
        <w:t xml:space="preserve">  A-&gt;&gt;M: tool: a12.apply_change(changePlan, preview=true)</w:t>
      </w:r>
      <w:r>
        <w:br/>
      </w:r>
      <w:r>
        <w:rPr>
          <w:rStyle w:val="VerbatimChar"/>
        </w:rPr>
        <w:t xml:space="preserve">  M-&gt;&gt;V: validate(changePlan on snapshot)</w:t>
      </w:r>
      <w:r>
        <w:br/>
      </w:r>
      <w:r>
        <w:rPr>
          <w:rStyle w:val="VerbatimChar"/>
        </w:rPr>
        <w:t xml:space="preserve">  V--&gt;&gt;M: validation report + diff</w:t>
      </w:r>
      <w:r>
        <w:br/>
      </w:r>
      <w:r>
        <w:rPr>
          <w:rStyle w:val="VerbatimChar"/>
        </w:rPr>
        <w:t xml:space="preserve">  M--&gt;&gt;A: preview diff + warnings</w:t>
      </w:r>
      <w:r>
        <w:br/>
      </w:r>
      <w:r>
        <w:rPr>
          <w:rStyle w:val="VerbatimChar"/>
        </w:rPr>
        <w:t xml:space="preserve">  U-&gt;&gt;A: "OK, anwenden"</w:t>
      </w:r>
      <w:r>
        <w:br/>
      </w:r>
      <w:r>
        <w:rPr>
          <w:rStyle w:val="VerbatimChar"/>
        </w:rPr>
        <w:t xml:space="preserve">  A-&gt;&gt;M: tool: a12.apply_change(changePlan, preview=false)</w:t>
      </w:r>
      <w:r>
        <w:br/>
      </w:r>
      <w:r>
        <w:rPr>
          <w:rStyle w:val="VerbatimChar"/>
        </w:rPr>
        <w:t xml:space="preserve">  M-&gt;&gt;R: atomic commit new snapshot</w:t>
      </w:r>
      <w:r>
        <w:br/>
      </w:r>
      <w:r>
        <w:rPr>
          <w:rStyle w:val="VerbatimChar"/>
        </w:rPr>
        <w:t xml:space="preserve">  M-&gt;&gt;L: emit mutation event (who/why/diff)</w:t>
      </w:r>
      <w:r>
        <w:br/>
      </w:r>
      <w:r>
        <w:rPr>
          <w:rStyle w:val="VerbatimChar"/>
        </w:rPr>
        <w:t xml:space="preserve">  M--&gt;&gt;A: commit id + rollback ref</w:t>
      </w:r>
    </w:p>
    <w:p>
      <w:pPr>
        <w:pStyle w:val="FirstParagraph"/>
      </w:pPr>
      <w:r>
        <w:rPr>
          <w:b/>
          <w:bCs/>
        </w:rPr>
        <w:t xml:space="preserve">Trade-offs:</w:t>
      </w:r>
      <w:r>
        <w:br/>
      </w:r>
      <w:r>
        <w:rPr>
          <w:i/>
          <w:iCs/>
        </w:rPr>
        <w:t xml:space="preserve">Pro: Sehr gute Governance, tool‑level RBAC, einheitliche Observability; reduziert Prompt‑/Glue‑Komplexität.</w:t>
      </w:r>
      <w:r>
        <w:br/>
      </w:r>
      <w:r>
        <w:t xml:space="preserve"> </w:t>
      </w:r>
      <w:r>
        <w:t xml:space="preserve">Contra: MCP/Auth‑Komplexität (OAuth + Resource Indicators), Tool‑Design ist aufwendig.</w:t>
      </w:r>
      <w:r>
        <w:t xml:space="preserve"> </w:t>
      </w:r>
      <w:hyperlink r:id="rId73">
        <w:r>
          <w:rPr>
            <w:rStyle w:val="Hyperlink"/>
          </w:rPr>
          <w:t xml:space="preserve">[58]</w:t>
        </w:r>
      </w:hyperlink>
    </w:p>
    <w:bookmarkEnd w:id="97"/>
    <w:bookmarkStart w:id="98" w:name="X1e080e3fb17d7b4ddf6463c8fbf502df3f9a941"/>
    <w:p>
      <w:pPr>
        <w:pStyle w:val="Heading3"/>
      </w:pPr>
      <w:r>
        <w:t xml:space="preserve">Option: A12 GitOps „Model as Code“ mit Agent in Branch/PR</w:t>
      </w:r>
    </w:p>
    <w:p>
      <w:pPr>
        <w:pStyle w:val="FirstParagraph"/>
      </w:pPr>
      <w:r>
        <w:rPr>
          <w:b/>
          <w:bCs/>
        </w:rPr>
        <w:t xml:space="preserve">Kernidee:</w:t>
      </w:r>
      <w:r>
        <w:t xml:space="preserve"> </w:t>
      </w:r>
      <w:r>
        <w:t xml:space="preserve">A12‑Modelle haben eine (kanonisierte) textuelle Repräsentation (JSON/BPMN‑XML‑ähnlich). Agent arbeitet in Feature‑Branch, führt CLI‑Validierung aus, öffnet PR. Merge = Deployment Trigger.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A[Agent] --&gt; B[Checkout repo / create branch]</w:t>
      </w:r>
      <w:r>
        <w:br/>
      </w:r>
      <w:r>
        <w:rPr>
          <w:rStyle w:val="VerbatimChar"/>
        </w:rPr>
        <w:t xml:space="preserve">  B --&gt; C[Query model snapshot]</w:t>
      </w:r>
      <w:r>
        <w:br/>
      </w:r>
      <w:r>
        <w:rPr>
          <w:rStyle w:val="VerbatimChar"/>
        </w:rPr>
        <w:t xml:space="preserve">  C --&gt; D[Edit JSON/BPMN files]</w:t>
      </w:r>
      <w:r>
        <w:br/>
      </w:r>
      <w:r>
        <w:rPr>
          <w:rStyle w:val="VerbatimChar"/>
        </w:rPr>
        <w:t xml:space="preserve">  D --&gt; E[Run a12 validate / a12 compile]</w:t>
      </w:r>
      <w:r>
        <w:br/>
      </w:r>
      <w:r>
        <w:rPr>
          <w:rStyle w:val="VerbatimChar"/>
        </w:rPr>
        <w:t xml:space="preserve">  E --&gt;|fail| D</w:t>
      </w:r>
      <w:r>
        <w:br/>
      </w:r>
      <w:r>
        <w:rPr>
          <w:rStyle w:val="VerbatimChar"/>
        </w:rPr>
        <w:t xml:space="preserve">  E --&gt;|pass| F[Create PR with diff]</w:t>
      </w:r>
      <w:r>
        <w:br/>
      </w:r>
      <w:r>
        <w:rPr>
          <w:rStyle w:val="VerbatimChar"/>
        </w:rPr>
        <w:t xml:space="preserve">  F --&gt; G[Human Review + Policy checks]</w:t>
      </w:r>
      <w:r>
        <w:br/>
      </w:r>
      <w:r>
        <w:rPr>
          <w:rStyle w:val="VerbatimChar"/>
        </w:rPr>
        <w:t xml:space="preserve">  G --&gt;|merge| H[CI deploy to env]</w:t>
      </w:r>
      <w:r>
        <w:br/>
      </w:r>
      <w:r>
        <w:rPr>
          <w:rStyle w:val="VerbatimChar"/>
        </w:rPr>
        <w:t xml:space="preserve">  H --&gt; I[Post-deploy tests]</w:t>
      </w:r>
      <w:r>
        <w:br/>
      </w:r>
      <w:r>
        <w:rPr>
          <w:rStyle w:val="VerbatimChar"/>
        </w:rPr>
        <w:t xml:space="preserve">  I --&gt;|rollback| J[git revert + redeploy]</w:t>
      </w:r>
    </w:p>
    <w:p>
      <w:pPr>
        <w:pStyle w:val="FirstParagraph"/>
      </w:pPr>
      <w:r>
        <w:rPr>
          <w:b/>
          <w:bCs/>
        </w:rPr>
        <w:t xml:space="preserve">Warum SOTA:</w:t>
      </w:r>
      <w:r>
        <w:t xml:space="preserve"> </w:t>
      </w:r>
      <w:r>
        <w:t xml:space="preserve">Salesforce/Agentforce DX und klassische Metadata‑Workflows sind genau in diese Richtung gebaut (Agenten als versionierbare Artefakte).</w:t>
      </w:r>
      <w:r>
        <w:t xml:space="preserve"> </w:t>
      </w:r>
      <w:hyperlink r:id="rId2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GitOps‑Prinzipien sind etabliert (declarative, versioned state).</w:t>
      </w:r>
      <w:r>
        <w:t xml:space="preserve"> </w:t>
      </w:r>
      <w:hyperlink r:id="rId69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b/>
          <w:bCs/>
        </w:rPr>
        <w:t xml:space="preserve">Trade-offs:</w:t>
      </w:r>
      <w:r>
        <w:br/>
      </w:r>
      <w:r>
        <w:rPr>
          <w:i/>
          <w:iCs/>
        </w:rPr>
        <w:t xml:space="preserve">Pro: Maximale Auditability/Review, gute Rollback Story (revert), skalierbar.</w:t>
      </w:r>
      <w:r>
        <w:br/>
      </w:r>
      <w:r>
        <w:t xml:space="preserve"> </w:t>
      </w:r>
      <w:r>
        <w:t xml:space="preserve">Contra: Für proprietäre/binary Modelle braucht ihr Merge‑Tooling (Mendix zeigt den Aufwand).</w:t>
      </w:r>
      <w:r>
        <w:t xml:space="preserve"> </w:t>
      </w:r>
      <w:hyperlink r:id="rId67">
        <w:r>
          <w:rPr>
            <w:rStyle w:val="Hyperlink"/>
          </w:rPr>
          <w:t xml:space="preserve">[55]</w:t>
        </w:r>
      </w:hyperlink>
    </w:p>
    <w:bookmarkEnd w:id="98"/>
    <w:bookmarkStart w:id="100" w:name="X533fcdf98971d43334446ee30e1c8850455c16c"/>
    <w:p>
      <w:pPr>
        <w:pStyle w:val="Heading3"/>
      </w:pPr>
      <w:r>
        <w:t xml:space="preserve">Option: A12 In-Modeler Copilot mit serverseitigem Commit und Validator</w:t>
      </w:r>
    </w:p>
    <w:p>
      <w:pPr>
        <w:pStyle w:val="FirstParagraph"/>
      </w:pPr>
      <w:r>
        <w:rPr>
          <w:b/>
          <w:bCs/>
        </w:rPr>
        <w:t xml:space="preserve">Kernidee:</w:t>
      </w:r>
      <w:r>
        <w:t xml:space="preserve"> </w:t>
      </w:r>
      <w:r>
        <w:t xml:space="preserve">Agent lebt „im“ GUI‑Modeler (ähnlich Mendix Maia Make, Camunda Copilot), führt aber</w:t>
      </w:r>
      <w:r>
        <w:t xml:space="preserve"> </w:t>
      </w:r>
      <w:r>
        <w:rPr>
          <w:i/>
          <w:iCs/>
        </w:rPr>
        <w:t xml:space="preserve">keine direkten Writes</w:t>
      </w:r>
      <w:r>
        <w:t xml:space="preserve"> </w:t>
      </w:r>
      <w:r>
        <w:t xml:space="preserve">aus. Stattdessen erzeugt er Change‑Plans, die serverseitig validiert/committed werden (wie Option 1, aber UI‑zentriert).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 (Modeler UI)</w:t>
      </w:r>
      <w:r>
        <w:br/>
      </w:r>
      <w:r>
        <w:rPr>
          <w:rStyle w:val="VerbatimChar"/>
        </w:rPr>
        <w:t xml:space="preserve">  participant C as A12 Copilot (in UI)</w:t>
      </w:r>
      <w:r>
        <w:br/>
      </w:r>
      <w:r>
        <w:rPr>
          <w:rStyle w:val="VerbatimChar"/>
        </w:rPr>
        <w:t xml:space="preserve">  participant S as A12 Model Service</w:t>
      </w:r>
      <w:r>
        <w:br/>
      </w:r>
      <w:r>
        <w:rPr>
          <w:rStyle w:val="VerbatimChar"/>
        </w:rPr>
        <w:t xml:space="preserve">  participant V as Validator</w:t>
      </w:r>
      <w:r>
        <w:br/>
      </w:r>
      <w:r>
        <w:rPr>
          <w:rStyle w:val="VerbatimChar"/>
        </w:rPr>
        <w:t xml:space="preserve">  participant R as Repo</w:t>
      </w:r>
      <w:r>
        <w:br/>
      </w:r>
      <w:r>
        <w:br/>
      </w:r>
      <w:r>
        <w:rPr>
          <w:rStyle w:val="VerbatimChar"/>
        </w:rPr>
        <w:t xml:space="preserve">  U-&gt;&gt;C: Natural-language intent</w:t>
      </w:r>
      <w:r>
        <w:br/>
      </w:r>
      <w:r>
        <w:rPr>
          <w:rStyle w:val="VerbatimChar"/>
        </w:rPr>
        <w:t xml:space="preserve">  C-&gt;&gt;S: request model context slice</w:t>
      </w:r>
      <w:r>
        <w:br/>
      </w:r>
      <w:r>
        <w:rPr>
          <w:rStyle w:val="VerbatimChar"/>
        </w:rPr>
        <w:t xml:space="preserve">  S--&gt;&gt;C: slice + constraints</w:t>
      </w:r>
      <w:r>
        <w:br/>
      </w:r>
      <w:r>
        <w:rPr>
          <w:rStyle w:val="VerbatimChar"/>
        </w:rPr>
        <w:t xml:space="preserve">  C-&gt;&gt;S: propose change plan (typed)</w:t>
      </w:r>
      <w:r>
        <w:br/>
      </w:r>
      <w:r>
        <w:rPr>
          <w:rStyle w:val="VerbatimChar"/>
        </w:rPr>
        <w:t xml:space="preserve">  S-&gt;&gt;V: validate plan</w:t>
      </w:r>
      <w:r>
        <w:br/>
      </w:r>
      <w:r>
        <w:rPr>
          <w:rStyle w:val="VerbatimChar"/>
        </w:rPr>
        <w:t xml:space="preserve">  V--&gt;&gt;S: diagnostics + fix suggestions</w:t>
      </w:r>
      <w:r>
        <w:br/>
      </w:r>
      <w:r>
        <w:rPr>
          <w:rStyle w:val="VerbatimChar"/>
        </w:rPr>
        <w:t xml:space="preserve">  S--&gt;&gt;C: issues + suggested auto-fixes</w:t>
      </w:r>
      <w:r>
        <w:br/>
      </w:r>
      <w:r>
        <w:rPr>
          <w:rStyle w:val="VerbatimChar"/>
        </w:rPr>
        <w:t xml:space="preserve">  C--&gt;&gt;U: interactive preview / accept</w:t>
      </w:r>
      <w:r>
        <w:br/>
      </w:r>
      <w:r>
        <w:rPr>
          <w:rStyle w:val="VerbatimChar"/>
        </w:rPr>
        <w:t xml:space="preserve">  U-&gt;&gt;C: accept</w:t>
      </w:r>
      <w:r>
        <w:br/>
      </w:r>
      <w:r>
        <w:rPr>
          <w:rStyle w:val="VerbatimChar"/>
        </w:rPr>
        <w:t xml:space="preserve">  C-&gt;&gt;S: apply plan</w:t>
      </w:r>
      <w:r>
        <w:br/>
      </w:r>
      <w:r>
        <w:rPr>
          <w:rStyle w:val="VerbatimChar"/>
        </w:rPr>
        <w:t xml:space="preserve">  S-&gt;&gt;R: commit + version tag</w:t>
      </w:r>
      <w:r>
        <w:br/>
      </w:r>
      <w:r>
        <w:rPr>
          <w:rStyle w:val="VerbatimChar"/>
        </w:rPr>
        <w:t xml:space="preserve">  S--&gt;&gt;C: commit id + rollback points</w:t>
      </w:r>
    </w:p>
    <w:p>
      <w:pPr>
        <w:pStyle w:val="FirstParagraph"/>
      </w:pPr>
      <w:r>
        <w:rPr>
          <w:b/>
          <w:bCs/>
        </w:rPr>
        <w:t xml:space="preserve">Warum SOTA:</w:t>
      </w:r>
      <w:r>
        <w:t xml:space="preserve"> </w:t>
      </w:r>
      <w:r>
        <w:t xml:space="preserve">Mendix beschreibt Maia als AI‑Assistenz in Studio Pro und betont, dass Maia sogar App‑Teile generieren kann; Camunda beschreibt Copilot/Play‑basierte Validierung.</w:t>
      </w:r>
      <w:r>
        <w:t xml:space="preserve"> </w:t>
      </w:r>
      <w:hyperlink r:id="rId40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rPr>
          <w:b/>
          <w:bCs/>
        </w:rPr>
        <w:t xml:space="preserve">Trade-offs:</w:t>
      </w:r>
      <w:r>
        <w:br/>
      </w:r>
      <w:r>
        <w:rPr>
          <w:i/>
          <w:iCs/>
        </w:rPr>
        <w:t xml:space="preserve">Pro: Beste UX für exploratives Modellieren, weniger Kontextverlust, gute „Human-in-the-loop“‑Kontrolle.</w:t>
      </w:r>
      <w:r>
        <w:br/>
      </w:r>
      <w:r>
        <w:t xml:space="preserve"> </w:t>
      </w:r>
      <w:r>
        <w:t xml:space="preserve">Contra: Modeler‑Integration/Plugin‑API muss stabil sein; Camunda warnt z. B., dass Plugin API nicht stabil ist.</w:t>
      </w:r>
      <w:r>
        <w:t xml:space="preserve"> </w:t>
      </w:r>
      <w:hyperlink r:id="rId99">
        <w:r>
          <w:rPr>
            <w:rStyle w:val="Hyperlink"/>
          </w:rPr>
          <w:t xml:space="preserve">[79]</w:t>
        </w:r>
      </w:hyperlink>
    </w:p>
    <w:bookmarkEnd w:id="100"/>
    <w:bookmarkStart w:id="101" w:name="Xb02685ab6d9f41a7511ee5f292ebca0fee67c64"/>
    <w:p>
      <w:pPr>
        <w:pStyle w:val="Heading3"/>
      </w:pPr>
      <w:r>
        <w:t xml:space="preserve">Minimaler CLI+JSON Baustein für A12 (agent-driven query/modify)</w:t>
      </w:r>
    </w:p>
    <w:p>
      <w:pPr>
        <w:pStyle w:val="FirstParagraph"/>
      </w:pPr>
      <w:r>
        <w:t xml:space="preserve">Ein pragmatischer Start (auch als Fallback für alle Optionen):</w:t>
      </w:r>
    </w:p>
    <w:p>
      <w:pPr>
        <w:pStyle w:val="SourceCode"/>
      </w:pPr>
      <w:r>
        <w:rPr>
          <w:rStyle w:val="VerbatimChar"/>
        </w:rPr>
        <w:t xml:space="preserve"># Query: alle Entities mit Attributen</w:t>
      </w:r>
      <w:r>
        <w:br/>
      </w:r>
      <w:r>
        <w:rPr>
          <w:rStyle w:val="VerbatimChar"/>
        </w:rPr>
        <w:t xml:space="preserve">a12 model query --format json \</w:t>
      </w:r>
      <w:r>
        <w:br/>
      </w:r>
      <w:r>
        <w:rPr>
          <w:rStyle w:val="VerbatimChar"/>
        </w:rPr>
        <w:t xml:space="preserve">  --select 'entities[*].{name:name, attributes:attributes[*].name}' &gt; entities.json</w:t>
      </w:r>
      <w:r>
        <w:br/>
      </w:r>
      <w:r>
        <w:br/>
      </w:r>
      <w:r>
        <w:rPr>
          <w:rStyle w:val="VerbatimChar"/>
        </w:rPr>
        <w:t xml:space="preserve"># Agent (oder Skript) generiert Patch</w:t>
      </w:r>
      <w:r>
        <w:br/>
      </w:r>
      <w:r>
        <w:rPr>
          <w:rStyle w:val="VerbatimChar"/>
        </w:rPr>
        <w:t xml:space="preserve">cat &gt; patch.json &lt;&lt;'JSON'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"op": "add",</w:t>
      </w:r>
      <w:r>
        <w:br/>
      </w:r>
      <w:r>
        <w:rPr>
          <w:rStyle w:val="VerbatimChar"/>
        </w:rPr>
        <w:t xml:space="preserve">  "path": "/entities/-",</w:t>
      </w:r>
      <w:r>
        <w:br/>
      </w:r>
      <w:r>
        <w:rPr>
          <w:rStyle w:val="VerbatimChar"/>
        </w:rPr>
        <w:t xml:space="preserve">  "value": { "name": "Customer", "attributes": [{"name":"Email","type":"String"}]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JSON</w:t>
      </w:r>
      <w:r>
        <w:br/>
      </w:r>
      <w:r>
        <w:br/>
      </w:r>
      <w:r>
        <w:rPr>
          <w:rStyle w:val="VerbatimChar"/>
        </w:rPr>
        <w:t xml:space="preserve"># Apply + Validate + Commit (transaktional)</w:t>
      </w:r>
      <w:r>
        <w:br/>
      </w:r>
      <w:r>
        <w:rPr>
          <w:rStyle w:val="VerbatimChar"/>
        </w:rPr>
        <w:t xml:space="preserve">a12 model apply --patch patch.json --validate --commit \</w:t>
      </w:r>
      <w:r>
        <w:br/>
      </w:r>
      <w:r>
        <w:rPr>
          <w:rStyle w:val="VerbatimChar"/>
        </w:rPr>
        <w:t xml:space="preserve">  --message "Add Customer entity (agent-assisted)"</w:t>
      </w:r>
    </w:p>
    <w:p>
      <w:pPr>
        <w:pStyle w:val="FirstParagraph"/>
      </w:pPr>
      <w:r>
        <w:rPr>
          <w:i/>
          <w:iCs/>
        </w:rPr>
        <w:t xml:space="preserve">Wichtig:</w:t>
      </w:r>
      <w:r>
        <w:t xml:space="preserve"> </w:t>
      </w:r>
      <w:r>
        <w:t xml:space="preserve">Die Wertschöpfung entsteht nicht durch „JSON patch an sich“, sondern durch</w:t>
      </w:r>
      <w:r>
        <w:t xml:space="preserve"> </w:t>
      </w:r>
      <w:r>
        <w:rPr>
          <w:b/>
          <w:bCs/>
        </w:rPr>
        <w:t xml:space="preserve">A12‑seitige Garantien</w:t>
      </w:r>
      <w:r>
        <w:t xml:space="preserve">: schema validation, referential integrity, deterministic IDs/layout, audit log, rollback pointers.</w:t>
      </w:r>
    </w:p>
    <w:bookmarkEnd w:id="101"/>
    <w:bookmarkEnd w:id="102"/>
    <w:bookmarkStart w:id="107" w:name="X76d3aaa827bc1583c0f332397acae0c7f309b0e"/>
    <w:p>
      <w:pPr>
        <w:pStyle w:val="Heading2"/>
      </w:pPr>
      <w:r>
        <w:t xml:space="preserve">Anhang mit priorisierten Quellen und Vertiefungsfragen</w:t>
      </w:r>
    </w:p>
    <w:bookmarkStart w:id="105" w:name="priorisierte-quellen-kuratiert"/>
    <w:p>
      <w:pPr>
        <w:pStyle w:val="Heading3"/>
      </w:pPr>
      <w:r>
        <w:t xml:space="preserve">Priorisierte Quellen (kuratiert)</w:t>
      </w:r>
    </w:p>
    <w:p>
      <w:pPr>
        <w:pStyle w:val="FirstParagraph"/>
      </w:pPr>
      <w:r>
        <w:rPr>
          <w:b/>
          <w:bCs/>
        </w:rPr>
        <w:t xml:space="preserve">Offizielle Vendor-Dokumentation (höchste Priorität)</w:t>
      </w:r>
      <w:r>
        <w:br/>
      </w:r>
      <w:r>
        <w:t xml:space="preserve">Figma MCP Server Tools/Installationspfade/Capabilities</w:t>
      </w:r>
      <w:r>
        <w:t xml:space="preserve"> </w:t>
      </w:r>
      <w:hyperlink r:id="rId21">
        <w:r>
          <w:rPr>
            <w:rStyle w:val="Hyperlink"/>
          </w:rPr>
          <w:t xml:space="preserve">[80]</w:t>
        </w:r>
      </w:hyperlink>
      <w:r>
        <w:br/>
      </w:r>
      <w:r>
        <w:t xml:space="preserve">Figma REST: Variables/Dev Resources/Rate Limits/Discovery/Version History</w:t>
      </w:r>
      <w:r>
        <w:t xml:space="preserve"> </w:t>
      </w:r>
      <w:hyperlink r:id="rId28">
        <w:r>
          <w:rPr>
            <w:rStyle w:val="Hyperlink"/>
          </w:rPr>
          <w:t xml:space="preserve">[81]</w:t>
        </w:r>
      </w:hyperlink>
      <w:r>
        <w:br/>
      </w:r>
      <w:r>
        <w:t xml:space="preserve">Camunda Web Modeler API + Limits/Undo‑Hinweis, Play mode, zbctl/REST‑Strategie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Salesforce Agentforce DX (Agent Metadata, Agent Spec, Manage/Activate/Deactivate)</w:t>
      </w:r>
      <w:r>
        <w:t xml:space="preserve"> </w:t>
      </w:r>
      <w:hyperlink r:id="rId26">
        <w:r>
          <w:rPr>
            <w:rStyle w:val="Hyperlink"/>
          </w:rPr>
          <w:t xml:space="preserve">[68]</w:t>
        </w:r>
      </w:hyperlink>
      <w:r>
        <w:br/>
      </w:r>
      <w:r>
        <w:t xml:space="preserve">Salesforce Metadata Deploy</w:t>
      </w:r>
      <w:r>
        <w:t xml:space="preserve"> </w:t>
      </w:r>
      <w:r>
        <w:rPr>
          <w:rStyle w:val="VerbatimChar"/>
        </w:rPr>
        <w:t xml:space="preserve">rollbackOnError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  <w:r>
        <w:br/>
      </w:r>
      <w:r>
        <w:t xml:space="preserve">Mendix SDK Intro/Working Copy Commit/„invalid model“ Troubleshooting, Maia Privacy/MCP Client</w:t>
      </w:r>
      <w:r>
        <w:t xml:space="preserve"> </w:t>
      </w:r>
      <w:hyperlink r:id="rId24">
        <w:r>
          <w:rPr>
            <w:rStyle w:val="Hyperlink"/>
          </w:rPr>
          <w:t xml:space="preserve">[82]</w:t>
        </w:r>
      </w:hyperlink>
      <w:r>
        <w:br/>
      </w:r>
      <w:r>
        <w:t xml:space="preserve">Mendix Merge (mx merge, merge algorithm, #Conflicts)</w:t>
      </w:r>
      <w:r>
        <w:t xml:space="preserve"> </w:t>
      </w:r>
      <w:hyperlink r:id="rId67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Originale Forschung / peer-reviewed (für GUI vs Text, Low-Code/LLM, RAG)</w:t>
      </w:r>
      <w:r>
        <w:br/>
      </w:r>
      <w:r>
        <w:t xml:space="preserve">Grafisch vs textuell in Design‑Kommunikation (family of experiments)</w:t>
      </w:r>
      <w:r>
        <w:t xml:space="preserve"> </w:t>
      </w:r>
      <w:hyperlink r:id="rId29">
        <w:r>
          <w:rPr>
            <w:rStyle w:val="Hyperlink"/>
          </w:rPr>
          <w:t xml:space="preserve">[83]</w:t>
        </w:r>
      </w:hyperlink>
      <w:r>
        <w:br/>
      </w:r>
      <w:r>
        <w:t xml:space="preserve">Notationseffekte auf Produktivität im Domain Modelling</w:t>
      </w:r>
      <w:r>
        <w:t xml:space="preserve"> </w:t>
      </w:r>
      <w:hyperlink r:id="rId92">
        <w:r>
          <w:rPr>
            <w:rStyle w:val="Hyperlink"/>
          </w:rPr>
          <w:t xml:space="preserve">[84]</w:t>
        </w:r>
      </w:hyperlink>
      <w:r>
        <w:br/>
      </w:r>
      <w:r>
        <w:t xml:space="preserve">Grafische vs textuelle Prozessbeschreibungen (experimentell; JSS)</w:t>
      </w:r>
      <w:r>
        <w:t xml:space="preserve"> </w:t>
      </w:r>
      <w:hyperlink r:id="rId103">
        <w:r>
          <w:rPr>
            <w:rStyle w:val="Hyperlink"/>
          </w:rPr>
          <w:t xml:space="preserve">[85]</w:t>
        </w:r>
      </w:hyperlink>
      <w:r>
        <w:br/>
      </w:r>
      <w:r>
        <w:t xml:space="preserve">Low‑Code vs Developer Experience/Efficiency (MODELS Companion’24, University of Kassel</w:t>
      </w:r>
      <w:hyperlink r:id="rId29">
        <w:r>
          <w:rPr>
            <w:rStyle w:val="Hyperlink"/>
          </w:rPr>
          <w:t xml:space="preserve">[75]</w:t>
        </w:r>
      </w:hyperlink>
      <w:r>
        <w:t xml:space="preserve">)</w:t>
      </w:r>
      <w:r>
        <w:t xml:space="preserve"> </w:t>
      </w:r>
      <w:hyperlink r:id="rId93">
        <w:r>
          <w:rPr>
            <w:rStyle w:val="Hyperlink"/>
          </w:rPr>
          <w:t xml:space="preserve">[86]</w:t>
        </w:r>
      </w:hyperlink>
      <w:r>
        <w:br/>
      </w:r>
      <w:r>
        <w:t xml:space="preserve">RAG Grundlagendokument (NeurIPS 2020)</w:t>
      </w:r>
      <w:r>
        <w:t xml:space="preserve"> </w:t>
      </w:r>
      <w:hyperlink r:id="rId71">
        <w:r>
          <w:rPr>
            <w:rStyle w:val="Hyperlink"/>
          </w:rPr>
          <w:t xml:space="preserve">[56]</w:t>
        </w:r>
      </w:hyperlink>
      <w:r>
        <w:br/>
      </w:r>
      <w:r>
        <w:t xml:space="preserve">Empirische Studie zu traditional vs LLM‑based Low‑Code (SO‑Datenanalyse)</w:t>
      </w:r>
      <w:r>
        <w:t xml:space="preserve"> </w:t>
      </w:r>
      <w:hyperlink r:id="rId94">
        <w:r>
          <w:rPr>
            <w:rStyle w:val="Hyperlink"/>
          </w:rPr>
          <w:t xml:space="preserve">[87]</w:t>
        </w:r>
      </w:hyperlink>
    </w:p>
    <w:p>
      <w:pPr>
        <w:pStyle w:val="BodyText"/>
      </w:pPr>
      <w:r>
        <w:rPr>
          <w:b/>
          <w:bCs/>
        </w:rPr>
        <w:t xml:space="preserve">Ökosystem/Standards &amp; Security</w:t>
      </w:r>
      <w:r>
        <w:br/>
      </w:r>
      <w:r>
        <w:t xml:space="preserve">MCP OAuth/Resource Indicators + RFC 8707</w:t>
      </w:r>
      <w:r>
        <w:t xml:space="preserve"> </w:t>
      </w:r>
      <w:hyperlink r:id="rId73">
        <w:r>
          <w:rPr>
            <w:rStyle w:val="Hyperlink"/>
          </w:rPr>
          <w:t xml:space="preserve">[58]</w:t>
        </w:r>
      </w:hyperlink>
      <w:r>
        <w:br/>
      </w:r>
      <w:r>
        <w:t xml:space="preserve">OpenAI Tool calling + MCP Connectors/Agents SDK</w:t>
      </w:r>
      <w:r>
        <w:t xml:space="preserve"> </w:t>
      </w:r>
      <w:hyperlink r:id="rId104">
        <w:r>
          <w:rPr>
            <w:rStyle w:val="Hyperlink"/>
          </w:rPr>
          <w:t xml:space="preserve">[88]</w:t>
        </w:r>
      </w:hyperlink>
      <w:r>
        <w:br/>
      </w:r>
      <w:r>
        <w:t xml:space="preserve">Beobachtete Risiken im MCP‑Ökosystem (Supply‑Chain/Sicherheitslücken)</w:t>
      </w:r>
      <w:r>
        <w:t xml:space="preserve"> </w:t>
      </w:r>
      <w:hyperlink r:id="rId79">
        <w:r>
          <w:rPr>
            <w:rStyle w:val="Hyperlink"/>
          </w:rPr>
          <w:t xml:space="preserve">[63]</w:t>
        </w:r>
      </w:hyperlink>
    </w:p>
    <w:bookmarkEnd w:id="105"/>
    <w:bookmarkStart w:id="106" w:name="vertiefungsfragen"/>
    <w:p>
      <w:pPr>
        <w:pStyle w:val="Heading3"/>
      </w:pPr>
      <w:r>
        <w:t xml:space="preserve">Vertiefungsfragen</w:t>
      </w:r>
    </w:p>
    <w:p>
      <w:pPr>
        <w:pStyle w:val="FirstParagraph"/>
      </w:pPr>
      <w:r>
        <w:t xml:space="preserve">A. Welche</w:t>
      </w:r>
      <w:r>
        <w:t xml:space="preserve"> </w:t>
      </w:r>
      <w:r>
        <w:rPr>
          <w:b/>
          <w:bCs/>
        </w:rPr>
        <w:t xml:space="preserve">A12‑Modell‑Invarianten</w:t>
      </w:r>
      <w:r>
        <w:t xml:space="preserve"> </w:t>
      </w:r>
      <w:r>
        <w:t xml:space="preserve">(Referenzen, IDs, Layout, Constraints, Security) müssen</w:t>
      </w:r>
      <w:r>
        <w:t xml:space="preserve"> </w:t>
      </w:r>
      <w:r>
        <w:rPr>
          <w:i/>
          <w:iCs/>
        </w:rPr>
        <w:t xml:space="preserve">härter</w:t>
      </w:r>
      <w:r>
        <w:t xml:space="preserve"> </w:t>
      </w:r>
      <w:r>
        <w:t xml:space="preserve">garantiert werden: bei jeder Mutation oder erst vor Deploy?</w:t>
      </w:r>
      <w:r>
        <w:br/>
      </w:r>
      <w:r>
        <w:t xml:space="preserve">B. Wie sollte eure</w:t>
      </w:r>
      <w:r>
        <w:t xml:space="preserve"> </w:t>
      </w:r>
      <w:r>
        <w:rPr>
          <w:b/>
          <w:bCs/>
        </w:rPr>
        <w:t xml:space="preserve">A12‑Tool-Semantik</w:t>
      </w:r>
      <w:r>
        <w:t xml:space="preserve"> </w:t>
      </w:r>
      <w:r>
        <w:t xml:space="preserve">aussehen: „Low‑level JSON Patch“ vs. „High‑level Model Commands“ (create entity, move node, refactor module)?</w:t>
      </w:r>
      <w:r>
        <w:br/>
      </w:r>
      <w:r>
        <w:t xml:space="preserve">C. Welche</w:t>
      </w:r>
      <w:r>
        <w:t xml:space="preserve"> </w:t>
      </w:r>
      <w:r>
        <w:rPr>
          <w:b/>
          <w:bCs/>
        </w:rPr>
        <w:t xml:space="preserve">Transaktions- und Rollback-Semantik</w:t>
      </w:r>
      <w:r>
        <w:t xml:space="preserve"> </w:t>
      </w:r>
      <w:r>
        <w:t xml:space="preserve">braucht ihr: „rollbackOnError“ (all‑or‑nothing) vs. partial apply + kompensierende Aktionen?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  <w:r>
        <w:br/>
      </w:r>
      <w:r>
        <w:t xml:space="preserve">D. Wie wollt ihr</w:t>
      </w:r>
      <w:r>
        <w:t xml:space="preserve"> </w:t>
      </w:r>
      <w:r>
        <w:rPr>
          <w:b/>
          <w:bCs/>
        </w:rPr>
        <w:t xml:space="preserve">Merge &amp; Conflict Resolution</w:t>
      </w:r>
      <w:r>
        <w:t xml:space="preserve"> </w:t>
      </w:r>
      <w:r>
        <w:t xml:space="preserve">für proprietäre/graphische Modelle lösen (MPR‑ähnlich) und welche Text‑/kanonische Repräsentation ist dafür nötig?</w:t>
      </w:r>
      <w:r>
        <w:t xml:space="preserve"> </w:t>
      </w:r>
      <w:hyperlink r:id="rId67">
        <w:r>
          <w:rPr>
            <w:rStyle w:val="Hyperlink"/>
          </w:rPr>
          <w:t xml:space="preserve">[55]</w:t>
        </w:r>
      </w:hyperlink>
      <w:r>
        <w:br/>
      </w:r>
      <w:r>
        <w:t xml:space="preserve">E. Welche</w:t>
      </w:r>
      <w:r>
        <w:t xml:space="preserve"> </w:t>
      </w:r>
      <w:r>
        <w:rPr>
          <w:b/>
          <w:bCs/>
        </w:rPr>
        <w:t xml:space="preserve">Security-Grenzen</w:t>
      </w:r>
      <w:r>
        <w:t xml:space="preserve"> </w:t>
      </w:r>
      <w:r>
        <w:t xml:space="preserve">setzt ihr für Agenten: MCP mit OAuth‑Resource‑Binding (RFC 8707), per‑Command RBAC/ABAC, Sandbox‑Execution, Secrets‑Handling?</w:t>
      </w:r>
      <w:r>
        <w:t xml:space="preserve"> </w:t>
      </w:r>
      <w:hyperlink r:id="rId73">
        <w:r>
          <w:rPr>
            <w:rStyle w:val="Hyperlink"/>
          </w:rPr>
          <w:t xml:space="preserve">[89]</w:t>
        </w:r>
      </w:hyperlink>
    </w:p>
    <w:bookmarkEnd w:id="106"/>
    <w:bookmarkEnd w:id="107"/>
    <w:bookmarkEnd w:id="108"/>
    <w:bookmarkEnd w:id="109"/>
    <w:p>
      <w:r>
        <w:pict>
          <v:rect style="width:0;height:1.5pt" o:hralign="center" o:hrstd="t" o:hr="t"/>
        </w:pict>
      </w:r>
    </w:p>
    <w:bookmarkStart w:id="11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https://developers.figma.com/docs/figma-mcp-server/tools-and-prompts/</w:t>
      </w:r>
    </w:p>
    <w:p>
      <w:pPr>
        <w:pStyle w:val="BodyText"/>
      </w:pPr>
      <w:hyperlink r:id="rId21">
        <w:r>
          <w:rPr>
            <w:rStyle w:val="Hyperlink"/>
          </w:rPr>
          <w:t xml:space="preserve">https://developers.figma.com/docs/figma-mcp-server/tools-and-prompts/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https://developer.salesforce.com/docs/ai/agentforce/guide/agent-dx-manage.html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https://developer.salesforce.com/docs/ai/agentforce/guide/agent-dx-manage.html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t xml:space="preserve"> </w:t>
      </w:r>
      <w:hyperlink r:id="rId23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https://developers.openai.com/api/docs/guides/tools-connectors-mcp/</w:t>
      </w:r>
    </w:p>
    <w:p>
      <w:pPr>
        <w:pStyle w:val="BodyText"/>
      </w:pPr>
      <w:hyperlink r:id="rId23">
        <w:r>
          <w:rPr>
            <w:rStyle w:val="Hyperlink"/>
          </w:rPr>
          <w:t xml:space="preserve">https://developers.openai.com/api/docs/guides/tools-connectors-mcp/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[29]</w:t>
        </w:r>
      </w:hyperlink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hyperlink r:id="rId24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https://docs.mendix.com/apidocs-mxsdk/mxsdk/sdk-intro/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https://docs.mendix.com/apidocs-mxsdk/mxsdk/sdk-intro/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https://www.mendix.com/blog/mendix-release-11-8/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https://www.mendix.com/blog/mendix-release-11-8/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[18]</w:t>
        </w:r>
      </w:hyperlink>
      <w:r>
        <w:t xml:space="preserve"> </w:t>
      </w:r>
      <w:hyperlink r:id="rId26">
        <w:r>
          <w:rPr>
            <w:rStyle w:val="Hyperlink"/>
          </w:rPr>
          <w:t xml:space="preserve">[43]</w:t>
        </w:r>
      </w:hyperlink>
      <w:r>
        <w:t xml:space="preserve"> </w:t>
      </w:r>
      <w:hyperlink r:id="rId26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https://developer.salesforce.com/docs/ai/agentforce/guide/agent-dx-metadata.html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https://developer.salesforce.com/docs/ai/agentforce/guide/agent-dx-metadata.html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https://docs.camunda.io/docs/apis-tools/web-modeler-api/overview/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https://docs.camunda.io/docs/apis-tools/web-modeler-api/overview/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8">
        <w:r>
          <w:rPr>
            <w:rStyle w:val="Hyperlink"/>
          </w:rPr>
          <w:t xml:space="preserve">[27]</w:t>
        </w:r>
      </w:hyperlink>
      <w:r>
        <w:t xml:space="preserve"> </w:t>
      </w:r>
      <w:hyperlink r:id="rId28">
        <w:r>
          <w:rPr>
            <w:rStyle w:val="Hyperlink"/>
          </w:rPr>
          <w:t xml:space="preserve">[39]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hyperlink r:id="rId28">
        <w:r>
          <w:rPr>
            <w:rStyle w:val="Hyperlink"/>
          </w:rPr>
          <w:t xml:space="preserve">[60]</w:t>
        </w:r>
      </w:hyperlink>
      <w:r>
        <w:t xml:space="preserve"> </w:t>
      </w:r>
      <w:hyperlink r:id="rId28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https://developers.figma.com/docs/rest-api/variables-endpoints/</w:t>
      </w:r>
    </w:p>
    <w:p>
      <w:pPr>
        <w:pStyle w:val="BodyText"/>
      </w:pPr>
      <w:hyperlink r:id="rId28">
        <w:r>
          <w:rPr>
            <w:rStyle w:val="Hyperlink"/>
          </w:rPr>
          <w:t xml:space="preserve">https://developers.figma.com/docs/rest-api/variables-endpoints/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[73]</w:t>
        </w:r>
      </w:hyperlink>
      <w:r>
        <w:t xml:space="preserve"> </w:t>
      </w:r>
      <w:hyperlink r:id="rId29">
        <w:r>
          <w:rPr>
            <w:rStyle w:val="Hyperlink"/>
          </w:rPr>
          <w:t xml:space="preserve">[75]</w:t>
        </w:r>
      </w:hyperlink>
      <w:r>
        <w:t xml:space="preserve"> </w:t>
      </w:r>
      <w:hyperlink r:id="rId29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https://www.se-rwth.de/publications/Software-engineering-whispers-The-effect-of-textual-vs-graphical-software-design-descriptions-on-software-design-communication.pdf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https://www.se-rwth.de/publications/Software-engineering-whispers-The-effect-of-textual-vs-graphical-software-design-descriptions-on-software-design-communication.pdf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https://help.figma.com/hc/en-us/articles/32132100833559-Guide-to-the-Figma-MCP-server</w:t>
      </w:r>
    </w:p>
    <w:p>
      <w:pPr>
        <w:pStyle w:val="BodyText"/>
      </w:pPr>
      <w:hyperlink r:id="rId31">
        <w:r>
          <w:rPr>
            <w:rStyle w:val="Hyperlink"/>
          </w:rPr>
          <w:t xml:space="preserve">https://help.figma.com/hc/en-us/articles/32132100833559-Guide-to-the-Figma-MCP-server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https://developers.figma.com/docs/rest-api/version-history-endpoints/</w:t>
      </w:r>
    </w:p>
    <w:p>
      <w:pPr>
        <w:pStyle w:val="BodyText"/>
      </w:pPr>
      <w:hyperlink r:id="rId32">
        <w:r>
          <w:rPr>
            <w:rStyle w:val="Hyperlink"/>
          </w:rPr>
          <w:t xml:space="preserve">https://developers.figma.com/docs/rest-api/version-history-endpoints/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https://docs.camunda.io/docs/components/modeler/web-modeler/collaboration/play-your-process/</w:t>
      </w:r>
    </w:p>
    <w:p>
      <w:pPr>
        <w:pStyle w:val="BodyText"/>
      </w:pPr>
      <w:hyperlink r:id="rId34">
        <w:r>
          <w:rPr>
            <w:rStyle w:val="Hyperlink"/>
          </w:rPr>
          <w:t xml:space="preserve">https://docs.camunda.io/docs/components/modeler/web-modeler/collaboration/play-your-process/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https://unsupported.docs.camunda.io/8.5/docs/apis-tools/cli-client/</w:t>
      </w:r>
    </w:p>
    <w:p>
      <w:pPr>
        <w:pStyle w:val="BodyText"/>
      </w:pPr>
      <w:hyperlink r:id="rId35">
        <w:r>
          <w:rPr>
            <w:rStyle w:val="Hyperlink"/>
          </w:rPr>
          <w:t xml:space="preserve">https://unsupported.docs.camunda.io/8.5/docs/apis-tools/cli-client/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https://camunda.com/blog/2025/05/camunda-88-preview-feel-capabilities-copilot/</w:t>
      </w:r>
    </w:p>
    <w:p>
      <w:pPr>
        <w:pStyle w:val="BodyText"/>
      </w:pPr>
      <w:hyperlink r:id="rId36">
        <w:r>
          <w:rPr>
            <w:rStyle w:val="Hyperlink"/>
          </w:rPr>
          <w:t xml:space="preserve">https://camunda.com/blog/2025/05/camunda-88-preview-feel-capabilities-copilot/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https://developer.salesforce.com/docs/ai/agentforce/guide/agent-dx-generate-agent-spec.html</w:t>
      </w:r>
    </w:p>
    <w:p>
      <w:pPr>
        <w:pStyle w:val="BodyText"/>
      </w:pPr>
      <w:hyperlink r:id="rId38">
        <w:r>
          <w:rPr>
            <w:rStyle w:val="Hyperlink"/>
          </w:rPr>
          <w:t xml:space="preserve">https://developer.salesforce.com/docs/ai/agentforce/guide/agent-dx-generate-agent-spec.html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https://apidocs.rnd.mendix.com/platformsdk/latest/classes/onlineworkingcopy.html</w:t>
      </w:r>
    </w:p>
    <w:p>
      <w:pPr>
        <w:pStyle w:val="BodyText"/>
      </w:pPr>
      <w:hyperlink r:id="rId39">
        <w:r>
          <w:rPr>
            <w:rStyle w:val="Hyperlink"/>
          </w:rPr>
          <w:t xml:space="preserve">https://apidocs.rnd.mendix.com/platformsdk/latest/classes/onlineworkingcopy.html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0">
        <w:r>
          <w:rPr>
            <w:rStyle w:val="Hyperlink"/>
          </w:rPr>
          <w:t xml:space="preserve">[69]</w:t>
        </w:r>
      </w:hyperlink>
      <w:r>
        <w:t xml:space="preserve"> </w:t>
      </w:r>
      <w:hyperlink r:id="rId40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https://docs.mendix.com/refguide/mendix-ai-assistance/</w:t>
      </w:r>
    </w:p>
    <w:p>
      <w:pPr>
        <w:pStyle w:val="BodyText"/>
      </w:pPr>
      <w:hyperlink r:id="rId40">
        <w:r>
          <w:rPr>
            <w:rStyle w:val="Hyperlink"/>
          </w:rPr>
          <w:t xml:space="preserve">https://docs.mendix.com/refguide/mendix-ai-assistance/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https://docs.mendix.com/apidocs-mxsdk/mxsdk/finding-things-in-the-model/</w:t>
      </w:r>
    </w:p>
    <w:p>
      <w:pPr>
        <w:pStyle w:val="BodyText"/>
      </w:pPr>
      <w:hyperlink r:id="rId43">
        <w:r>
          <w:rPr>
            <w:rStyle w:val="Hyperlink"/>
          </w:rPr>
          <w:t xml:space="preserve">https://docs.mendix.com/apidocs-mxsdk/mxsdk/finding-things-in-the-model/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https://unsupported.docs.camunda.io/8.1/docs/apis-tools/grpc/</w:t>
      </w:r>
    </w:p>
    <w:p>
      <w:pPr>
        <w:pStyle w:val="BodyText"/>
      </w:pPr>
      <w:hyperlink r:id="rId44">
        <w:r>
          <w:rPr>
            <w:rStyle w:val="Hyperlink"/>
          </w:rPr>
          <w:t xml:space="preserve">https://unsupported.docs.camunda.io/8.1/docs/apis-tools/grpc/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https://help.salesforce.com/s/articleView?id=platform.flow_test_debug.htm&amp;language=en_US&amp;type=5</w:t>
      </w:r>
    </w:p>
    <w:p>
      <w:pPr>
        <w:pStyle w:val="BodyText"/>
      </w:pPr>
      <w:hyperlink r:id="rId45">
        <w:r>
          <w:rPr>
            <w:rStyle w:val="Hyperlink"/>
          </w:rPr>
          <w:t xml:space="preserve">https://help.salesforce.com/s/articleView?id=platform.flow_test_debug.htm&amp;language=en_US&amp;type=5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https://docs.mendix.com/refguide/microflows/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https://docs.mendix.com/refguide/microflows/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https://docs.mendix.com/refguide/merge-algorithm/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https://docs.mendix.com/refguide/merge-algorithm/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https://developer.salesforce.com/docs/atlas.en-us.securityImplGuide.meta/securityImplGuide/admin_monitorsetup.htm</w:t>
      </w:r>
    </w:p>
    <w:p>
      <w:pPr>
        <w:pStyle w:val="BodyText"/>
      </w:pPr>
      <w:hyperlink r:id="rId48">
        <w:r>
          <w:rPr>
            <w:rStyle w:val="Hyperlink"/>
          </w:rPr>
          <w:t xml:space="preserve">https://developer.salesforce.com/docs/atlas.en-us.securityImplGuide.meta/securityImplGuide/admin_monitorsetup.htm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[36]</w:t>
        </w:r>
      </w:hyperlink>
      <w:r>
        <w:t xml:space="preserve"> </w:t>
      </w:r>
      <w:hyperlink r:id="rId49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https://developers.figma.com/docs/rest-api/discovery/</w:t>
      </w:r>
    </w:p>
    <w:p>
      <w:pPr>
        <w:pStyle w:val="BodyText"/>
      </w:pPr>
      <w:hyperlink r:id="rId49">
        <w:r>
          <w:rPr>
            <w:rStyle w:val="Hyperlink"/>
          </w:rPr>
          <w:t xml:space="preserve">https://developers.figma.com/docs/rest-api/discovery/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https://developers.figma.com/docs/rest-api/version-history-types/</w:t>
      </w:r>
    </w:p>
    <w:p>
      <w:pPr>
        <w:pStyle w:val="BodyText"/>
      </w:pPr>
      <w:hyperlink r:id="rId50">
        <w:r>
          <w:rPr>
            <w:rStyle w:val="Hyperlink"/>
          </w:rPr>
          <w:t xml:space="preserve">https://developers.figma.com/docs/rest-api/version-history-types/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https://developer.salesforce.com/docs/atlas.en-us.api_meta.meta/api_meta/meta_deploy.htm</w:t>
      </w:r>
    </w:p>
    <w:p>
      <w:pPr>
        <w:pStyle w:val="BodyText"/>
      </w:pPr>
      <w:hyperlink r:id="rId51">
        <w:r>
          <w:rPr>
            <w:rStyle w:val="Hyperlink"/>
          </w:rPr>
          <w:t xml:space="preserve">https://developer.salesforce.com/docs/atlas.en-us.api_meta.meta/api_meta/meta_deploy.htm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[42]</w:t>
        </w:r>
      </w:hyperlink>
      <w:r>
        <w:t xml:space="preserve"> </w:t>
      </w:r>
      <w:hyperlink r:id="rId54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https://camunda.com/blog/2024/09/deprecating-zbctl-and-go-clients/</w:t>
      </w:r>
    </w:p>
    <w:p>
      <w:pPr>
        <w:pStyle w:val="BodyText"/>
      </w:pPr>
      <w:hyperlink r:id="rId54">
        <w:r>
          <w:rPr>
            <w:rStyle w:val="Hyperlink"/>
          </w:rPr>
          <w:t xml:space="preserve">https://camunda.com/blog/2024/09/deprecating-zbctl-and-go-clients/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https://developer.salesforce.com/docs/atlas.en-us.api_meta.meta/api_meta/meta_flowdefinition.htm</w:t>
      </w:r>
    </w:p>
    <w:p>
      <w:pPr>
        <w:pStyle w:val="BodyText"/>
      </w:pPr>
      <w:hyperlink r:id="rId56">
        <w:r>
          <w:rPr>
            <w:rStyle w:val="Hyperlink"/>
          </w:rPr>
          <w:t xml:space="preserve">https://developer.salesforce.com/docs/atlas.en-us.api_meta.meta/api_meta/meta_flowdefinition.htm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https://docs.mendix.com/apidocs-mxsdk/mxsdk/creating-your-first-script/</w:t>
      </w:r>
    </w:p>
    <w:p>
      <w:pPr>
        <w:pStyle w:val="BodyText"/>
      </w:pPr>
      <w:hyperlink r:id="rId58">
        <w:r>
          <w:rPr>
            <w:rStyle w:val="Hyperlink"/>
          </w:rPr>
          <w:t xml:space="preserve">https://docs.mendix.com/apidocs-mxsdk/mxsdk/creating-your-first-script/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https://camunda.github.io/orchestration-cluster-api-js/</w:t>
      </w:r>
    </w:p>
    <w:p>
      <w:pPr>
        <w:pStyle w:val="BodyText"/>
      </w:pPr>
      <w:hyperlink r:id="rId64">
        <w:r>
          <w:rPr>
            <w:rStyle w:val="Hyperlink"/>
          </w:rPr>
          <w:t xml:space="preserve">https://camunda.github.io/orchestration-cluster-api-js/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https://github.com/salesforcecli/plugin-agent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https://github.com/salesforcecli/plugin-agent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[52]</w:t>
        </w:r>
      </w:hyperlink>
      <w:r>
        <w:t xml:space="preserve"> </w:t>
      </w:r>
      <w:hyperlink r:id="rId67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https://docs.mendix.com/refguide/mx-command-line-tool/merge/</w:t>
      </w:r>
    </w:p>
    <w:p>
      <w:pPr>
        <w:pStyle w:val="BodyText"/>
      </w:pPr>
      <w:hyperlink r:id="rId67">
        <w:r>
          <w:rPr>
            <w:rStyle w:val="Hyperlink"/>
          </w:rPr>
          <w:t xml:space="preserve">https://docs.mendix.com/refguide/mx-command-line-tool/merge/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https://www.cncf.io/blog/2022/08/10/add-gitops-without-throwing-out-your-ci-tools/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https://www.cncf.io/blog/2022/08/10/add-gitops-without-throwing-out-your-ci-tools/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https://proceedings.neurips.cc/paper/2020/file/6b493230205f780e1bc26945df7481e5-Paper.pdf</w:t>
      </w:r>
    </w:p>
    <w:p>
      <w:pPr>
        <w:pStyle w:val="BodyText"/>
      </w:pPr>
      <w:hyperlink r:id="rId71">
        <w:r>
          <w:rPr>
            <w:rStyle w:val="Hyperlink"/>
          </w:rPr>
          <w:t xml:space="preserve">https://proceedings.neurips.cc/paper/2020/file/6b493230205f780e1bc26945df7481e5-Paper.pdf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[58]</w:t>
        </w:r>
      </w:hyperlink>
      <w:r>
        <w:t xml:space="preserve"> </w:t>
      </w:r>
      <w:hyperlink r:id="rId73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https://modelcontextprotocol.io/specification/2025-06-18/basic/authorization</w:t>
      </w:r>
    </w:p>
    <w:p>
      <w:pPr>
        <w:pStyle w:val="BodyText"/>
      </w:pPr>
      <w:hyperlink r:id="rId73">
        <w:r>
          <w:rPr>
            <w:rStyle w:val="Hyperlink"/>
          </w:rPr>
          <w:t xml:space="preserve">https://modelcontextprotocol.io/specification/2025-06-18/basic/authorization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[61]</w:t>
        </w:r>
      </w:hyperlink>
      <w:r>
        <w:t xml:space="preserve"> </w:t>
      </w:r>
      <w:hyperlink r:id="rId76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https://developers.figma.com/docs/rest-api/rate-limits/</w:t>
      </w:r>
    </w:p>
    <w:p>
      <w:pPr>
        <w:pStyle w:val="BodyText"/>
      </w:pPr>
      <w:hyperlink r:id="rId76">
        <w:r>
          <w:rPr>
            <w:rStyle w:val="Hyperlink"/>
          </w:rPr>
          <w:t xml:space="preserve">https://developers.figma.com/docs/rest-api/rate-limits/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https://forum.figma.com/report-a-problem-6/rest-api-rate-limit-images-api-returns-429-after-10-requests-cloudfront-49021</w:t>
      </w:r>
    </w:p>
    <w:p>
      <w:pPr>
        <w:pStyle w:val="BodyText"/>
      </w:pPr>
      <w:hyperlink r:id="rId77">
        <w:r>
          <w:rPr>
            <w:rStyle w:val="Hyperlink"/>
          </w:rPr>
          <w:t xml:space="preserve">https://forum.figma.com/report-a-problem-6/rest-api-rate-limit-images-api-returns-429-after-10-requests-cloudfront-49021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https://www.techradar.com/pro/security/anthropics-official-git-mcp-server-had-some-worrying-security-flaws-this-is-what-happened-next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https://www.techradar.com/pro/security/anthropics-official-git-mcp-server-had-some-worrying-security-flaws-this-is-what-happened-next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https://developers.openai.com/api/docs/guides/agents-sdk/</w:t>
      </w:r>
    </w:p>
    <w:p>
      <w:pPr>
        <w:pStyle w:val="BodyText"/>
      </w:pPr>
      <w:hyperlink r:id="rId82">
        <w:r>
          <w:rPr>
            <w:rStyle w:val="Hyperlink"/>
          </w:rPr>
          <w:t xml:space="preserve">https://developers.openai.com/api/docs/guides/agents-sdk/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https://docs.mendix.com/refguide/logging/</w:t>
      </w:r>
    </w:p>
    <w:p>
      <w:pPr>
        <w:pStyle w:val="BodyText"/>
      </w:pPr>
      <w:hyperlink r:id="rId83">
        <w:r>
          <w:rPr>
            <w:rStyle w:val="Hyperlink"/>
          </w:rPr>
          <w:t xml:space="preserve">https://docs.mendix.com/refguide/logging/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https://www.figma.com/blog/introducing-figma-mcp-server/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https://www.figma.com/blog/introducing-figma-mcp-server/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https://camunda.com/blog/2025/02/building-ai-agent-camunda/</w:t>
      </w:r>
    </w:p>
    <w:p>
      <w:pPr>
        <w:pStyle w:val="BodyText"/>
      </w:pPr>
      <w:hyperlink r:id="rId87">
        <w:r>
          <w:rPr>
            <w:rStyle w:val="Hyperlink"/>
          </w:rPr>
          <w:t xml:space="preserve">https://camunda.com/blog/2025/02/building-ai-agent-camunda/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https://github.com/forcedotcom/cli/issues/3405</w:t>
      </w:r>
    </w:p>
    <w:p>
      <w:pPr>
        <w:pStyle w:val="BodyText"/>
      </w:pPr>
      <w:hyperlink r:id="rId89">
        <w:r>
          <w:rPr>
            <w:rStyle w:val="Hyperlink"/>
          </w:rPr>
          <w:t xml:space="preserve">https://github.com/forcedotcom/cli/issues/3405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https://docs.mendix.com/howto9/monitoring-troubleshooting/solving-load-and-import-errors/</w:t>
      </w:r>
    </w:p>
    <w:p>
      <w:pPr>
        <w:pStyle w:val="BodyText"/>
      </w:pPr>
      <w:hyperlink r:id="rId90">
        <w:r>
          <w:rPr>
            <w:rStyle w:val="Hyperlink"/>
          </w:rPr>
          <w:t xml:space="preserve">https://docs.mendix.com/howto9/monitoring-troubleshooting/solving-load-and-import-errors/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[74]</w:t>
        </w:r>
      </w:hyperlink>
      <w:r>
        <w:t xml:space="preserve"> </w:t>
      </w:r>
      <w:hyperlink r:id="rId92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https://scispace.com/pdf/impact-of-model-notations-on-the-productivity-of-domain-2f278keuj7.pdf</w:t>
      </w:r>
    </w:p>
    <w:p>
      <w:pPr>
        <w:pStyle w:val="BodyText"/>
      </w:pPr>
      <w:hyperlink r:id="rId92">
        <w:r>
          <w:rPr>
            <w:rStyle w:val="Hyperlink"/>
          </w:rPr>
          <w:t xml:space="preserve">https://scispace.com/pdf/impact-of-model-notations-on-the-productivity-of-domain-2f278keuj7.pdf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[76]</w:t>
        </w:r>
      </w:hyperlink>
      <w:r>
        <w:t xml:space="preserve"> </w:t>
      </w:r>
      <w:hyperlink r:id="rId93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https://www.uni-kassel.de/eecs/index.php?eID=dumpFile&amp;f=40025&amp;t=f&amp;token=b1a175d421589348da54f15ffb99610ac0d45cd4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https://www.uni-kassel.de/eecs/index.php?eID=dumpFile&amp;f=40025&amp;t=f&amp;token=b1a175d421589348da54f15ffb99610ac0d45cd4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[77]</w:t>
        </w:r>
      </w:hyperlink>
      <w:r>
        <w:t xml:space="preserve"> </w:t>
      </w:r>
      <w:hyperlink r:id="rId94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https://nzjohng.github.io/publications/papers/jss2025_3.pdf</w:t>
      </w:r>
    </w:p>
    <w:p>
      <w:pPr>
        <w:pStyle w:val="BodyText"/>
      </w:pPr>
      <w:hyperlink r:id="rId94">
        <w:r>
          <w:rPr>
            <w:rStyle w:val="Hyperlink"/>
          </w:rPr>
          <w:t xml:space="preserve">https://nzjohng.github.io/publications/papers/jss2025_3.pdf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https://docs.camunda.io/docs/components/modeler/desktop-modeler/plugins/</w:t>
      </w:r>
    </w:p>
    <w:p>
      <w:pPr>
        <w:pStyle w:val="BodyText"/>
      </w:pPr>
      <w:hyperlink r:id="rId99">
        <w:r>
          <w:rPr>
            <w:rStyle w:val="Hyperlink"/>
          </w:rPr>
          <w:t xml:space="preserve">https://docs.camunda.io/docs/components/modeler/desktop-modeler/plugins/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https://research.wu.ac.at/ws/files/19821275/JSS11-description.pdf</w:t>
      </w:r>
    </w:p>
    <w:p>
      <w:pPr>
        <w:pStyle w:val="BodyText"/>
      </w:pPr>
      <w:hyperlink r:id="rId103">
        <w:r>
          <w:rPr>
            <w:rStyle w:val="Hyperlink"/>
          </w:rPr>
          <w:t xml:space="preserve">https://research.wu.ac.at/ws/files/19821275/JSS11-description.pdf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https://developers.openai.com/api/docs/guides/function-calling/</w:t>
      </w:r>
    </w:p>
    <w:p>
      <w:pPr>
        <w:pStyle w:val="BodyText"/>
      </w:pPr>
      <w:hyperlink r:id="rId104">
        <w:r>
          <w:rPr>
            <w:rStyle w:val="Hyperlink"/>
          </w:rPr>
          <w:t xml:space="preserve">https://developers.openai.com/api/docs/guides/function-calling/</w:t>
        </w:r>
      </w:hyperlink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apidocs.rnd.mendix.com/platformsdk/latest/classes/onlineworkingcopy.html" TargetMode="External" /><Relationship Type="http://schemas.openxmlformats.org/officeDocument/2006/relationships/hyperlink" Id="rId54" Target="https://camunda.com/blog/2024/09/deprecating-zbctl-and-go-clients/" TargetMode="External" /><Relationship Type="http://schemas.openxmlformats.org/officeDocument/2006/relationships/hyperlink" Id="rId87" Target="https://camunda.com/blog/2025/02/building-ai-agent-camunda/" TargetMode="External" /><Relationship Type="http://schemas.openxmlformats.org/officeDocument/2006/relationships/hyperlink" Id="rId36" Target="https://camunda.com/blog/2025/05/camunda-88-preview-feel-capabilities-copilot/" TargetMode="External" /><Relationship Type="http://schemas.openxmlformats.org/officeDocument/2006/relationships/hyperlink" Id="rId64" Target="https://camunda.github.io/orchestration-cluster-api-js/" TargetMode="External" /><Relationship Type="http://schemas.openxmlformats.org/officeDocument/2006/relationships/hyperlink" Id="rId38" Target="https://developer.salesforce.com/docs/ai/agentforce/guide/agent-dx-generate-agent-spec.html" TargetMode="External" /><Relationship Type="http://schemas.openxmlformats.org/officeDocument/2006/relationships/hyperlink" Id="rId22" Target="https://developer.salesforce.com/docs/ai/agentforce/guide/agent-dx-manage.html" TargetMode="External" /><Relationship Type="http://schemas.openxmlformats.org/officeDocument/2006/relationships/hyperlink" Id="rId26" Target="https://developer.salesforce.com/docs/ai/agentforce/guide/agent-dx-metadata.html" TargetMode="External" /><Relationship Type="http://schemas.openxmlformats.org/officeDocument/2006/relationships/hyperlink" Id="rId51" Target="https://developer.salesforce.com/docs/atlas.en-us.api_meta.meta/api_meta/meta_deploy.htm" TargetMode="External" /><Relationship Type="http://schemas.openxmlformats.org/officeDocument/2006/relationships/hyperlink" Id="rId56" Target="https://developer.salesforce.com/docs/atlas.en-us.api_meta.meta/api_meta/meta_flowdefinition.htm" TargetMode="External" /><Relationship Type="http://schemas.openxmlformats.org/officeDocument/2006/relationships/hyperlink" Id="rId48" Target="https://developer.salesforce.com/docs/atlas.en-us.securityImplGuide.meta/securityImplGuide/admin_monitorsetup.htm" TargetMode="External" /><Relationship Type="http://schemas.openxmlformats.org/officeDocument/2006/relationships/hyperlink" Id="rId21" Target="https://developers.figma.com/docs/figma-mcp-server/tools-and-prompts/" TargetMode="External" /><Relationship Type="http://schemas.openxmlformats.org/officeDocument/2006/relationships/hyperlink" Id="rId49" Target="https://developers.figma.com/docs/rest-api/discovery/" TargetMode="External" /><Relationship Type="http://schemas.openxmlformats.org/officeDocument/2006/relationships/hyperlink" Id="rId76" Target="https://developers.figma.com/docs/rest-api/rate-limits/" TargetMode="External" /><Relationship Type="http://schemas.openxmlformats.org/officeDocument/2006/relationships/hyperlink" Id="rId28" Target="https://developers.figma.com/docs/rest-api/variables-endpoints/" TargetMode="External" /><Relationship Type="http://schemas.openxmlformats.org/officeDocument/2006/relationships/hyperlink" Id="rId32" Target="https://developers.figma.com/docs/rest-api/version-history-endpoints/" TargetMode="External" /><Relationship Type="http://schemas.openxmlformats.org/officeDocument/2006/relationships/hyperlink" Id="rId50" Target="https://developers.figma.com/docs/rest-api/version-history-types/" TargetMode="External" /><Relationship Type="http://schemas.openxmlformats.org/officeDocument/2006/relationships/hyperlink" Id="rId82" Target="https://developers.openai.com/api/docs/guides/agents-sdk/" TargetMode="External" /><Relationship Type="http://schemas.openxmlformats.org/officeDocument/2006/relationships/hyperlink" Id="rId104" Target="https://developers.openai.com/api/docs/guides/function-calling/" TargetMode="External" /><Relationship Type="http://schemas.openxmlformats.org/officeDocument/2006/relationships/hyperlink" Id="rId23" Target="https://developers.openai.com/api/docs/guides/tools-connectors-mcp/" TargetMode="External" /><Relationship Type="http://schemas.openxmlformats.org/officeDocument/2006/relationships/hyperlink" Id="rId27" Target="https://docs.camunda.io/docs/apis-tools/web-modeler-api/overview/" TargetMode="External" /><Relationship Type="http://schemas.openxmlformats.org/officeDocument/2006/relationships/hyperlink" Id="rId99" Target="https://docs.camunda.io/docs/components/modeler/desktop-modeler/plugins/" TargetMode="External" /><Relationship Type="http://schemas.openxmlformats.org/officeDocument/2006/relationships/hyperlink" Id="rId34" Target="https://docs.camunda.io/docs/components/modeler/web-modeler/collaboration/play-your-process/" TargetMode="External" /><Relationship Type="http://schemas.openxmlformats.org/officeDocument/2006/relationships/hyperlink" Id="rId58" Target="https://docs.mendix.com/apidocs-mxsdk/mxsdk/creating-your-first-script/" TargetMode="External" /><Relationship Type="http://schemas.openxmlformats.org/officeDocument/2006/relationships/hyperlink" Id="rId43" Target="https://docs.mendix.com/apidocs-mxsdk/mxsdk/finding-things-in-the-model/" TargetMode="External" /><Relationship Type="http://schemas.openxmlformats.org/officeDocument/2006/relationships/hyperlink" Id="rId24" Target="https://docs.mendix.com/apidocs-mxsdk/mxsdk/sdk-intro/" TargetMode="External" /><Relationship Type="http://schemas.openxmlformats.org/officeDocument/2006/relationships/hyperlink" Id="rId90" Target="https://docs.mendix.com/howto9/monitoring-troubleshooting/solving-load-and-import-errors/" TargetMode="External" /><Relationship Type="http://schemas.openxmlformats.org/officeDocument/2006/relationships/hyperlink" Id="rId83" Target="https://docs.mendix.com/refguide/logging/" TargetMode="External" /><Relationship Type="http://schemas.openxmlformats.org/officeDocument/2006/relationships/hyperlink" Id="rId40" Target="https://docs.mendix.com/refguide/mendix-ai-assistance/" TargetMode="External" /><Relationship Type="http://schemas.openxmlformats.org/officeDocument/2006/relationships/hyperlink" Id="rId47" Target="https://docs.mendix.com/refguide/merge-algorithm/" TargetMode="External" /><Relationship Type="http://schemas.openxmlformats.org/officeDocument/2006/relationships/hyperlink" Id="rId46" Target="https://docs.mendix.com/refguide/microflows/" TargetMode="External" /><Relationship Type="http://schemas.openxmlformats.org/officeDocument/2006/relationships/hyperlink" Id="rId67" Target="https://docs.mendix.com/refguide/mx-command-line-tool/merge/" TargetMode="External" /><Relationship Type="http://schemas.openxmlformats.org/officeDocument/2006/relationships/hyperlink" Id="rId77" Target="https://forum.figma.com/report-a-problem-6/rest-api-rate-limit-images-api-returns-429-after-10-requests-cloudfront-49021" TargetMode="External" /><Relationship Type="http://schemas.openxmlformats.org/officeDocument/2006/relationships/hyperlink" Id="rId89" Target="https://github.com/forcedotcom/cli/issues/3405" TargetMode="External" /><Relationship Type="http://schemas.openxmlformats.org/officeDocument/2006/relationships/hyperlink" Id="rId66" Target="https://github.com/salesforcecli/plugin-agent" TargetMode="External" /><Relationship Type="http://schemas.openxmlformats.org/officeDocument/2006/relationships/hyperlink" Id="rId31" Target="https://help.figma.com/hc/en-us/articles/32132100833559-Guide-to-the-Figma-MCP-server" TargetMode="External" /><Relationship Type="http://schemas.openxmlformats.org/officeDocument/2006/relationships/hyperlink" Id="rId45" Target="https://help.salesforce.com/s/articleView?id=platform.flow_test_debug.htm&amp;language=en_US&amp;type=5" TargetMode="External" /><Relationship Type="http://schemas.openxmlformats.org/officeDocument/2006/relationships/hyperlink" Id="rId73" Target="https://modelcontextprotocol.io/specification/2025-06-18/basic/authorization" TargetMode="External" /><Relationship Type="http://schemas.openxmlformats.org/officeDocument/2006/relationships/hyperlink" Id="rId94" Target="https://nzjohng.github.io/publications/papers/jss2025_3.pdf" TargetMode="External" /><Relationship Type="http://schemas.openxmlformats.org/officeDocument/2006/relationships/hyperlink" Id="rId71" Target="https://proceedings.neurips.cc/paper/2020/file/6b493230205f780e1bc26945df7481e5-Paper.pdf" TargetMode="External" /><Relationship Type="http://schemas.openxmlformats.org/officeDocument/2006/relationships/hyperlink" Id="rId103" Target="https://research.wu.ac.at/ws/files/19821275/JSS11-description.pdf" TargetMode="External" /><Relationship Type="http://schemas.openxmlformats.org/officeDocument/2006/relationships/hyperlink" Id="rId92" Target="https://scispace.com/pdf/impact-of-model-notations-on-the-productivity-of-domain-2f278keuj7.pdf" TargetMode="External" /><Relationship Type="http://schemas.openxmlformats.org/officeDocument/2006/relationships/hyperlink" Id="rId44" Target="https://unsupported.docs.camunda.io/8.1/docs/apis-tools/grpc/" TargetMode="External" /><Relationship Type="http://schemas.openxmlformats.org/officeDocument/2006/relationships/hyperlink" Id="rId35" Target="https://unsupported.docs.camunda.io/8.5/docs/apis-tools/cli-client/" TargetMode="External" /><Relationship Type="http://schemas.openxmlformats.org/officeDocument/2006/relationships/hyperlink" Id="rId69" Target="https://www.cncf.io/blog/2022/08/10/add-gitops-without-throwing-out-your-ci-tools/" TargetMode="External" /><Relationship Type="http://schemas.openxmlformats.org/officeDocument/2006/relationships/hyperlink" Id="rId86" Target="https://www.figma.com/blog/introducing-figma-mcp-server/" TargetMode="External" /><Relationship Type="http://schemas.openxmlformats.org/officeDocument/2006/relationships/hyperlink" Id="rId25" Target="https://www.mendix.com/blog/mendix-release-11-8/" TargetMode="External" /><Relationship Type="http://schemas.openxmlformats.org/officeDocument/2006/relationships/hyperlink" Id="rId29" Target="https://www.se-rwth.de/publications/Software-engineering-whispers-The-effect-of-textual-vs-graphical-software-design-descriptions-on-software-design-communication.pdf" TargetMode="External" /><Relationship Type="http://schemas.openxmlformats.org/officeDocument/2006/relationships/hyperlink" Id="rId79" Target="https://www.techradar.com/pro/security/anthropics-official-git-mcp-server-had-some-worrying-security-flaws-this-is-what-happened-next" TargetMode="External" /><Relationship Type="http://schemas.openxmlformats.org/officeDocument/2006/relationships/hyperlink" Id="rId93" Target="https://www.uni-kassel.de/eecs/index.php?eID=dumpFile&amp;f=40025&amp;t=f&amp;token=b1a175d421589348da54f15ffb99610ac0d45cd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pidocs.rnd.mendix.com/platformsdk/latest/classes/onlineworkingcopy.html" TargetMode="External" /><Relationship Type="http://schemas.openxmlformats.org/officeDocument/2006/relationships/hyperlink" Id="rId54" Target="https://camunda.com/blog/2024/09/deprecating-zbctl-and-go-clients/" TargetMode="External" /><Relationship Type="http://schemas.openxmlformats.org/officeDocument/2006/relationships/hyperlink" Id="rId87" Target="https://camunda.com/blog/2025/02/building-ai-agent-camunda/" TargetMode="External" /><Relationship Type="http://schemas.openxmlformats.org/officeDocument/2006/relationships/hyperlink" Id="rId36" Target="https://camunda.com/blog/2025/05/camunda-88-preview-feel-capabilities-copilot/" TargetMode="External" /><Relationship Type="http://schemas.openxmlformats.org/officeDocument/2006/relationships/hyperlink" Id="rId64" Target="https://camunda.github.io/orchestration-cluster-api-js/" TargetMode="External" /><Relationship Type="http://schemas.openxmlformats.org/officeDocument/2006/relationships/hyperlink" Id="rId38" Target="https://developer.salesforce.com/docs/ai/agentforce/guide/agent-dx-generate-agent-spec.html" TargetMode="External" /><Relationship Type="http://schemas.openxmlformats.org/officeDocument/2006/relationships/hyperlink" Id="rId22" Target="https://developer.salesforce.com/docs/ai/agentforce/guide/agent-dx-manage.html" TargetMode="External" /><Relationship Type="http://schemas.openxmlformats.org/officeDocument/2006/relationships/hyperlink" Id="rId26" Target="https://developer.salesforce.com/docs/ai/agentforce/guide/agent-dx-metadata.html" TargetMode="External" /><Relationship Type="http://schemas.openxmlformats.org/officeDocument/2006/relationships/hyperlink" Id="rId51" Target="https://developer.salesforce.com/docs/atlas.en-us.api_meta.meta/api_meta/meta_deploy.htm" TargetMode="External" /><Relationship Type="http://schemas.openxmlformats.org/officeDocument/2006/relationships/hyperlink" Id="rId56" Target="https://developer.salesforce.com/docs/atlas.en-us.api_meta.meta/api_meta/meta_flowdefinition.htm" TargetMode="External" /><Relationship Type="http://schemas.openxmlformats.org/officeDocument/2006/relationships/hyperlink" Id="rId48" Target="https://developer.salesforce.com/docs/atlas.en-us.securityImplGuide.meta/securityImplGuide/admin_monitorsetup.htm" TargetMode="External" /><Relationship Type="http://schemas.openxmlformats.org/officeDocument/2006/relationships/hyperlink" Id="rId21" Target="https://developers.figma.com/docs/figma-mcp-server/tools-and-prompts/" TargetMode="External" /><Relationship Type="http://schemas.openxmlformats.org/officeDocument/2006/relationships/hyperlink" Id="rId49" Target="https://developers.figma.com/docs/rest-api/discovery/" TargetMode="External" /><Relationship Type="http://schemas.openxmlformats.org/officeDocument/2006/relationships/hyperlink" Id="rId76" Target="https://developers.figma.com/docs/rest-api/rate-limits/" TargetMode="External" /><Relationship Type="http://schemas.openxmlformats.org/officeDocument/2006/relationships/hyperlink" Id="rId28" Target="https://developers.figma.com/docs/rest-api/variables-endpoints/" TargetMode="External" /><Relationship Type="http://schemas.openxmlformats.org/officeDocument/2006/relationships/hyperlink" Id="rId32" Target="https://developers.figma.com/docs/rest-api/version-history-endpoints/" TargetMode="External" /><Relationship Type="http://schemas.openxmlformats.org/officeDocument/2006/relationships/hyperlink" Id="rId50" Target="https://developers.figma.com/docs/rest-api/version-history-types/" TargetMode="External" /><Relationship Type="http://schemas.openxmlformats.org/officeDocument/2006/relationships/hyperlink" Id="rId82" Target="https://developers.openai.com/api/docs/guides/agents-sdk/" TargetMode="External" /><Relationship Type="http://schemas.openxmlformats.org/officeDocument/2006/relationships/hyperlink" Id="rId104" Target="https://developers.openai.com/api/docs/guides/function-calling/" TargetMode="External" /><Relationship Type="http://schemas.openxmlformats.org/officeDocument/2006/relationships/hyperlink" Id="rId23" Target="https://developers.openai.com/api/docs/guides/tools-connectors-mcp/" TargetMode="External" /><Relationship Type="http://schemas.openxmlformats.org/officeDocument/2006/relationships/hyperlink" Id="rId27" Target="https://docs.camunda.io/docs/apis-tools/web-modeler-api/overview/" TargetMode="External" /><Relationship Type="http://schemas.openxmlformats.org/officeDocument/2006/relationships/hyperlink" Id="rId99" Target="https://docs.camunda.io/docs/components/modeler/desktop-modeler/plugins/" TargetMode="External" /><Relationship Type="http://schemas.openxmlformats.org/officeDocument/2006/relationships/hyperlink" Id="rId34" Target="https://docs.camunda.io/docs/components/modeler/web-modeler/collaboration/play-your-process/" TargetMode="External" /><Relationship Type="http://schemas.openxmlformats.org/officeDocument/2006/relationships/hyperlink" Id="rId58" Target="https://docs.mendix.com/apidocs-mxsdk/mxsdk/creating-your-first-script/" TargetMode="External" /><Relationship Type="http://schemas.openxmlformats.org/officeDocument/2006/relationships/hyperlink" Id="rId43" Target="https://docs.mendix.com/apidocs-mxsdk/mxsdk/finding-things-in-the-model/" TargetMode="External" /><Relationship Type="http://schemas.openxmlformats.org/officeDocument/2006/relationships/hyperlink" Id="rId24" Target="https://docs.mendix.com/apidocs-mxsdk/mxsdk/sdk-intro/" TargetMode="External" /><Relationship Type="http://schemas.openxmlformats.org/officeDocument/2006/relationships/hyperlink" Id="rId90" Target="https://docs.mendix.com/howto9/monitoring-troubleshooting/solving-load-and-import-errors/" TargetMode="External" /><Relationship Type="http://schemas.openxmlformats.org/officeDocument/2006/relationships/hyperlink" Id="rId83" Target="https://docs.mendix.com/refguide/logging/" TargetMode="External" /><Relationship Type="http://schemas.openxmlformats.org/officeDocument/2006/relationships/hyperlink" Id="rId40" Target="https://docs.mendix.com/refguide/mendix-ai-assistance/" TargetMode="External" /><Relationship Type="http://schemas.openxmlformats.org/officeDocument/2006/relationships/hyperlink" Id="rId47" Target="https://docs.mendix.com/refguide/merge-algorithm/" TargetMode="External" /><Relationship Type="http://schemas.openxmlformats.org/officeDocument/2006/relationships/hyperlink" Id="rId46" Target="https://docs.mendix.com/refguide/microflows/" TargetMode="External" /><Relationship Type="http://schemas.openxmlformats.org/officeDocument/2006/relationships/hyperlink" Id="rId67" Target="https://docs.mendix.com/refguide/mx-command-line-tool/merge/" TargetMode="External" /><Relationship Type="http://schemas.openxmlformats.org/officeDocument/2006/relationships/hyperlink" Id="rId77" Target="https://forum.figma.com/report-a-problem-6/rest-api-rate-limit-images-api-returns-429-after-10-requests-cloudfront-49021" TargetMode="External" /><Relationship Type="http://schemas.openxmlformats.org/officeDocument/2006/relationships/hyperlink" Id="rId89" Target="https://github.com/forcedotcom/cli/issues/3405" TargetMode="External" /><Relationship Type="http://schemas.openxmlformats.org/officeDocument/2006/relationships/hyperlink" Id="rId66" Target="https://github.com/salesforcecli/plugin-agent" TargetMode="External" /><Relationship Type="http://schemas.openxmlformats.org/officeDocument/2006/relationships/hyperlink" Id="rId31" Target="https://help.figma.com/hc/en-us/articles/32132100833559-Guide-to-the-Figma-MCP-server" TargetMode="External" /><Relationship Type="http://schemas.openxmlformats.org/officeDocument/2006/relationships/hyperlink" Id="rId45" Target="https://help.salesforce.com/s/articleView?id=platform.flow_test_debug.htm&amp;language=en_US&amp;type=5" TargetMode="External" /><Relationship Type="http://schemas.openxmlformats.org/officeDocument/2006/relationships/hyperlink" Id="rId73" Target="https://modelcontextprotocol.io/specification/2025-06-18/basic/authorization" TargetMode="External" /><Relationship Type="http://schemas.openxmlformats.org/officeDocument/2006/relationships/hyperlink" Id="rId94" Target="https://nzjohng.github.io/publications/papers/jss2025_3.pdf" TargetMode="External" /><Relationship Type="http://schemas.openxmlformats.org/officeDocument/2006/relationships/hyperlink" Id="rId71" Target="https://proceedings.neurips.cc/paper/2020/file/6b493230205f780e1bc26945df7481e5-Paper.pdf" TargetMode="External" /><Relationship Type="http://schemas.openxmlformats.org/officeDocument/2006/relationships/hyperlink" Id="rId103" Target="https://research.wu.ac.at/ws/files/19821275/JSS11-description.pdf" TargetMode="External" /><Relationship Type="http://schemas.openxmlformats.org/officeDocument/2006/relationships/hyperlink" Id="rId92" Target="https://scispace.com/pdf/impact-of-model-notations-on-the-productivity-of-domain-2f278keuj7.pdf" TargetMode="External" /><Relationship Type="http://schemas.openxmlformats.org/officeDocument/2006/relationships/hyperlink" Id="rId44" Target="https://unsupported.docs.camunda.io/8.1/docs/apis-tools/grpc/" TargetMode="External" /><Relationship Type="http://schemas.openxmlformats.org/officeDocument/2006/relationships/hyperlink" Id="rId35" Target="https://unsupported.docs.camunda.io/8.5/docs/apis-tools/cli-client/" TargetMode="External" /><Relationship Type="http://schemas.openxmlformats.org/officeDocument/2006/relationships/hyperlink" Id="rId69" Target="https://www.cncf.io/blog/2022/08/10/add-gitops-without-throwing-out-your-ci-tools/" TargetMode="External" /><Relationship Type="http://schemas.openxmlformats.org/officeDocument/2006/relationships/hyperlink" Id="rId86" Target="https://www.figma.com/blog/introducing-figma-mcp-server/" TargetMode="External" /><Relationship Type="http://schemas.openxmlformats.org/officeDocument/2006/relationships/hyperlink" Id="rId25" Target="https://www.mendix.com/blog/mendix-release-11-8/" TargetMode="External" /><Relationship Type="http://schemas.openxmlformats.org/officeDocument/2006/relationships/hyperlink" Id="rId29" Target="https://www.se-rwth.de/publications/Software-engineering-whispers-The-effect-of-textual-vs-graphical-software-design-descriptions-on-software-design-communication.pdf" TargetMode="External" /><Relationship Type="http://schemas.openxmlformats.org/officeDocument/2006/relationships/hyperlink" Id="rId79" Target="https://www.techradar.com/pro/security/anthropics-official-git-mcp-server-had-some-worrying-security-flaws-this-is-what-happened-next" TargetMode="External" /><Relationship Type="http://schemas.openxmlformats.org/officeDocument/2006/relationships/hyperlink" Id="rId93" Target="https://www.uni-kassel.de/eecs/index.php?eID=dumpFile&amp;f=40025&amp;t=f&amp;token=b1a175d421589348da54f15ffb99610ac0d45cd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2026-03-21T20:00:00Z</dcterms:created>
  <dcterms:modified xsi:type="dcterms:W3CDTF">2026-03-21T20:00:00Z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