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9" w:name="content"/>
    <w:bookmarkStart w:id="68" w:name="Xa821c8f88aa863cfafd6c31d5ef661e731d45bd"/>
    <w:p>
      <w:pPr>
        <w:pStyle w:val="Heading1"/>
      </w:pPr>
      <w:r>
        <w:t xml:space="preserve">LLM-as-a-Judge in Benchmarks für Coding‑Agenten</w:t>
      </w:r>
    </w:p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In Coding‑Benchmarks dominiert weiterhin</w:t>
      </w:r>
      <w:r>
        <w:t xml:space="preserve"> </w:t>
      </w:r>
      <w:r>
        <w:rPr>
          <w:b/>
          <w:bCs/>
        </w:rPr>
        <w:t xml:space="preserve">testbasierte Pass‑Rate</w:t>
      </w:r>
      <w:r>
        <w:t xml:space="preserve"> </w:t>
      </w:r>
      <w:r>
        <w:t xml:space="preserve">(Unit‑Tests/Integrationstests) als objektives Erfolgskriterium, während</w:t>
      </w:r>
      <w:r>
        <w:t xml:space="preserve"> </w:t>
      </w:r>
      <w:r>
        <w:rPr>
          <w:b/>
          <w:bCs/>
        </w:rPr>
        <w:t xml:space="preserve">LLM-as-a-Judge</w:t>
      </w:r>
      <w:r>
        <w:t xml:space="preserve"> </w:t>
      </w:r>
      <w:r>
        <w:t xml:space="preserve">vor allem dort eingesetzt wird, wo Tests fehlen, unvollständig sind oder wo zusätzliche Qualitätsdimensionen (Lesbarkeit, Patch‑Akzeptabilität, Teilschritte) bewertet werden sollen. Primärquellen zeigen jedoch, dass LLM‑Judging in Coding‑Kontexten</w:t>
      </w:r>
      <w:r>
        <w:t xml:space="preserve"> </w:t>
      </w:r>
      <w:r>
        <w:rPr>
          <w:b/>
          <w:bCs/>
        </w:rPr>
        <w:t xml:space="preserve">besonders anfällig für Positions‑/Format‑Effekte und Stochastik</w:t>
      </w:r>
      <w:r>
        <w:t xml:space="preserve"> </w:t>
      </w:r>
      <w:r>
        <w:t xml:space="preserve">ist und daher robuste Designs (Randomisierung, Mehrfach‑Judging, Abstention, Referenz-/Rubrik‑Guidance, CI‑Reporting) benötigt.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22"/>
    <w:bookmarkStart w:id="28" w:name="Xdde3c5fad8687be0b307b06435a81f602b1b696"/>
    <w:p>
      <w:pPr>
        <w:pStyle w:val="Heading2"/>
      </w:pPr>
      <w:r>
        <w:t xml:space="preserve">Begriffe und konzeptionelle Unterscheidungen</w:t>
      </w:r>
    </w:p>
    <w:bookmarkStart w:id="25" w:name="X5c8c40402860e91a092829f96ce32f573ecdcc6"/>
    <w:p>
      <w:pPr>
        <w:pStyle w:val="Heading3"/>
      </w:pPr>
      <w:r>
        <w:t xml:space="preserve">Definition: LLM-as-a-Judge im Coding‑Kontext</w:t>
      </w:r>
    </w:p>
    <w:p>
      <w:pPr>
        <w:pStyle w:val="FirstParagraph"/>
      </w:pPr>
      <w:r>
        <w:rPr>
          <w:b/>
          <w:bCs/>
        </w:rPr>
        <w:t xml:space="preserve">LLM-as-a-Judge (Coding)</w:t>
      </w:r>
      <w:r>
        <w:t xml:space="preserve"> </w:t>
      </w:r>
      <w:r>
        <w:t xml:space="preserve">bezeichnet Evaluationsverfahren, in denen ein Language Model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Code‑Outputs (z. B. generierte Funktionen, Patches, Test‑Suites, Agent‑Trajektorien) bewertet oder vergleicht, typischerweise über ein Prompt, das Aufgabe</w:t>
      </w:r>
      <w:r>
        <w:t xml:space="preserve"> </w:t>
      </w:r>
      <m:oMath>
        <m:r>
          <m:t>p</m:t>
        </m:r>
      </m:oMath>
      <w:r>
        <w:t xml:space="preserve">, Kandidatenantwort(en)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und Judge‑Instruktion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kombiniert.</w:t>
      </w:r>
      <w:r>
        <w:t xml:space="preserve"> </w:t>
      </w:r>
      <w:r>
        <w:rPr>
          <w:b/>
          <w:bCs/>
        </w:rPr>
        <w:t xml:space="preserve">CodeJudgeBench</w:t>
      </w:r>
      <w:r>
        <w:t xml:space="preserve"> </w:t>
      </w:r>
      <w:r>
        <w:t xml:space="preserve">formalisiert das explizit als</w:t>
      </w:r>
      <w:r>
        <w:t xml:space="preserve"> </w:t>
      </w:r>
      <m:oMath>
        <m:r>
          <m:t>J</m:t>
        </m:r>
        <m:r>
          <m:rPr>
            <m:sty m:val="p"/>
          </m:rPr>
          <m:t>←</m:t>
        </m:r>
        <m:r>
          <m:rPr>
            <m:nor/>
            <m:sty m:val="p"/>
          </m:rPr>
          <m:t>LLM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⊕</m:t>
            </m:r>
            <m:r>
              <m:t>r</m:t>
            </m:r>
            <m:r>
              <m:rPr>
                <m:sty m:val="p"/>
              </m:rPr>
              <m:t>⊕</m:t>
            </m:r>
            <m:r>
              <m:t>q</m:t>
            </m:r>
          </m:e>
        </m:d>
      </m:oMath>
      <w:r>
        <w:t xml:space="preserve"> </w:t>
      </w:r>
      <w:r>
        <w:t xml:space="preserve">und unterscheidet pairwise vs. pointwise Varianten.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In Coding‑Szenarien wird LLM‑Judging in der Literatur typischerweise für zwei Zielklassen eingesetzt: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Korrektheit ohne Ausführung</w:t>
      </w:r>
      <w:r>
        <w:t xml:space="preserve"> </w:t>
      </w:r>
      <w:r>
        <w:t xml:space="preserve">(execution‑free functional judging): „Ist der Code funktional korrekt?“ ohne Testausführung; hierfür werden „slow‑thinking“/Schritt‑für‑Schritt‑Analysen und strikte Output‑Schemas genutzt (z. B.</w:t>
      </w:r>
      <w:r>
        <w:t xml:space="preserve"> </w:t>
      </w:r>
      <w:r>
        <w:rPr>
          <w:b/>
          <w:bCs/>
        </w:rPr>
        <w:t xml:space="preserve">CODEJUDGE</w:t>
      </w:r>
      <w:r>
        <w:t xml:space="preserve">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Qualität/Präferenz</w:t>
      </w:r>
      <w:r>
        <w:t xml:space="preserve"> </w:t>
      </w:r>
      <w:r>
        <w:t xml:space="preserve">(readability/style/utility): Paarweise Präferenz „A besser als B“ oder Ranking nach Kriterien (Lesbarkeit, Klarheit, Effizienz, Robustheit) – häufig aus Chat-/Instruction‑Benchmarks (z. B.</w:t>
      </w:r>
      <w:r>
        <w:t xml:space="preserve"> </w:t>
      </w:r>
      <w:r>
        <w:rPr>
          <w:b/>
          <w:bCs/>
        </w:rPr>
        <w:t xml:space="preserve">MT‑Bench</w:t>
      </w:r>
      <w:r>
        <w:t xml:space="preserve">,</w:t>
      </w:r>
      <w:r>
        <w:t xml:space="preserve"> </w:t>
      </w:r>
      <w:r>
        <w:rPr>
          <w:b/>
          <w:bCs/>
        </w:rPr>
        <w:t xml:space="preserve">AlpacaEval</w:t>
      </w:r>
      <w:r>
        <w:t xml:space="preserve">), in denen Code meist</w:t>
      </w:r>
      <w:r>
        <w:t xml:space="preserve"> </w:t>
      </w:r>
      <w:r>
        <w:rPr>
          <w:b/>
          <w:bCs/>
        </w:rPr>
        <w:t xml:space="preserve">nicht ausgeführt</w:t>
      </w:r>
      <w:r>
        <w:t xml:space="preserve"> </w:t>
      </w:r>
      <w:r>
        <w:t xml:space="preserve">wird.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25"/>
    <w:bookmarkStart w:id="27" w:name="passrate-vs.-winrate-für-code"/>
    <w:p>
      <w:pPr>
        <w:pStyle w:val="Heading3"/>
      </w:pPr>
      <w:r>
        <w:t xml:space="preserve">Pass‑Rate vs. Win‑Rate für Code</w:t>
      </w:r>
    </w:p>
    <w:p>
      <w:pPr>
        <w:pStyle w:val="FirstParagraph"/>
      </w:pPr>
      <w:r>
        <w:rPr>
          <w:b/>
          <w:bCs/>
        </w:rPr>
        <w:t xml:space="preserve">Pass‑Rate (Coding)</w:t>
      </w:r>
      <w:r>
        <w:t xml:space="preserve"> </w:t>
      </w:r>
      <w:r>
        <w:t xml:space="preserve">ist in Benchmarks klassisch die</w:t>
      </w:r>
      <w:r>
        <w:t xml:space="preserve"> </w:t>
      </w:r>
      <w:r>
        <w:rPr>
          <w:i/>
          <w:iCs/>
        </w:rPr>
        <w:t xml:space="preserve">funktionale Erfolgsrate</w:t>
      </w:r>
      <w:r>
        <w:t xml:space="preserve"> </w:t>
      </w:r>
      <w:r>
        <w:t xml:space="preserve">basierend auf Ausführung/Tests: ein Kandidat „passt“, wenn Unit‑Tests/Regressionstests bestehen (z. B.</w:t>
      </w:r>
      <w:r>
        <w:t xml:space="preserve"> </w:t>
      </w:r>
      <w:r>
        <w:rPr>
          <w:b/>
          <w:bCs/>
        </w:rPr>
        <w:t xml:space="preserve">HumanEval</w:t>
      </w:r>
      <w:r>
        <w:t xml:space="preserve">,</w:t>
      </w:r>
      <w:r>
        <w:t xml:space="preserve"> </w:t>
      </w:r>
      <w:r>
        <w:rPr>
          <w:b/>
          <w:bCs/>
        </w:rPr>
        <w:t xml:space="preserve">MBPP</w:t>
      </w:r>
      <w:r>
        <w:t xml:space="preserve">,</w:t>
      </w:r>
      <w:r>
        <w:t xml:space="preserve"> </w:t>
      </w:r>
      <w:r>
        <w:rPr>
          <w:b/>
          <w:bCs/>
        </w:rPr>
        <w:t xml:space="preserve">SWE‑bench</w:t>
      </w:r>
      <w:r>
        <w:t xml:space="preserve">).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Win‑Rate (Coding‑Qualität/Präferenz)</w:t>
      </w:r>
      <w:r>
        <w:t xml:space="preserve"> </w:t>
      </w:r>
      <w:r>
        <w:t xml:space="preserve">ist typischerweise die</w:t>
      </w:r>
      <w:r>
        <w:t xml:space="preserve"> </w:t>
      </w:r>
      <w:r>
        <w:rPr>
          <w:i/>
          <w:iCs/>
        </w:rPr>
        <w:t xml:space="preserve">Präferenzrate</w:t>
      </w:r>
      <w:r>
        <w:t xml:space="preserve"> </w:t>
      </w:r>
      <w:r>
        <w:t xml:space="preserve">in Paarvergleichen: ein Judge wählt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oder Tie (und manchmal Abstain), basierend auf Korrektheit</w:t>
      </w:r>
      <w:r>
        <w:t xml:space="preserve"> </w:t>
      </w:r>
      <w:r>
        <w:rPr>
          <w:i/>
          <w:iCs/>
        </w:rPr>
        <w:t xml:space="preserve">und/oder</w:t>
      </w:r>
      <w:r>
        <w:t xml:space="preserve"> </w:t>
      </w:r>
      <w:r>
        <w:t xml:space="preserve">qualitativen Kriterien.</w:t>
      </w:r>
      <w:r>
        <w:t xml:space="preserve"> </w:t>
      </w:r>
      <w:r>
        <w:rPr>
          <w:b/>
          <w:bCs/>
        </w:rPr>
        <w:t xml:space="preserve">MT‑Bench</w:t>
      </w:r>
      <w:r>
        <w:t xml:space="preserve"> </w:t>
      </w:r>
      <w:r>
        <w:t xml:space="preserve">nutzt dafür ein Prompt‑Schema mit Ausgabecodes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A</m:t>
        </m:r>
        <m:r>
          <m:rPr>
            <m:sty m:val="p"/>
          </m:rPr>
          <m:t>,</m:t>
        </m:r>
        <m:r>
          <m:rPr>
            <m:nor/>
            <m:sty m:val="p"/>
          </m:rPr>
          <m:t>B</m:t>
        </m:r>
        <m:r>
          <m:rPr>
            <m:sty m:val="p"/>
          </m:rPr>
          <m:t>,</m:t>
        </m:r>
        <m:r>
          <m:rPr>
            <m:nor/>
            <m:sty m:val="p"/>
          </m:rPr>
          <m:t>C(tie)</m:t>
        </m:r>
        <m:r>
          <m:rPr>
            <m:sty m:val="p"/>
          </m:rPr>
          <m:t>}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ToolEval</w:t>
      </w:r>
      <w:r>
        <w:t xml:space="preserve"> </w:t>
      </w:r>
      <w:r>
        <w:t xml:space="preserve">definiert Win‑Rate als Präferenz zwischen zwei Lösungspfaden mit festen Kriterien.</w:t>
      </w:r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Wichtige praktische Konsequenz: Pass‑Rate ist (bei stabiler Umgebung)</w:t>
      </w:r>
      <w:r>
        <w:t xml:space="preserve"> </w:t>
      </w:r>
      <w:r>
        <w:rPr>
          <w:i/>
          <w:iCs/>
        </w:rPr>
        <w:t xml:space="preserve">objektiver</w:t>
      </w:r>
      <w:r>
        <w:t xml:space="preserve">, Win‑Rate</w:t>
      </w:r>
      <w:r>
        <w:t xml:space="preserve"> </w:t>
      </w:r>
      <w:r>
        <w:rPr>
          <w:i/>
          <w:iCs/>
        </w:rPr>
        <w:t xml:space="preserve">flexibler</w:t>
      </w:r>
      <w:r>
        <w:t xml:space="preserve"> </w:t>
      </w:r>
      <w:r>
        <w:t xml:space="preserve">aber bias‑anfälliger und stärker prompt-/judge‑abhängig.</w:t>
      </w:r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</w:p>
    <w:bookmarkEnd w:id="27"/>
    <w:bookmarkEnd w:id="28"/>
    <w:bookmarkStart w:id="38" w:name="X0b1cd1a00917bbcbe14f5b49b5187fa375feb5f"/>
    <w:p>
      <w:pPr>
        <w:pStyle w:val="Heading2"/>
      </w:pPr>
      <w:r>
        <w:t xml:space="preserve">Formale Metriken: Pass‑Rate, Win‑Rate, Aggregation und Konfidenzintervalle</w:t>
      </w:r>
    </w:p>
    <w:bookmarkStart w:id="30" w:name="passrate-und-passk-testbasiert"/>
    <w:p>
      <w:pPr>
        <w:pStyle w:val="Heading3"/>
      </w:pPr>
      <w:r>
        <w:t xml:space="preserve">Pass‑Rate und pass@k (testbasiert)</w:t>
      </w:r>
    </w:p>
    <w:p>
      <w:pPr>
        <w:pStyle w:val="FirstParagraph"/>
      </w:pPr>
      <w:r>
        <w:rPr>
          <w:b/>
          <w:bCs/>
        </w:rPr>
        <w:t xml:space="preserve">Per Beispiel (ein Kandidat):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pass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wenn alle Tests/Checks für Aufgabe </m:t>
                    </m:r>
                    <m:r>
                      <m:t>i</m:t>
                    </m:r>
                    <m:r>
                      <m:rPr>
                        <m:nor/>
                        <m:sty m:val="p"/>
                      </m:rPr>
                      <m:t> bestehen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sonst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Aggregiert über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Aufgaben (Pass‑Rate / Success‑Rate):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pass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Das ist genau das Erfolgsmaß, das z. B.</w:t>
      </w:r>
      <w:r>
        <w:t xml:space="preserve"> </w:t>
      </w:r>
      <w:r>
        <w:rPr>
          <w:b/>
          <w:bCs/>
        </w:rPr>
        <w:t xml:space="preserve">SWE‑bench</w:t>
      </w:r>
      <w:r>
        <w:t xml:space="preserve"> </w:t>
      </w:r>
      <w:r>
        <w:t xml:space="preserve">als „percentage of task instances resolved“ beschreibt (Patch anwenden + zugehörige Tests ausführen; Erfolg, wenn Patch gilt und alle Tests passieren).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pass@k (Sampling‑Setting, HumanEval‑Standard):</w:t>
      </w:r>
      <w:r>
        <w:br/>
      </w:r>
      <w:r>
        <w:t xml:space="preserve">Im Code‑Generation‑Setting werden oft pro Aufgabe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k</m:t>
        </m:r>
      </m:oMath>
      <w:r>
        <w:t xml:space="preserve"> </w:t>
      </w:r>
      <w:r>
        <w:t xml:space="preserve">Samples erzeugt und gezählt, wie viele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davon Tests bestehen. Das</w:t>
      </w:r>
      <w:r>
        <w:t xml:space="preserve"> </w:t>
      </w:r>
      <w:r>
        <w:rPr>
          <w:b/>
          <w:bCs/>
        </w:rPr>
        <w:t xml:space="preserve">HumanEval/Codex‑Paper</w:t>
      </w:r>
      <w:r>
        <w:t xml:space="preserve"> </w:t>
      </w:r>
      <w:r>
        <w:t xml:space="preserve">gibt einen</w:t>
      </w:r>
      <w:r>
        <w:t xml:space="preserve"> </w:t>
      </w:r>
      <w:r>
        <w:rPr>
          <w:b/>
          <w:bCs/>
        </w:rPr>
        <w:t xml:space="preserve">unverzerrten Schätzer</w:t>
      </w:r>
      <w:r>
        <w:t xml:space="preserve"> </w:t>
      </w:r>
      <w:r>
        <w:t xml:space="preserve">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pass@</m:t>
          </m:r>
          <m:r>
            <m:t>k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  <m:scr m:val="double-struck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num>
                        <m:den>
                          <m:r>
                            <m:t>k</m:t>
                          </m:r>
                        </m:den>
                      </m:f>
                    </m:e>
                  </m:d>
                </m:num>
                <m:den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</m:den>
                      </m:f>
                    </m:e>
                  </m:d>
                </m:den>
              </m:f>
            </m:e>
          </m:d>
        </m:oMath>
      </m:oMathPara>
    </w:p>
    <w:p>
      <w:pPr>
        <w:pStyle w:val="FirstParagraph"/>
      </w:pPr>
      <w:r>
        <w:t xml:space="preserve">(und beschreibt numerisch stabile Implementierung).</w:t>
      </w:r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Temperatur‑/Sampling‑Kalibrierung ist nicht trivial: Für pass@k hängt die optimale Temperatur vom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ab (mehr Diversität hilft bei großem</w:t>
      </w:r>
      <w:r>
        <w:t xml:space="preserve"> </w:t>
      </w:r>
      <m:oMath>
        <m:r>
          <m:t>k</m:t>
        </m:r>
      </m:oMath>
      <w:r>
        <w:t xml:space="preserve">); für kleine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werden in Evaluationsharnesses oft niedrige Temperaturen empfohlen.</w:t>
      </w:r>
      <w:r>
        <w:t xml:space="preserve"> </w:t>
      </w:r>
      <w:hyperlink r:id="rId26">
        <w:r>
          <w:rPr>
            <w:rStyle w:val="Hyperlink"/>
          </w:rPr>
          <w:t xml:space="preserve">[10]</w:t>
        </w:r>
      </w:hyperlink>
    </w:p>
    <w:bookmarkEnd w:id="30"/>
    <w:bookmarkStart w:id="32" w:name="Xa286897637e52f1cd0f10505dbb60caebb4d881"/>
    <w:p>
      <w:pPr>
        <w:pStyle w:val="Heading3"/>
      </w:pPr>
      <w:r>
        <w:t xml:space="preserve">Win‑Rate (pairwise preference) mit Ties/Unsure/Abstain</w:t>
      </w:r>
    </w:p>
    <w:p>
      <w:pPr>
        <w:pStyle w:val="FirstParagraph"/>
      </w:pPr>
      <w:r>
        <w:t xml:space="preserve">Nehmen wir Paarvergleiche pro Aufgabe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mit Ergebnis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wobei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für Tie (Gleichstand) steht (wie</w:t>
      </w:r>
      <w:r>
        <w:t xml:space="preserve"> </w:t>
      </w:r>
      <w:r>
        <w:rPr>
          <w:b/>
          <w:bCs/>
        </w:rPr>
        <w:t xml:space="preserve">MT‑Bench</w:t>
      </w:r>
      <w:r>
        <w:t xml:space="preserve"> </w:t>
      </w:r>
      <w:r>
        <w:t xml:space="preserve">über</w:t>
      </w:r>
      <w:r>
        <w:t xml:space="preserve"> </w:t>
      </w:r>
      <m:oMath>
        <m:r>
          <m:rPr>
            <m:nor/>
            <m:sty m:val="p"/>
          </m:rPr>
          <m:t>[[C]]</m:t>
        </m:r>
      </m:oMath>
      <w:r>
        <w:t xml:space="preserve">).</w:t>
      </w:r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Win‑Rate von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(Tie halb zählen, „All‑votes“‑Konvention):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  <m:scr m:val="double-struck"/>
                    </m:rPr>
                    <m:t>1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  <m:scr m:val="double-struck"/>
                    </m:rPr>
                    <m:t>1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</m:e>
              </m:d>
            </m:e>
          </m:nary>
        </m:oMath>
      </m:oMathPara>
    </w:p>
    <w:p>
      <w:pPr>
        <w:pStyle w:val="FirstParagraph"/>
      </w:pPr>
      <w:r>
        <w:t xml:space="preserve">Analog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b>
            <m:r>
              <m:t>A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Non‑tie Win‑Rate (Ties ausschließen):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A</m:t>
              </m:r>
            </m:sub>
            <m:sup>
              <m:r>
                <m:rPr>
                  <m:sty m:val="p"/>
                </m:rPr>
                <m:t>¬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  <m:scr m:val="double-struck"/>
                    </m:rPr>
                    <m:t>1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  <m:scr m:val="double-struck"/>
                    </m:rPr>
                    <m:t>1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≠</m:t>
                  </m:r>
                  <m:r>
                    <m:t>T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MT‑Bench berichtet explizit Kurven für</w:t>
      </w:r>
      <w:r>
        <w:t xml:space="preserve"> </w:t>
      </w:r>
      <w:r>
        <w:rPr>
          <w:b/>
          <w:bCs/>
        </w:rPr>
        <w:t xml:space="preserve">„All votes“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„Non‑tied votes“</w:t>
      </w:r>
      <w:r>
        <w:t xml:space="preserve">, was genau diese Auswertungsvariante motiviert.</w:t>
      </w:r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Unsure/Abstain</w:t>
      </w:r>
      <w:r>
        <w:br/>
      </w:r>
      <w:r>
        <w:t xml:space="preserve">In ToolEval‑ähnlichen Designs existiert zusätzlich</w:t>
      </w:r>
      <w:r>
        <w:t xml:space="preserve"> </w:t>
      </w:r>
      <w:r>
        <w:rPr>
          <w:b/>
          <w:bCs/>
        </w:rPr>
        <w:t xml:space="preserve">Unsure</w:t>
      </w:r>
      <w:r>
        <w:t xml:space="preserve"> </w:t>
      </w:r>
      <w:r>
        <w:t xml:space="preserve">(für Pass‑Rate) und manchmal</w:t>
      </w:r>
      <w:r>
        <w:t xml:space="preserve"> </w:t>
      </w:r>
      <w:r>
        <w:rPr>
          <w:b/>
          <w:bCs/>
        </w:rPr>
        <w:t xml:space="preserve">Abstain</w:t>
      </w:r>
      <w:r>
        <w:t xml:space="preserve"> </w:t>
      </w:r>
      <w:r>
        <w:t xml:space="preserve">(selektive Evaluation). ToolEval definiert Pass‑Rate‑Labels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Pass</m:t>
        </m:r>
        <m:r>
          <m:rPr>
            <m:sty m:val="p"/>
          </m:rPr>
          <m:t>,</m:t>
        </m:r>
        <m:r>
          <m:rPr>
            <m:nor/>
            <m:sty m:val="p"/>
          </m:rPr>
          <m:t>Fail</m:t>
        </m:r>
        <m:r>
          <m:rPr>
            <m:sty m:val="p"/>
          </m:rPr>
          <m:t>,</m:t>
        </m:r>
        <m:r>
          <m:rPr>
            <m:nor/>
            <m:sty m:val="p"/>
          </m:rPr>
          <m:t>Unsure</m:t>
        </m:r>
        <m:r>
          <m:rPr>
            <m:sty m:val="p"/>
          </m:rPr>
          <m:t>}</m:t>
        </m:r>
      </m:oMath>
      <w:r>
        <w:t xml:space="preserve"> </w:t>
      </w:r>
      <w:r>
        <w:t xml:space="preserve">mit regelbasierten Fällen und lässt den Evaluator mehrfach urteilen, dann Majority Vote. Wie</w:t>
      </w:r>
      <w:r>
        <w:t xml:space="preserve"> </w:t>
      </w:r>
      <w:r>
        <w:rPr>
          <w:i/>
          <w:iCs/>
        </w:rPr>
        <w:t xml:space="preserve">ein final „Unsure“</w:t>
      </w:r>
      <w:r>
        <w:t xml:space="preserve"> </w:t>
      </w:r>
      <w:r>
        <w:t xml:space="preserve">in die Pass‑Rate eingeht, ist in den zitierten Regeln nicht als explizite Aggregationsformel festgelegt (daher:</w:t>
      </w:r>
      <w:r>
        <w:t xml:space="preserve"> </w:t>
      </w:r>
      <w:r>
        <w:rPr>
          <w:b/>
          <w:bCs/>
        </w:rPr>
        <w:t xml:space="preserve">unspezifiziert</w:t>
      </w:r>
      <w:r>
        <w:t xml:space="preserve">); praktikabel sind (a) Unsure→Fail, (b) Unsure → 0.5, (c) Coverage‑Reporting (Unsure entfernt).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</w:p>
    <w:bookmarkEnd w:id="32"/>
    <w:bookmarkStart w:id="35" w:name="paired-vs.-unpaired-vergleiche-ab"/>
    <w:p>
      <w:pPr>
        <w:pStyle w:val="Heading3"/>
      </w:pPr>
      <w:r>
        <w:t xml:space="preserve">Paired vs. unpaired Vergleiche (A/B)</w:t>
      </w:r>
    </w:p>
    <w:p>
      <w:pPr>
        <w:pStyle w:val="FirstParagraph"/>
      </w:pPr>
      <w:r>
        <w:rPr>
          <w:b/>
          <w:bCs/>
        </w:rPr>
        <w:t xml:space="preserve">Paired</w:t>
      </w:r>
      <w:r>
        <w:t xml:space="preserve">: A und B werden auf denselben Aufgaben verglichen (Standard in AlpacaEval/MT‑Bench/ToolEval‑Pairing). Das reduziert Varianz, weil Aufgaben‑Schwierigkeit herauskürzt. AlpacaEval ist explizit als „same instruction, two outputs“ gestaltet und randomisiert die Reihenfolge zur Bias‑Reduktion.</w:t>
      </w:r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Unpaired</w:t>
      </w:r>
      <w:r>
        <w:t xml:space="preserve">: A und B werden auf unterschiedlichen Aufgabenmengen evaluiert. Dann sind Differenzen in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oder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schwer interpretierbar, weil Distribution‑Shift in den Aufgaben dominieren kann (durchaus relevant, wenn man z. B. Code‑Agenten auf unterschiedlichen Repo‑Pools testet). Die Standard‑Primärquellen oben sind überwiegend paired.</w:t>
      </w:r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</w:p>
    <w:bookmarkEnd w:id="35"/>
    <w:bookmarkStart w:id="37" w:name="bootstrapkonfidenzintervalle-ci"/>
    <w:p>
      <w:pPr>
        <w:pStyle w:val="Heading3"/>
      </w:pPr>
      <w:r>
        <w:t xml:space="preserve">Bootstrap‑Konfidenzintervalle (CI)</w:t>
      </w:r>
    </w:p>
    <w:p>
      <w:pPr>
        <w:pStyle w:val="FirstParagraph"/>
      </w:pPr>
      <w:r>
        <w:t xml:space="preserve">Für Pass‑ und Win‑Raten werden in der Praxis häufig</w:t>
      </w:r>
      <w:r>
        <w:t xml:space="preserve"> </w:t>
      </w:r>
      <w:r>
        <w:rPr>
          <w:b/>
          <w:bCs/>
        </w:rPr>
        <w:t xml:space="preserve">Bootstrap‑CIs über Aufgaben</w:t>
      </w:r>
      <w:r>
        <w:t xml:space="preserve"> </w:t>
      </w:r>
      <w:r>
        <w:t xml:space="preserve">verwendet. Die</w:t>
      </w:r>
      <w:r>
        <w:t xml:space="preserve"> </w:t>
      </w:r>
      <w:r>
        <w:rPr>
          <w:b/>
          <w:bCs/>
        </w:rPr>
        <w:t xml:space="preserve">AlphaCode‑Arbeit</w:t>
      </w:r>
      <w:r>
        <w:t xml:space="preserve"> </w:t>
      </w:r>
      <w:r>
        <w:t xml:space="preserve">nennt explizit, dass Mittelwerte und CIs über eine Kombination aus Subsampling und Bootstrapping berechnet wurden.</w:t>
      </w:r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Bootstrap‑Prozedur (dataset‑level):</w:t>
      </w:r>
      <w:r>
        <w:t xml:space="preserve"> </w:t>
      </w:r>
      <w:r>
        <w:t xml:space="preserve">1. Gegeben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Aufgaben mit pro‑Aufgabe‑Wert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(z. B. pass_i ∈ {0,1} oder win_i ∈ {0,0.5,1}).</w:t>
      </w:r>
      <w:r>
        <w:br/>
      </w:r>
      <w:r>
        <w:t xml:space="preserve">2. Für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B</m:t>
        </m:r>
      </m:oMath>
      <w:r>
        <w:t xml:space="preserve">: ziehe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Aufgaben mit Zurücklegen → Index‑Multiset</w:t>
      </w:r>
      <w:r>
        <w:t xml:space="preserve"> </w:t>
      </w:r>
      <m:oMath>
        <m:sSub>
          <m:e>
            <m:r>
              <m:t>S</m:t>
            </m:r>
          </m:e>
          <m:sub>
            <m:r>
              <m:t>b</m:t>
            </m:r>
          </m:sub>
        </m:sSub>
      </m:oMath>
      <w:r>
        <w:t xml:space="preserve">; berechne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M</m:t>
                </m:r>
              </m:e>
            </m:acc>
          </m:e>
          <m:sub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b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br/>
      </w:r>
      <w:r>
        <w:t xml:space="preserve">3.</w:t>
      </w:r>
      <w:r>
        <w:t xml:space="preserve"> </w:t>
      </w:r>
      <m:oMath>
        <m:sSub>
          <m:e>
            <m:r>
              <m:rPr>
                <m:nor/>
                <m:sty m:val="p"/>
              </m:rPr>
              <m:t>CI</m:t>
            </m:r>
          </m:e>
          <m:sub>
            <m:r>
              <m:t>95</m:t>
            </m:r>
            <m:r>
              <m:rPr>
                <m:sty m:val="p"/>
              </m:rPr>
              <m:t>%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nor/>
                    <m:sty m:val="p"/>
                  </m:rPr>
                  <m:t>Quantil</m:t>
                </m:r>
              </m:e>
              <m:sub>
                <m:r>
                  <m:t>2.5</m:t>
                </m:r>
                <m:r>
                  <m:rPr>
                    <m:sty m:val="p"/>
                  </m:rPr>
                  <m:t>%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M</m:t>
                    </m:r>
                  </m:e>
                </m:acc>
              </m:e>
            </m:d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rPr>
                    <m:nor/>
                    <m:sty m:val="p"/>
                  </m:rPr>
                  <m:t>Quantil</m:t>
                </m:r>
              </m:e>
              <m:sub>
                <m:r>
                  <m:t>97.5</m:t>
                </m:r>
                <m:r>
                  <m:rPr>
                    <m:sty m:val="p"/>
                  </m:rPr>
                  <m:t>%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M</m:t>
                    </m:r>
                  </m:e>
                </m:acc>
              </m:e>
            </m:d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Wichtig für Paired A/B</w:t>
      </w:r>
      <w:r>
        <w:t xml:space="preserve">: bootstrappe auf Aufgabenebene</w:t>
      </w:r>
      <w:r>
        <w:t xml:space="preserve"> </w:t>
      </w:r>
      <w:r>
        <w:rPr>
          <w:i/>
          <w:iCs/>
        </w:rPr>
        <w:t xml:space="preserve">paarweise</w:t>
      </w:r>
      <w:r>
        <w:t xml:space="preserve"> </w:t>
      </w:r>
      <w:r>
        <w:t xml:space="preserve">(resample Aufgaben‑IDs und nehme die A/B‑Outcomes gemeinsam), sonst unterschätzt man Varianz.</w:t>
      </w:r>
    </w:p>
    <w:bookmarkEnd w:id="37"/>
    <w:bookmarkEnd w:id="38"/>
    <w:bookmarkStart w:id="45" w:name="Xdfbae1079d27bb6c037231cc2310d813c46c7a9"/>
    <w:p>
      <w:pPr>
        <w:pStyle w:val="Heading2"/>
      </w:pPr>
      <w:r>
        <w:t xml:space="preserve">Wie Benchmarks Coding‑Agenten bewerten: wo LLM-as-a-Judge eingesetzt wird</w:t>
      </w:r>
    </w:p>
    <w:bookmarkStart w:id="41" w:name="Xe06989a00f96faf19c99a5ff2eec17ae23a1f99"/>
    <w:p>
      <w:pPr>
        <w:pStyle w:val="Heading3"/>
      </w:pPr>
      <w:r>
        <w:t xml:space="preserve">Testbasierte Kern‑Benchmarks (dominant für funktionale Korrektheit)</w:t>
      </w:r>
    </w:p>
    <w:p>
      <w:pPr>
        <w:pStyle w:val="FirstParagraph"/>
      </w:pPr>
      <w:r>
        <w:rPr>
          <w:b/>
          <w:bCs/>
        </w:rPr>
        <w:t xml:space="preserve">HumanEval</w:t>
      </w:r>
      <w:r>
        <w:t xml:space="preserve"> </w:t>
      </w:r>
      <w:r>
        <w:t xml:space="preserve">(Funktionssynthese): Korrektheit wird über Unit‑Tests geprüft; „pass@k“ ist Standardmetrikenfamilie, inkl. unverzerrtem Schätzer. LLM‑Judges sind hier nicht Teil der Primärmetrik.</w:t>
      </w:r>
      <w:r>
        <w:t xml:space="preserve"> </w:t>
      </w:r>
      <w:hyperlink r:id="rId26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MBPP</w:t>
      </w:r>
      <w:r>
        <w:t xml:space="preserve"> </w:t>
      </w:r>
      <w:r>
        <w:t xml:space="preserve">(Mostly Basic Programming Problems): wird als Crowd‑sourced Problemsuite mit Lösung + (typisch) Testfällen beschrieben; in der Standardnutzung testgetrieben.</w:t>
      </w:r>
      <w:r>
        <w:t xml:space="preserve"> </w:t>
      </w:r>
      <w:hyperlink r:id="rId39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CodeContests/AlphaCode‑Setting</w:t>
      </w:r>
      <w:r>
        <w:t xml:space="preserve">: bewertet Lösungen gegen (auch versteckte) Tests; die Arbeit diskutiert, dass unzureichende Tests zu hohen False‑Positive‑Raten führen können und deshalb zusätzliche Tests generiert und Aufgaben gefiltert werden. Das ist ein prototypisches Beispiel, warum reine Pass‑Rate trotz Objektivität</w:t>
      </w:r>
      <w:r>
        <w:t xml:space="preserve"> </w:t>
      </w:r>
      <w:r>
        <w:rPr>
          <w:b/>
          <w:bCs/>
        </w:rPr>
        <w:t xml:space="preserve">messfehleranfällig</w:t>
      </w:r>
      <w:r>
        <w:t xml:space="preserve"> </w:t>
      </w:r>
      <w:r>
        <w:t xml:space="preserve">ist, wenn das Test‑Oracle schwach ist.</w:t>
      </w:r>
      <w:r>
        <w:t xml:space="preserve"> </w:t>
      </w:r>
      <w:hyperlink r:id="rId36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SWE‑bench</w:t>
      </w:r>
      <w:r>
        <w:t xml:space="preserve"> </w:t>
      </w:r>
      <w:r>
        <w:t xml:space="preserve">(Repo‑Level Bugfixing, echtes Agent‑Setting): evaluiert Patches über Patch‑Apply + Ausführen der zugehörigen Unit/Systemtests; Erfolgskriterium ist der Anteil gelöster Instanzen. Zusätzlich betont SWE‑bench „robust evaluation“ über fail‑to‑pass Tests und viele pass‑to‑pass Regressionstests.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InterCode</w:t>
      </w:r>
      <w:r>
        <w:t xml:space="preserve"> </w:t>
      </w:r>
      <w:r>
        <w:t xml:space="preserve">(interactive coding agents): nutzt Docker‑Sandboxing und definiert Erfolg als proportionale Success‑Rate (Reward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für Completion) aus Ausführungsfeedback/State‑Vergleich – wieder primär exekutionsbasiert, nicht LLM‑judged.</w:t>
      </w:r>
      <w:r>
        <w:t xml:space="preserve"> </w:t>
      </w:r>
      <w:hyperlink r:id="rId40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Fazit dieser Klasse:</w:t>
      </w:r>
      <w:r>
        <w:t xml:space="preserve"> </w:t>
      </w:r>
      <w:r>
        <w:t xml:space="preserve">Für</w:t>
      </w:r>
      <w:r>
        <w:t xml:space="preserve"> </w:t>
      </w:r>
      <w:r>
        <w:rPr>
          <w:i/>
          <w:iCs/>
        </w:rPr>
        <w:t xml:space="preserve">funktionale Korrektheit</w:t>
      </w:r>
      <w:r>
        <w:t xml:space="preserve"> </w:t>
      </w:r>
      <w:r>
        <w:t xml:space="preserve">ist LLM‑Judging in den Kern‑Coding‑Benchmarks nicht Standard – stattdessen werden Tests/Execution als „ground truth proxy“ genutzt.</w:t>
      </w:r>
      <w:r>
        <w:t xml:space="preserve"> </w:t>
      </w:r>
      <w:hyperlink r:id="rId26">
        <w:r>
          <w:rPr>
            <w:rStyle w:val="Hyperlink"/>
          </w:rPr>
          <w:t xml:space="preserve">[19]</w:t>
        </w:r>
      </w:hyperlink>
    </w:p>
    <w:bookmarkEnd w:id="41"/>
    <w:bookmarkStart w:id="44" w:name="X4b16a3c4db6a6204b535bc59be5733b26084044"/>
    <w:p>
      <w:pPr>
        <w:pStyle w:val="Heading3"/>
      </w:pPr>
      <w:r>
        <w:t xml:space="preserve">Wo LLM-as-a-Judge in Coding‑Benchmarks/Agent‑Evals tatsächlich vorkommt</w:t>
      </w:r>
    </w:p>
    <w:p>
      <w:pPr>
        <w:pStyle w:val="FirstParagraph"/>
      </w:pPr>
      <w:r>
        <w:rPr>
          <w:b/>
          <w:bCs/>
        </w:rPr>
        <w:t xml:space="preserve">Chat-/Instruction‑Benchmarks mit Coding‑Kategorie (execution‑free)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MT‑Bench</w:t>
      </w:r>
      <w:r>
        <w:t xml:space="preserve"> </w:t>
      </w:r>
      <w:r>
        <w:t xml:space="preserve">enthält eine</w:t>
      </w:r>
      <w:r>
        <w:t xml:space="preserve"> </w:t>
      </w:r>
      <w:r>
        <w:rPr>
          <w:i/>
          <w:iCs/>
        </w:rPr>
        <w:t xml:space="preserve">Coding‑Kategorie</w:t>
      </w:r>
      <w:r>
        <w:t xml:space="preserve"> </w:t>
      </w:r>
      <w:r>
        <w:t xml:space="preserve">(u. a. in category‑wise Win‑Rates) und nutzt starke LLMs als Judges mit expliziten Prompts für pairwise (A/B/Tie) und single‑answer grading (1–10). Das ist ein typischer „code‑as‑text“‑Benchmark: Code wird in der Regel nicht ausgeführt, sondern nach Kriterien wie helpfulness/correctness/depth beurteilt.</w:t>
      </w:r>
      <w:r>
        <w:t xml:space="preserve"> </w:t>
      </w:r>
      <w:hyperlink r:id="rId24">
        <w:r>
          <w:rPr>
            <w:rStyle w:val="Hyperlink"/>
          </w:rPr>
          <w:t xml:space="preserve">[20]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AlpacaEval</w:t>
      </w:r>
      <w:r>
        <w:t xml:space="preserve"> </w:t>
      </w:r>
      <w:r>
        <w:t xml:space="preserve">bewertet Antworten (inkl. Code‑Antworten, sofern enthalten) in einem paired‑Setup gegen eine Baseline, mit Caching + Randomisierung und Standard‑Temperature=0. AlpacaEval 2.0 nutzt außerdem logprobs für „continuous preferences“; Win‑Rate wird als Mittelwert einer Präferenzvariable in [1,2] ausgewiesen.</w:t>
      </w:r>
      <w:r>
        <w:t xml:space="preserve"> </w:t>
      </w:r>
      <w:hyperlink r:id="rId33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Tool-/Agent‑Benchmarks mit „Pass‑Rate/Win‑Rate“ via LLM‑Evaluator (übertragbar auf Coding‑Agenten mit Tools)</w:t>
      </w:r>
      <w:r>
        <w:br/>
      </w:r>
      <w:r>
        <w:rPr>
          <w:b/>
          <w:bCs/>
        </w:rPr>
        <w:t xml:space="preserve">ToolEval</w:t>
      </w:r>
      <w:r>
        <w:t xml:space="preserve"> </w:t>
      </w:r>
      <w:r>
        <w:t xml:space="preserve">(in ToolBench/ToolLLM) definiert:</w:t>
      </w:r>
      <w:r>
        <w:br/>
      </w:r>
      <w:r>
        <w:t xml:space="preserve">- Pass‑Rate als Regelurteil über „Instruction completed“ mit Labels Pass/Fail/Unsure, abhängig von „solvable vs unsolvable“ und „finish type“.</w:t>
      </w:r>
      <w:r>
        <w:br/>
      </w:r>
      <w:r>
        <w:t xml:space="preserve">- Win‑Rate als Präferenzvergleich zweier Lösungspfade anhand vordefinierter Kriterien (Information richness, Factuality, Reasoning, Milestone, Exploration, Cost).</w:t>
      </w:r>
      <w:r>
        <w:br/>
      </w:r>
      <w:r>
        <w:t xml:space="preserve">- Beide Metriken werden durch</w:t>
      </w:r>
      <w:r>
        <w:t xml:space="preserve"> </w:t>
      </w:r>
      <w:r>
        <w:rPr>
          <w:b/>
          <w:bCs/>
        </w:rPr>
        <w:t xml:space="preserve">mehrfache Evaluator‑Aufrufe (≥4) + Majority Vote</w:t>
      </w:r>
      <w:r>
        <w:t xml:space="preserve"> </w:t>
      </w:r>
      <w:r>
        <w:t xml:space="preserve">stabilisiert; Tie‑Anteile werden teils halbiert zugerechnet (Tabellen‑Darstellung).</w:t>
      </w:r>
      <w:r>
        <w:br/>
      </w:r>
      <w:r>
        <w:t xml:space="preserve">- Die Quelle berichtet außerdem Human‑Agreement (Pass‑Rate 87.1%, Win‑Rate 80.3%).</w:t>
      </w:r>
      <w:r>
        <w:t xml:space="preserve"> </w:t>
      </w:r>
      <w:hyperlink r:id="rId31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Für Coding‑Agenten ist dieses Pattern relevant, wenn Agenten Tools wie Test‑Runner/Compiler/Linter/Web‑Search nutzen: Pass‑Rate kann environment‑based sein, Win‑Rate kann Trajektorienqualität (Effizienz, Tool‑Auswahl, Debugging‑Prozess) bewerten – genau wie ToolEval es für APIs tut.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Execution‑free Code‑Korrektheitsjudging (als Benchmark‑Substrat oder Zusatzmetrik)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CODEJUDGE</w:t>
      </w:r>
      <w:r>
        <w:t xml:space="preserve"> </w:t>
      </w:r>
      <w:r>
        <w:t xml:space="preserve">adressiert die Lücke „keine oder unzureichende Testcases“ und nutzt LLM‑Evaluatoren, die erst Schritt‑für‑Schritt analysieren und dann binär entscheiden; zusätzlich gibt es einen Fehlerkatalog‑basierten Score für Abweichungen/Schweregrade. Das Paper zeigt u. a. hohe durchschnittliche Binär‑Accuracy für correctness‑Judging und liefert konkrete Prompt‑Templates (z. B. „Determine correctness … output Yes/No“ als VANILLA baseline).</w:t>
      </w:r>
      <w:r>
        <w:t xml:space="preserve"> </w:t>
      </w:r>
      <w:hyperlink r:id="rId23">
        <w:r>
          <w:rPr>
            <w:rStyle w:val="Hyperlink"/>
          </w:rPr>
          <w:t xml:space="preserve">[23]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CodeJudgeBench</w:t>
      </w:r>
      <w:r>
        <w:t xml:space="preserve"> </w:t>
      </w:r>
      <w:r>
        <w:t xml:space="preserve">ist ein Benchmark</w:t>
      </w:r>
      <w:r>
        <w:t xml:space="preserve"> </w:t>
      </w:r>
      <w:r>
        <w:rPr>
          <w:i/>
          <w:iCs/>
        </w:rPr>
        <w:t xml:space="preserve">für</w:t>
      </w:r>
      <w:r>
        <w:t xml:space="preserve"> </w:t>
      </w:r>
      <w:r>
        <w:t xml:space="preserve">LLM‑Judges in Coding‑Tasks (CodeGen, CodeRepair, UnitTestGen) und zeigt: (i) Pairwise ist stärker als pointwise; (ii)</w:t>
      </w:r>
      <w:r>
        <w:t xml:space="preserve"> </w:t>
      </w:r>
      <w:r>
        <w:rPr>
          <w:b/>
          <w:bCs/>
        </w:rPr>
        <w:t xml:space="preserve">Response‑Order</w:t>
      </w:r>
      <w:r>
        <w:t xml:space="preserve"> </w:t>
      </w:r>
      <w:r>
        <w:t xml:space="preserve">kann Accuracy stark ändern (bis ~14% Differenz); (iii) alle Modelle zeigen signifikante Judgement‑Randomness; (iv) „full response inkl. comments/reasoning“ kann Judging verbessern.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br/>
      </w:r>
      <w:r>
        <w:t xml:space="preserve">Diese Ergebnisse sind wichtig, wenn man LLM‑Judging als Ersatz für Tests in Coding‑Agent‑Benchmarks erwägt: ohne starke Robustheitsmaßnahmen ist die Reliabilität begrenzt.</w:t>
      </w:r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LLM‑Judging als Verifier/Selector für SWE‑Agenten (Test‑Time Scaling, patch selection)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Agentic Rubrics (2026)</w:t>
      </w:r>
      <w:r>
        <w:t xml:space="preserve">: ein „rubric agent“ inspiziert Repo‑Kontext und erzeugt eine rubric.yaml, anschließend wird ein Patch ohne Testausführung gegen diese Rubrik gescored (execution‑free verifier). Die Arbeit berichtet Best@16‑Resolution‑Raten auf SWE‑Bench Verified und zeigt Alignment der Rubrik‑Scores mit Ground‑Truth Test‑Pass/Fail (z. B. ROC‑AUC/PR‑AUC) sowie, dass Rubriken Fehler erkennen können, die Tests nicht abdecken. (Welche exakten Prompt‑Templates, Seeds und Token‑Kosten verwendet wurden, sind in den hier zitierten Passagen nicht vollständig spezifiziert.)</w:t>
      </w:r>
      <w:r>
        <w:t xml:space="preserve"> </w:t>
      </w:r>
      <w:hyperlink r:id="rId42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LLM‑Judging zur Qualitätskontrolle von Coding‑Benchmark‑Instanzen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SWE‑Bench Atlas / SWE‑Bench++‑artige Pipeline (2026, OpenReview‑Preprint)</w:t>
      </w:r>
      <w:r>
        <w:t xml:space="preserve">: setzt eine mehrschichtige AutoQA ein (Build‑Determinismus, Test‑Determinismus) und nutzt in „Layer 3“ einen</w:t>
      </w:r>
      <w:r>
        <w:t xml:space="preserve"> </w:t>
      </w:r>
      <w:r>
        <w:rPr>
          <w:b/>
          <w:bCs/>
        </w:rPr>
        <w:t xml:space="preserve">rubric‑basierten LLM‑Judge</w:t>
      </w:r>
      <w:r>
        <w:t xml:space="preserve">, um Semantik‑Alignment zwischen Problemstatement und Test‑Oracle zu bewerten; „medium quality“ Instanzen können automatisch durch Hint‑Ergänzung repariert werden. Damit beeinflusst LLM‑Judging nicht nur das Scoring, sondern die</w:t>
      </w:r>
      <w:r>
        <w:t xml:space="preserve"> </w:t>
      </w:r>
      <w:r>
        <w:rPr>
          <w:i/>
          <w:iCs/>
        </w:rPr>
        <w:t xml:space="preserve">Fidelity des Benchmarks selbst</w:t>
      </w:r>
      <w:r>
        <w:t xml:space="preserve">. (Exakte Modell‑IDs/Kosten des LLM‑Judges sind in den gezeigten Abschnitten nicht vollständig spezifiziert.)</w:t>
      </w:r>
      <w:r>
        <w:t xml:space="preserve"> </w:t>
      </w:r>
      <w:hyperlink r:id="rId43">
        <w:r>
          <w:rPr>
            <w:rStyle w:val="Hyperlink"/>
          </w:rPr>
          <w:t xml:space="preserve">[26]</w:t>
        </w:r>
      </w:hyperlink>
    </w:p>
    <w:bookmarkEnd w:id="44"/>
    <w:bookmarkEnd w:id="45"/>
    <w:bookmarkStart w:id="48" w:name="X17771d46390e3076d2fff54699ba5ac142d5c84"/>
    <w:p>
      <w:pPr>
        <w:pStyle w:val="Heading2"/>
      </w:pPr>
      <w:r>
        <w:t xml:space="preserve">Vergleichstabelle: Implementationsvarianten von Pass‑Rate/Win‑Rate in Coding‑Evals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Formel</w:t>
            </w:r>
          </w:p>
        </w:tc>
        <w:tc>
          <w:tcPr/>
          <w:p>
            <w:pPr>
              <w:pStyle w:val="Compact"/>
            </w:pPr>
            <w:r>
              <w:t xml:space="preserve">Umgang mit Ties/Unsure/Abstain</w:t>
            </w:r>
          </w:p>
        </w:tc>
        <w:tc>
          <w:tcPr/>
          <w:p>
            <w:pPr>
              <w:pStyle w:val="Compact"/>
            </w:pPr>
            <w:r>
              <w:t xml:space="preserve">Aggregation</w:t>
            </w:r>
          </w:p>
        </w:tc>
        <w:tc>
          <w:tcPr/>
          <w:p>
            <w:pPr>
              <w:pStyle w:val="Compact"/>
            </w:pPr>
            <w:r>
              <w:t xml:space="preserve">Validierung vs. Humans/Unit‑Tests</w:t>
            </w:r>
          </w:p>
        </w:tc>
        <w:tc>
          <w:tcPr/>
          <w:p>
            <w:pPr>
              <w:pStyle w:val="Compact"/>
            </w:pPr>
            <w:r>
              <w:t xml:space="preserve">Typische Kosten (API‑Calls/Tokens)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HumanEval (pass@k, testbasiert)</w:t>
            </w:r>
            <w:r>
              <w:t xml:space="preserve">: funktionale Korrektheit via Unit‑Tests; pass@k als Solve‑Wahrscheinlichkeit über k Samples.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pass@k‑Schätzer: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num>
                        <m:den>
                          <m:r>
                            <m:t>k</m:t>
                          </m:r>
                        </m:den>
                      </m:f>
                    </m:e>
                  </m:d>
                </m:num>
                <m:den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</m:den>
                      </m:f>
                    </m:e>
                  </m:d>
                </m:den>
              </m:f>
            </m:oMath>
            <w:r>
              <w:t xml:space="preserve">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Keine Ties; Ausführung ergibt Pass/Fail.</w:t>
            </w:r>
          </w:p>
        </w:tc>
        <w:tc>
          <w:tcPr/>
          <w:p>
            <w:pPr>
              <w:pStyle w:val="Compact"/>
            </w:pPr>
            <w:r>
              <w:t xml:space="preserve">Aggregation über Aufgaben: Mittelwert der pro‑Aufgabe pass@k.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Unit‑Tests als Oracle; Paper diskutiert Varianz und numerisch stabile Berechnung.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Keine Judge‑API; Kosten durch Sandbox/Test‑Execution (nicht als Tokens spezifiziert).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MBPP (pass@1/pass@k, testbasiert)</w:t>
            </w:r>
            <w:r>
              <w:t xml:space="preserve">: Crowd‑sourced Aufgaben + Testcases; Ausführung als Metrikbasis.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rPr>
                      <m:nor/>
                      <m:sty m:val="p"/>
                    </m:rPr>
                    <m:t>pass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bzw. pass@k analog HumanEval in Harnesses.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Keine Ties; Pass/Fail via Tests.</w:t>
            </w:r>
          </w:p>
        </w:tc>
        <w:tc>
          <w:tcPr/>
          <w:p>
            <w:pPr>
              <w:pStyle w:val="Compact"/>
            </w:pPr>
            <w:r>
              <w:t xml:space="preserve">Mittelwert; Harness beschreibt Prompting/Temperatur‑Settings (z. B. n_samples‑Regime).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Unit‑Tests als Oracle.</w:t>
            </w:r>
          </w:p>
        </w:tc>
        <w:tc>
          <w:tcPr/>
          <w:p>
            <w:pPr>
              <w:pStyle w:val="Compact"/>
            </w:pPr>
            <w:r>
              <w:t xml:space="preserve">Keine Judge‑API; Execution‑Kosten. (Seeds/Runner‑Determinismus benchmarkabhängig; teils unspezifiziert.)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SWE‑bench (resolved %, testbasiert, agentisch)</w:t>
            </w:r>
            <w:r>
              <w:t xml:space="preserve">: Patch anwenden + Repo‑Tests; Erfolg = gelöst.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∑</m:t>
              </m:r>
              <m:r>
                <m:rPr>
                  <m:sty m:val="p"/>
                  <m:scr m:val="double-struck"/>
                </m:rP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patch applies</m:t>
                  </m:r>
                  <m:r>
                    <m:rPr>
                      <m:sty m:val="p"/>
                    </m:rPr>
                    <m:t>∧</m:t>
                  </m:r>
                  <m:r>
                    <m:rPr>
                      <m:nor/>
                      <m:sty m:val="p"/>
                    </m:rPr>
                    <m:t>tests pass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Keine Ties; kann „installation/runtime errors“ als Fail implizieren.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Ein Patch pro Instanz (in Paper‑Settings oft greedy decode); Aggregation als Prozent gelöster Instanzen.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Oracle = fail‑to‑pass + Regressionstests; Paper betont Robustheit durch Tests.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Hohe Compute‑Kosten (Build/Test‑Runs, Repo‑Mirrors). Token‑Kosten nur für Agent‑Inference, nicht als fixe Zahl spezifiziert.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MT‑Bench (Coding‑Kategorie, LLM‑Judge)</w:t>
            </w:r>
            <w:r>
              <w:t xml:space="preserve">: Code als Text; Judge promptet Kriterien + Output [[A]]/[[B]]/[[C]] bzw. Rating 1–10.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Win‑Rate typ.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∑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  <m:scr m:val="double-struck"/>
                    </m:rPr>
                    <m:t>1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  <m:scr m:val="double-struck"/>
                    </m:rPr>
                    <m:t>1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oMath>
            <w:r>
              <w:t xml:space="preserve"> </w:t>
            </w:r>
            <w:r>
              <w:t xml:space="preserve">oder non‑tied. (Paper zeigt „all votes“ vs „non‑tied votes“).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Ties explizit ([[C]]).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Pairwise oder Single‑Answer Grading; FastChat‑Tooling unterstützt beide und optional baseline‑pairwise vs all‑pairs.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Paper berichtet hohe Human‑Agreement (allgemein, nicht spezifisch nur Code).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API‑Kosten pro Judge‑Call; pairwise‑all skaliert quadratisch in #Modelle (Kosten nicht als Tokens spezifiziert).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AlpacaEval (pairwise win‑rate, LLM‑Judge)</w:t>
            </w:r>
            <w:r>
              <w:t xml:space="preserve">: Win‑Rate = Anteil, dass Judge Modell &gt; Baseline bevorzugt; Output‑Order randomisiert, caching.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Win‑Rate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preference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t xml:space="preserve">, wobei preference ∈ [1,2]; tie=1.5.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Ties möglich (1.5); Reihenfolge wird randomisiert gegen Position‑Bias.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Standard: temperature=0; AlpacaEval 2.0: logprobs→continuous preference.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Validiert gegen 20k Human‑Präferenzen; LC‑Variante: Korrelation zu Chatbot Arena 0.98.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Quelle nennt &lt; $10 Credits und &lt;3 Minuten für Standardlauf (805 Instruktionen). Tokens/Model‑IDs variieren; exakte Token je Prompt unspezifiziert.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ToolEval (Pass‑Rate/Win‑Rate, LLM‑Evaluator)</w:t>
            </w:r>
            <w:r>
              <w:t xml:space="preserve">: Pass/Fail/Unsure Regeln; Win‑Rate über Kriterienliste; mehrfaches Judging + Majority Vote.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Pass‑Rate: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∑</m:t>
              </m:r>
              <m:r>
                <m:rPr>
                  <m:sty m:val="p"/>
                  <m:scr m:val="double-struck"/>
                </m:rP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final label=Pass</m:t>
                  </m:r>
                </m:e>
              </m:d>
            </m:oMath>
            <w:r>
              <w:t xml:space="preserve"> </w:t>
            </w:r>
            <w:r>
              <w:t xml:space="preserve">(Unsure‑Handling final nicht als Formel spezifiziert). Win‑Rate: Präferenzquote über Paare.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Win‑Outcomes: win/lose/tie; Paper erwähnt tie‑Splitting in Tabellen. Pass‑Labels: Pass/Fail/Unsure.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≥4 Evaluator‑Aufrufe pro Pfad + Majority Vote (Pass und Win).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Human‑Agreement: 87.1% (Pass), 80.3% (Win).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Mindestens 4 API‑Calls pro Bewertungseinheit; Tokenkosten nicht angegeben; zusätzlich Tool‑Execution‑Kosten.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CODEJUDGE (execution‑free correctness/quality for code)</w:t>
            </w:r>
            <w:r>
              <w:t xml:space="preserve">: LLM beurteilt semantische Korrektheit ohne Tests; „slow thinking“ + Fehler‑Taxonomie.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Binary correctness</w:t>
            </w:r>
            <w:r>
              <w:t xml:space="preserve"> </w:t>
            </w:r>
            <m:oMath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und optional Score über Fehler‑Severities; Paper berichtet u. a. Binär‑Accuracy und Rangkorrelationen.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Ties i. d. R. nicht relevant (binary); bei Rankings/Scoring je nach Setup möglich (nicht als generelle Tie‑Regel spezifiziert).</w:t>
            </w:r>
          </w:p>
        </w:tc>
        <w:tc>
          <w:tcPr/>
          <w:p>
            <w:pPr>
              <w:pStyle w:val="Compact"/>
            </w:pPr>
            <w:r>
              <w:t xml:space="preserve">Mehrere Evaluator‑LLMs möglich; Paper berichtet teils Mittel/Std über Runs (Seeds/Decodingdetails nicht durchgängig zentralisiert).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Validierung über Korrelationen/Accuracies gegenüber Ground‑Truth (Tests/Labels), inkl. Prompts für Baselines.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API‑Kosten pro Evaluations‑Call; konkrete Tokenkosten/Preise in Paper nicht als fixe Zahl angegeben.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[40]</w:t>
              </w:r>
            </w:hyperlink>
          </w:p>
        </w:tc>
      </w:tr>
    </w:tbl>
    <w:bookmarkEnd w:id="48"/>
    <w:bookmarkStart w:id="49" w:name="X9f8859c91b76ac370317588e330ecd2abc830b3"/>
    <w:p>
      <w:pPr>
        <w:pStyle w:val="Heading2"/>
      </w:pPr>
      <w:r>
        <w:t xml:space="preserve">Durchgerechnete Zahlenbeispiele inklusive Bootstrap‑CI</w:t>
      </w:r>
    </w:p>
    <w:p>
      <w:pPr>
        <w:pStyle w:val="FirstParagraph"/>
      </w:pPr>
      <w:r>
        <w:t xml:space="preserve">Die Beispiele sind</w:t>
      </w:r>
      <w:r>
        <w:t xml:space="preserve"> </w:t>
      </w:r>
      <w:r>
        <w:rPr>
          <w:b/>
          <w:bCs/>
        </w:rPr>
        <w:t xml:space="preserve">illustrativ</w:t>
      </w:r>
      <w:r>
        <w:t xml:space="preserve"> </w:t>
      </w:r>
      <w:r>
        <w:t xml:space="preserve">(Rechenweg praxisnah). Sie nutzen Standarddefinitionen der oben zitierten Benchmarks; wo ein konkretes Benchmark „Unsure“/Tie‑Handling nicht vollständig spezifiziert, wird das explizit markiert.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Beispiel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Rohdaten</w:t>
            </w:r>
          </w:p>
        </w:tc>
        <w:tc>
          <w:tcPr/>
          <w:p>
            <w:pPr>
              <w:pStyle w:val="Compact"/>
            </w:pPr>
            <w:r>
              <w:t xml:space="preserve">Aggregation</w:t>
            </w:r>
          </w:p>
        </w:tc>
        <w:tc>
          <w:tcPr/>
          <w:p>
            <w:pPr>
              <w:pStyle w:val="Compact"/>
            </w:pPr>
            <w:r>
              <w:t xml:space="preserve">Ergebnis</w:t>
            </w:r>
          </w:p>
        </w:tc>
        <w:tc>
          <w:tcPr/>
          <w:p>
            <w:pPr>
              <w:pStyle w:val="Compact"/>
            </w:pPr>
            <w:r>
              <w:t xml:space="preserve">Bootstrap‑CI (95%, Percentile)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Single‑Example Pass/Fail</w:t>
            </w:r>
          </w:p>
        </w:tc>
        <w:tc>
          <w:tcPr/>
          <w:p>
            <w:pPr>
              <w:pStyle w:val="Compact"/>
            </w:pPr>
            <w:r>
              <w:t xml:space="preserve">1 Aufgabe, 1 Kandidat, Tests laufen</w:t>
            </w:r>
          </w:p>
        </w:tc>
        <w:tc>
          <w:tcPr/>
          <w:p>
            <w:pPr>
              <w:pStyle w:val="Compact"/>
            </w:pPr>
            <w:r>
              <w:t xml:space="preserve">Tests:</w:t>
            </w:r>
            <w:r>
              <w:t xml:space="preserve"> </w:t>
            </w:r>
            <w:r>
              <w:rPr>
                <w:b/>
                <w:bCs/>
              </w:rPr>
              <w:t xml:space="preserve">alle grün</w:t>
            </w:r>
            <w:r>
              <w:t xml:space="preserve"> </w:t>
            </w:r>
            <w:r>
              <w:t xml:space="preserve">⇒ pass=1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Pass‑Rate=1.0</w:t>
            </w:r>
          </w:p>
        </w:tc>
        <w:tc>
          <w:tcPr/>
          <w:p>
            <w:pPr>
              <w:pStyle w:val="Compact"/>
            </w:pPr>
            <w:r>
              <w:t xml:space="preserve">Bei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degeneriert Bootstrap (CI=[1,1])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mit Multi‑Judge Majority (ToolEval‑ähnlich)</w:t>
            </w:r>
          </w:p>
        </w:tc>
        <w:tc>
          <w:tcPr/>
          <w:p>
            <w:pPr>
              <w:pStyle w:val="Compact"/>
            </w:pPr>
            <w:r>
              <w:t xml:space="preserve">6 Aufgaben, je Aufgabe 4 Judge‑Calls → Labels ∈ {Pass,Fail,Unsure}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Aufgabe1: P,P,P,F → P; Aufgabe2: F,F,P,F → F; Aufgabe3: P,U,P,U →</w:t>
            </w:r>
            <w:r>
              <w:t xml:space="preserve"> </w:t>
            </w:r>
            <w:r>
              <w:rPr>
                <w:b/>
                <w:bCs/>
              </w:rPr>
              <w:t xml:space="preserve">Tie P vs U</w:t>
            </w:r>
            <w:r>
              <w:t xml:space="preserve">; Aufgabe4: P,P,F,P → P; Aufgabe5: F,F,F,U → F; Aufgabe6: P,P,P,P → 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Variante A (strict):</w:t>
            </w:r>
            <w:r>
              <w:t xml:space="preserve"> </w:t>
            </w:r>
            <w:r>
              <w:t xml:space="preserve">Unsure zählt wie Fail; Tie→Unsure → Fail.</w:t>
            </w:r>
            <w:r>
              <w:t xml:space="preserve"> </w:t>
            </w:r>
            <w:r>
              <w:rPr>
                <w:b/>
                <w:bCs/>
              </w:rPr>
              <w:t xml:space="preserve">Variante B (coverage):</w:t>
            </w:r>
            <w:r>
              <w:t xml:space="preserve"> </w:t>
            </w:r>
            <w:r>
              <w:t xml:space="preserve">Tie→Unsure wird entfernt und Coverage berichtet.</w:t>
            </w:r>
          </w:p>
        </w:tc>
        <w:tc>
          <w:tcPr/>
          <w:p>
            <w:pPr>
              <w:pStyle w:val="Compact"/>
            </w:pPr>
            <w:r>
              <w:t xml:space="preserve">A: Pass‑Rate = 3/6 = 0.50. B: Pass‑Rate = 3/5 = 0.60 bei Coverage=5/6</w:t>
            </w:r>
          </w:p>
        </w:tc>
        <w:tc>
          <w:tcPr/>
          <w:p>
            <w:pPr>
              <w:pStyle w:val="Compact"/>
            </w:pPr>
            <w:r>
              <w:t xml:space="preserve">CI abhängig von Variante; Best‑Practice: beide reporten + Coverage. (ToolEval‑Paper spezifiziert finale Unsure‑Formel nicht explizit.)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Paired A/B Win‑Rate mit Ties + Bootstrap</w:t>
            </w:r>
          </w:p>
        </w:tc>
        <w:tc>
          <w:tcPr/>
          <w:p>
            <w:pPr>
              <w:pStyle w:val="Compact"/>
            </w:pPr>
            <w:r>
              <w:t xml:space="preserve">12 Aufgaben; pro Aufgabe pairwise outcome ∈ {A,B,Tie} (MT‑Bench/ToolEval‑Stil)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wins=5, B wins=4, ties=3</w:t>
            </w:r>
          </w:p>
        </w:tc>
        <w:tc>
          <w:tcPr/>
          <w:p>
            <w:pPr>
              <w:pStyle w:val="Compact"/>
            </w:pPr>
            <w:r>
              <w:t xml:space="preserve">All‑votes: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0.5</m:t>
                  </m:r>
                  <m:r>
                    <m:rPr>
                      <m:sty m:val="p"/>
                    </m:rPr>
                    <m:t>·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6.5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0.542</m:t>
              </m:r>
            </m:oMath>
            <w:r>
              <w:t xml:space="preserve">. Non‑tie: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¬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0.556</m:t>
              </m:r>
            </m:oMath>
            <w:r>
              <w:t xml:space="preserve">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0.542</m:t>
              </m:r>
            </m:oMath>
            <w:r>
              <w:t xml:space="preserve"> </w:t>
            </w:r>
            <w:r>
              <w:t xml:space="preserve">(all‑votes)</w:t>
            </w:r>
          </w:p>
        </w:tc>
        <w:tc>
          <w:tcPr/>
          <w:p>
            <w:pPr>
              <w:pStyle w:val="Compact"/>
            </w:pPr>
            <w:r>
              <w:t xml:space="preserve">Bootstrap über Aufgaben (multinomial):</w:t>
            </w:r>
            <w:r>
              <w:t xml:space="preserve"> </w:t>
            </w:r>
            <w:r>
              <w:rPr>
                <w:b/>
                <w:bCs/>
              </w:rPr>
              <w:t xml:space="preserve">CI≈[0.292, 0.792]</w:t>
            </w:r>
            <w:r>
              <w:t xml:space="preserve"> </w:t>
            </w:r>
            <w:r>
              <w:t xml:space="preserve">(kleines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daher breit).</w:t>
            </w:r>
          </w:p>
        </w:tc>
      </w:tr>
    </w:tbl>
    <w:p>
      <w:pPr>
        <w:pStyle w:val="BodyText"/>
      </w:pPr>
      <w:r>
        <w:rPr>
          <w:b/>
          <w:bCs/>
        </w:rPr>
        <w:t xml:space="preserve">Hinweis zur CI‑Praxis:</w:t>
      </w:r>
      <w:r>
        <w:t xml:space="preserve"> </w:t>
      </w:r>
      <w:r>
        <w:t xml:space="preserve">Für reale Benchmarks (z. B. 164 HumanEval Tasks oder 805 AlpacaEval Instruktionen) stabilisieren sich Bootstrap‑CIs stark; für kleine N dienen sie primär als Warnsignal. Die Verwendung von CIs/Quantifizierung von Unsicherheit ist in nicht‑testbasierten Settings besonders wichtig, weil Judge‑Stochastik/Ordering‑Bias zusätzliche Varianzquellen schaffen.</w:t>
      </w:r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</w:p>
    <w:bookmarkEnd w:id="49"/>
    <w:bookmarkStart w:id="59" w:name="X498d6b9d58f8655ead4a23783dda2585a421fb2"/>
    <w:p>
      <w:pPr>
        <w:pStyle w:val="Heading2"/>
      </w:pPr>
      <w:r>
        <w:t xml:space="preserve">Prompt‑ und Systemdesign: Rubriken, Kalibrierung, Aggregation, Kosten</w:t>
      </w:r>
    </w:p>
    <w:bookmarkStart w:id="52" w:name="X3ea01b77118c24be91677d1be82ff658222db72"/>
    <w:p>
      <w:pPr>
        <w:pStyle w:val="Heading3"/>
      </w:pPr>
      <w:r>
        <w:t xml:space="preserve">Typische Prompt‑Patterns für Code‑Judging (aus Primärquellen abgeleitet)</w:t>
      </w:r>
    </w:p>
    <w:p>
      <w:pPr>
        <w:pStyle w:val="FirstParagraph"/>
      </w:pPr>
      <w:r>
        <w:rPr>
          <w:b/>
          <w:bCs/>
        </w:rPr>
        <w:t xml:space="preserve">Pairwise Preference Prompt mit Tie‑Option (MT‑Bench‑Schema):</w:t>
      </w:r>
      <w:r>
        <w:br/>
      </w:r>
      <w:r>
        <w:t xml:space="preserve">MT‑Bench zeigt ein Standardprompt, das ausdrücklich Positions‑/Längenbias verbietet und als Output strikt A/B/Tie fordert. Das ist besonders relevant für Code‑Antworten, weil längere Outputs sonst oft „besser“ wirken.</w:t>
      </w:r>
      <w:r>
        <w:t xml:space="preserve"> </w:t>
      </w:r>
      <w:hyperlink r:id="rId24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b/>
          <w:bCs/>
        </w:rPr>
        <w:t xml:space="preserve">Ranking‑Prompt als strukturierte Ausgabe (AlpacaEval‑Schema):</w:t>
      </w:r>
      <w:r>
        <w:br/>
      </w:r>
      <w:r>
        <w:t xml:space="preserve">AlpacaEval nutzt ein sehr „maschinenfreundliches“ Format (Python‑Struktur als Antwort) und setzt Caching + Output‑Randomisierung zur Bias‑Reduktion ein.</w:t>
      </w:r>
      <w:r>
        <w:t xml:space="preserve"> </w:t>
      </w:r>
      <w:hyperlink r:id="rId50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b/>
          <w:bCs/>
        </w:rPr>
        <w:t xml:space="preserve">Binary correctness prompt (CODEJUDGE‑VANILLA baseline):</w:t>
      </w:r>
      <w:r>
        <w:br/>
      </w:r>
      <w:r>
        <w:t xml:space="preserve">CODEJUDGE dokumentiert eine einfache Baseline‑Form: Problem + Code → „Yes/No“ correctness. Das illustriert die Minimal‑Variante eines execution‑free Judges.</w:t>
      </w:r>
      <w:r>
        <w:t xml:space="preserve"> </w:t>
      </w:r>
      <w:hyperlink r:id="rId23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b/>
          <w:bCs/>
        </w:rPr>
        <w:t xml:space="preserve">Rubrik‑basierte Scoring‑Prompts (Prometheus‑Stil):</w:t>
      </w:r>
      <w:r>
        <w:br/>
      </w:r>
      <w:r>
        <w:t xml:space="preserve">Prometheus’ Prompt‑Templates sind explizit rubrik‑gesteuert und nutzen optional eine „Reference Answer (Score 5)“; Output‑Schema ist Feedback + [RESULT]‑Score. Das ist für Code‑Agenten nützlich, wenn man</w:t>
      </w:r>
      <w:r>
        <w:t xml:space="preserve"> </w:t>
      </w:r>
      <w:r>
        <w:rPr>
          <w:i/>
          <w:iCs/>
        </w:rPr>
        <w:t xml:space="preserve">projekt- oder team‑spezifische Kriterien</w:t>
      </w:r>
      <w:r>
        <w:t xml:space="preserve"> </w:t>
      </w:r>
      <w:r>
        <w:t xml:space="preserve">(API‑Konventionen, Sicherheitsanforderungen, Style Guides) bewerten will.</w:t>
      </w:r>
      <w:r>
        <w:t xml:space="preserve"> </w:t>
      </w:r>
      <w:hyperlink r:id="rId51">
        <w:r>
          <w:rPr>
            <w:rStyle w:val="Hyperlink"/>
          </w:rPr>
          <w:t xml:space="preserve">[46]</w:t>
        </w:r>
      </w:hyperlink>
    </w:p>
    <w:bookmarkEnd w:id="52"/>
    <w:bookmarkStart w:id="53" w:name="X4a4ffddbc1e798fdb79b02a5c2f73bf8dc4e840"/>
    <w:p>
      <w:pPr>
        <w:pStyle w:val="Heading3"/>
      </w:pPr>
      <w:r>
        <w:t xml:space="preserve">Kalibrierung: deterministic calls, Temperaturen, logprobs</w:t>
      </w:r>
    </w:p>
    <w:p>
      <w:pPr>
        <w:pStyle w:val="FirstParagraph"/>
      </w:pPr>
      <w:r>
        <w:rPr>
          <w:b/>
          <w:bCs/>
        </w:rPr>
        <w:t xml:space="preserve">Deterministische Judge‑Calls</w:t>
      </w:r>
      <w:r>
        <w:t xml:space="preserve">: AlpacaEval dokumentiert explizit, dass es GPT‑4 mit temperature=0 aufruft (im Standard‑Annotator‑Workflow), um Varianz zu reduzieren.</w:t>
      </w:r>
      <w:r>
        <w:t xml:space="preserve"> </w:t>
      </w:r>
      <w:hyperlink r:id="rId33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b/>
          <w:bCs/>
        </w:rPr>
        <w:t xml:space="preserve">logprob‑basierte continuous preferences</w:t>
      </w:r>
      <w:r>
        <w:t xml:space="preserve">: AlpacaEval 2.0 erwähnt, dass ein Evaluator logprobs nutzt, um eine kontinuierliche Präferenz zu berechnen; die resultierende Präferenz wird als float in [1,2] gespeichert, und Win‑Rate ist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preference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.</m:t>
        </m:r>
        <m:r>
          <m:t>m</m:t>
        </m:r>
        <m:r>
          <m:t>e</m:t>
        </m:r>
        <m:r>
          <m:t>a</m:t>
        </m:r>
        <m:r>
          <m:t>n</m:t>
        </m:r>
        <m:d>
          <m:dPr>
            <m:begChr m:val="("/>
            <m:sepChr m:val=""/>
            <m:endChr m:val=")"/>
            <m:grow/>
          </m:dPr>
          <m:e/>
        </m:d>
      </m:oMath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b/>
          <w:bCs/>
        </w:rPr>
        <w:t xml:space="preserve">Warum das für Code wichtig ist:</w:t>
      </w:r>
      <w:r>
        <w:t xml:space="preserve"> </w:t>
      </w:r>
      <w:r>
        <w:t xml:space="preserve">In Code‑Judging‑Benchmarks ist „kleine“ Qualitätsdifferenz häufig; kontinuierliche Präferenz kann stabilere Rankings liefern als harte A/B‑Labels, ist aber API‑/logprob‑abhängig.</w:t>
      </w:r>
      <w:r>
        <w:t xml:space="preserve"> </w:t>
      </w:r>
      <w:hyperlink r:id="rId33">
        <w:r>
          <w:rPr>
            <w:rStyle w:val="Hyperlink"/>
          </w:rPr>
          <w:t xml:space="preserve">[48]</w:t>
        </w:r>
      </w:hyperlink>
    </w:p>
    <w:bookmarkEnd w:id="53"/>
    <w:bookmarkStart w:id="54" w:name="Xb8645cdfc79b3427434833adeb56f18007a3db8"/>
    <w:p>
      <w:pPr>
        <w:pStyle w:val="Heading3"/>
      </w:pPr>
      <w:r>
        <w:t xml:space="preserve">Aggregation: Majority Vote, Mean Score, BT/Elo</w:t>
      </w:r>
    </w:p>
    <w:p>
      <w:pPr>
        <w:pStyle w:val="FirstParagraph"/>
      </w:pPr>
      <w:r>
        <w:rPr>
          <w:b/>
          <w:bCs/>
        </w:rPr>
        <w:t xml:space="preserve">Majority Vote / Multi‑Judge</w:t>
      </w:r>
      <w:r>
        <w:t xml:space="preserve">: ToolEval nutzt ≥4 Evaluator‑Predictions plus Majority Vote sowohl für Pass‑ als auch Win‑Rate. Das ist ein direktes, robustes Muster, wenn Judge‑Stochastik oder Prompt‑Fragilität erwartet wird.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Mean over scores</w:t>
      </w:r>
      <w:r>
        <w:t xml:space="preserve">: bei pointwise scoring (1–10) wird üblicherweise gemittelt; MT‑Bench beschreibt das als Standardmodus (single‑answer grading) und berechnet dann Durchschnittsscores.</w:t>
      </w:r>
      <w:r>
        <w:t xml:space="preserve"> </w:t>
      </w:r>
      <w:hyperlink r:id="rId47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Bradley‑Terry / Elo für Rankings</w:t>
      </w:r>
      <w:r>
        <w:t xml:space="preserve">: Chatbot Arena nutzt pairwise Vergleiche und beschreibt explizit den Einsatz statistischer Modelle, darunter Bradley‑Terry; verwandte Werke verknüpfen Pairwise‑Outcomes mit Elo‑Ratings. Für coding‑lastige Bereiche bedeutet das: Win‑Rate‑Daten kann man zu globalen Rankings aggregieren, statt nur baseline‑relative Win‑Rates zu publizieren.</w:t>
      </w:r>
      <w:r>
        <w:t xml:space="preserve"> </w:t>
      </w:r>
      <w:hyperlink r:id="rId34">
        <w:r>
          <w:rPr>
            <w:rStyle w:val="Hyperlink"/>
          </w:rPr>
          <w:t xml:space="preserve">[50]</w:t>
        </w:r>
      </w:hyperlink>
    </w:p>
    <w:bookmarkEnd w:id="54"/>
    <w:bookmarkStart w:id="55" w:name="kostenimplikationen"/>
    <w:p>
      <w:pPr>
        <w:pStyle w:val="Heading3"/>
      </w:pPr>
      <w:r>
        <w:t xml:space="preserve">Kostenimplikationen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Testbasierte Pass‑Rate</w:t>
      </w:r>
      <w:r>
        <w:t xml:space="preserve">: keine Judge‑API‑Calls, aber hohe Ausführungskosten (Sandbox/Container/Build/Test), besonders bei Repo‑Benchmarks wie SWE‑bench und interaktiven Environments.</w:t>
      </w:r>
      <w:r>
        <w:t xml:space="preserve"> </w:t>
      </w:r>
      <w:hyperlink r:id="rId29">
        <w:r>
          <w:rPr>
            <w:rStyle w:val="Hyperlink"/>
          </w:rPr>
          <w:t xml:space="preserve">[51]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LLM‑Judging</w:t>
      </w:r>
      <w:r>
        <w:t xml:space="preserve">: Kosten wachsen linear mit #Beispiele × #Judgements pro Beispiel; bei Multi‑Judge (≥4) entsprechend. ToolEval macht das explizit.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Skalierung bei pairwise‑all</w:t>
      </w:r>
      <w:r>
        <w:t xml:space="preserve">: MT‑Bench warnt, dass all‑pairs bei steigender Modellzahl teuer wird (quadratisches Paarwachstum wird auch im Paper als Nachteil von pairwise gegenüber single‑grading diskutiert).</w:t>
      </w:r>
      <w:r>
        <w:t xml:space="preserve"> </w:t>
      </w:r>
      <w:hyperlink r:id="rId24">
        <w:r>
          <w:rPr>
            <w:rStyle w:val="Hyperlink"/>
          </w:rPr>
          <w:t xml:space="preserve">[32]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Konkrete Kostenzahlen</w:t>
      </w:r>
      <w:r>
        <w:t xml:space="preserve">: AlpacaEval nennt für seinen Standardlauf „&lt; $10 Credits“ und „&lt;3 Minuten“ (für die Standard‑Instruktionsmenge); Token‑/Preis‑Details pro Judgement sind jedoch nicht als fixe Werte angegeben und hängen von Modell/Prompt/Batches ab.</w:t>
      </w:r>
      <w:r>
        <w:t xml:space="preserve"> </w:t>
      </w:r>
      <w:hyperlink r:id="rId33">
        <w:r>
          <w:rPr>
            <w:rStyle w:val="Hyperlink"/>
          </w:rPr>
          <w:t xml:space="preserve">[36]</w:t>
        </w:r>
      </w:hyperlink>
    </w:p>
    <w:bookmarkEnd w:id="55"/>
    <w:bookmarkStart w:id="57" w:name="Xd04d75df368371e751ea82fe2039f802279de30"/>
    <w:p>
      <w:pPr>
        <w:pStyle w:val="Heading3"/>
      </w:pPr>
      <w:r>
        <w:t xml:space="preserve">Pseudocode‑Prompts und logprob‑Snippet (nicht aus Quellen kopiert)</w:t>
      </w:r>
    </w:p>
    <w:p>
      <w:pPr>
        <w:pStyle w:val="FirstParagraph"/>
      </w:pPr>
      <w:r>
        <w:rPr>
          <w:b/>
          <w:bCs/>
        </w:rPr>
        <w:t xml:space="preserve">Pass‑Rate Rule‑Prompt (für Code‑Agent mit Tests, Ausgabe PASS/FAIL/UNSURE)</w:t>
      </w:r>
    </w:p>
    <w:p>
      <w:pPr>
        <w:pStyle w:val="SourceCode"/>
      </w:pPr>
      <w:r>
        <w:rPr>
          <w:rStyle w:val="VerbatimChar"/>
        </w:rPr>
        <w:t xml:space="preserve">SYSTEM: Du bist ein strenger Evaluator für Code-Aufgaben.</w:t>
      </w:r>
      <w:r>
        <w:br/>
      </w:r>
      <w:r>
        <w:br/>
      </w:r>
      <w:r>
        <w:rPr>
          <w:rStyle w:val="VerbatimChar"/>
        </w:rPr>
        <w:t xml:space="preserve">USER:</w:t>
      </w:r>
      <w:r>
        <w:br/>
      </w:r>
      <w:r>
        <w:rPr>
          <w:rStyle w:val="VerbatimChar"/>
        </w:rPr>
        <w:t xml:space="preserve">Gegeben sind:</w:t>
      </w:r>
      <w:r>
        <w:br/>
      </w:r>
      <w:r>
        <w:rPr>
          <w:rStyle w:val="VerbatimChar"/>
        </w:rPr>
        <w:t xml:space="preserve">(1) Aufgabenbeschreibung</w:t>
      </w:r>
      <w:r>
        <w:br/>
      </w:r>
      <w:r>
        <w:rPr>
          <w:rStyle w:val="VerbatimChar"/>
        </w:rPr>
        <w:t xml:space="preserve">(2) Kandidatenlösung (Code/Patch)</w:t>
      </w:r>
      <w:r>
        <w:br/>
      </w:r>
      <w:r>
        <w:rPr>
          <w:rStyle w:val="VerbatimChar"/>
        </w:rPr>
        <w:t xml:space="preserve">(3) Ergebnislog eines Testlaufs (Stdout/Stderr) – falls vorhanden</w:t>
      </w:r>
      <w:r>
        <w:br/>
      </w:r>
      <w:r>
        <w:rPr>
          <w:rStyle w:val="VerbatimChar"/>
        </w:rPr>
        <w:t xml:space="preserve">(4) Optional: Hinweise auf nicht-deterministische Fehler (Timeout, OOM, Flaky)</w:t>
      </w:r>
      <w:r>
        <w:br/>
      </w:r>
      <w:r>
        <w:br/>
      </w:r>
      <w:r>
        <w:rPr>
          <w:rStyle w:val="VerbatimChar"/>
        </w:rPr>
        <w:t xml:space="preserve">Regeln:</w:t>
      </w:r>
      <w:r>
        <w:br/>
      </w:r>
      <w:r>
        <w:rPr>
          <w:rStyle w:val="VerbatimChar"/>
        </w:rPr>
        <w:t xml:space="preserve">- Gib PASS nur aus, wenn der Log klar zeigt: Patch angewendet + alle relevanten Tests bestanden.</w:t>
      </w:r>
      <w:r>
        <w:br/>
      </w:r>
      <w:r>
        <w:rPr>
          <w:rStyle w:val="VerbatimChar"/>
        </w:rPr>
        <w:t xml:space="preserve">- Gib FAIL aus, wenn klar: Patch nicht anwendbar, Build fehlgeschlagen, oder mindestens ein relevanter Test fehlgeschlagen.</w:t>
      </w:r>
      <w:r>
        <w:br/>
      </w:r>
      <w:r>
        <w:rPr>
          <w:rStyle w:val="VerbatimChar"/>
        </w:rPr>
        <w:t xml:space="preserve">- Gib UNSURE aus, wenn Logs fehlen, widersprüchlich sind, oder Flakiness vermutet wird.</w:t>
      </w:r>
      <w:r>
        <w:br/>
      </w:r>
      <w:r>
        <w:br/>
      </w:r>
      <w:r>
        <w:rPr>
          <w:rStyle w:val="VerbatimChar"/>
        </w:rPr>
        <w:t xml:space="preserve">Antworte exakt mit einem Token: PASS oder FAIL oder UNSURE.</w:t>
      </w:r>
    </w:p>
    <w:p>
      <w:pPr>
        <w:pStyle w:val="FirstParagraph"/>
      </w:pPr>
      <w:r>
        <w:rPr>
          <w:b/>
          <w:bCs/>
        </w:rPr>
        <w:t xml:space="preserve">Pairwise Win‑Prompt (Code A vs B, Ausgabe A/B/TIE)</w:t>
      </w:r>
    </w:p>
    <w:p>
      <w:pPr>
        <w:pStyle w:val="SourceCode"/>
      </w:pPr>
      <w:r>
        <w:rPr>
          <w:rStyle w:val="VerbatimChar"/>
        </w:rPr>
        <w:t xml:space="preserve">SYSTEM: Du bewertest zwei Code-Lösungen zu derselben Aufgabe.</w:t>
      </w:r>
      <w:r>
        <w:br/>
      </w:r>
      <w:r>
        <w:br/>
      </w:r>
      <w:r>
        <w:rPr>
          <w:rStyle w:val="VerbatimChar"/>
        </w:rPr>
        <w:t xml:space="preserve">USER:</w:t>
      </w:r>
      <w:r>
        <w:br/>
      </w:r>
      <w:r>
        <w:rPr>
          <w:rStyle w:val="VerbatimChar"/>
        </w:rPr>
        <w:t xml:space="preserve">Aufgabe:</w:t>
      </w:r>
      <w:r>
        <w:br/>
      </w:r>
      <w:r>
        <w:rPr>
          <w:rStyle w:val="VerbatimChar"/>
        </w:rPr>
        <w:t xml:space="preserve">&lt;...&gt;</w:t>
      </w:r>
      <w:r>
        <w:br/>
      </w:r>
      <w:r>
        <w:br/>
      </w:r>
      <w:r>
        <w:rPr>
          <w:rStyle w:val="VerbatimChar"/>
        </w:rPr>
        <w:t xml:space="preserve">Lösung A:</w:t>
      </w:r>
      <w:r>
        <w:br/>
      </w:r>
      <w:r>
        <w:rPr>
          <w:rStyle w:val="VerbatimChar"/>
        </w:rPr>
        <w:t xml:space="preserve">&lt;code A&gt;</w:t>
      </w:r>
      <w:r>
        <w:br/>
      </w:r>
      <w:r>
        <w:br/>
      </w:r>
      <w:r>
        <w:rPr>
          <w:rStyle w:val="VerbatimChar"/>
        </w:rPr>
        <w:t xml:space="preserve">Lösung B:</w:t>
      </w:r>
      <w:r>
        <w:br/>
      </w:r>
      <w:r>
        <w:rPr>
          <w:rStyle w:val="VerbatimChar"/>
        </w:rPr>
        <w:t xml:space="preserve">&lt;code B&gt;</w:t>
      </w:r>
      <w:r>
        <w:br/>
      </w:r>
      <w:r>
        <w:br/>
      </w:r>
      <w:r>
        <w:rPr>
          <w:rStyle w:val="VerbatimChar"/>
        </w:rPr>
        <w:t xml:space="preserve">Bewertungskriterien (in dieser Reihenfolge):</w:t>
      </w:r>
      <w:r>
        <w:br/>
      </w:r>
      <w:r>
        <w:rPr>
          <w:rStyle w:val="VerbatimChar"/>
        </w:rPr>
        <w:t xml:space="preserve">1) Korrektheit bzgl. Anforderungen (wenn Tests/Specs vorhanden: priorisieren)</w:t>
      </w:r>
      <w:r>
        <w:br/>
      </w:r>
      <w:r>
        <w:rPr>
          <w:rStyle w:val="VerbatimChar"/>
        </w:rPr>
        <w:t xml:space="preserve">2) Robustheit (Edge Cases, Fehlerbehandlung)</w:t>
      </w:r>
      <w:r>
        <w:br/>
      </w:r>
      <w:r>
        <w:rPr>
          <w:rStyle w:val="VerbatimChar"/>
        </w:rPr>
        <w:t xml:space="preserve">3) Effizienz (nur wenn relevant und korrekt)</w:t>
      </w:r>
      <w:r>
        <w:br/>
      </w:r>
      <w:r>
        <w:rPr>
          <w:rStyle w:val="VerbatimChar"/>
        </w:rPr>
        <w:t xml:space="preserve">4) Klarheit/Wartbarkeit (Lesbarkeit, einfache Struktur)</w:t>
      </w:r>
      <w:r>
        <w:br/>
      </w:r>
      <w:r>
        <w:br/>
      </w:r>
      <w:r>
        <w:rPr>
          <w:rStyle w:val="VerbatimChar"/>
        </w:rPr>
        <w:t xml:space="preserve">Gib A oder B oder TIE aus (genau ein Token). Kein weiterer Text.</w:t>
      </w:r>
    </w:p>
    <w:p>
      <w:pPr>
        <w:pStyle w:val="FirstParagraph"/>
      </w:pPr>
      <w:r>
        <w:rPr>
          <w:b/>
          <w:bCs/>
        </w:rPr>
        <w:t xml:space="preserve">logprob‑basierte Präferenzextraktion (m/M‑Label)</w:t>
      </w:r>
      <w:r>
        <w:br/>
      </w:r>
      <w:r>
        <w:t xml:space="preserve">(Motiviert durch AlpacaEval‑Konfigurationen, die nur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zulassen.</w:t>
      </w:r>
      <w:r>
        <w:t xml:space="preserve"> </w:t>
      </w:r>
      <w:hyperlink r:id="rId56">
        <w:r>
          <w:rPr>
            <w:rStyle w:val="Hyperlink"/>
          </w:rPr>
          <w:t xml:space="preserve">[52]</w:t>
        </w:r>
      </w:hyperlink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prompt = build_pairwise_prompt(output_1, output_2)  // "Antwort nur: m oder M"</w:t>
      </w:r>
      <w:r>
        <w:br/>
      </w:r>
      <w:r>
        <w:rPr>
          <w:rStyle w:val="VerbatimChar"/>
        </w:rPr>
        <w:t xml:space="preserve">resp = LLM.complete(prompt, temperature=0, max_tokens=1, logprobs=True)</w:t>
      </w:r>
      <w:r>
        <w:br/>
      </w:r>
      <w:r>
        <w:br/>
      </w:r>
      <w:r>
        <w:rPr>
          <w:rStyle w:val="VerbatimChar"/>
        </w:rPr>
        <w:t xml:space="preserve">logp_m = resp.top_logprobs["m"]</w:t>
      </w:r>
      <w:r>
        <w:br/>
      </w:r>
      <w:r>
        <w:rPr>
          <w:rStyle w:val="VerbatimChar"/>
        </w:rPr>
        <w:t xml:space="preserve">logp_M = resp.top_logprobs["M"]</w:t>
      </w:r>
      <w:r>
        <w:br/>
      </w:r>
      <w:r>
        <w:rPr>
          <w:rStyle w:val="VerbatimChar"/>
        </w:rPr>
        <w:t xml:space="preserve">p_M = softmax([logp_m, logp_M])["M"]   // kontinuierliche Präferenz für Modell M</w:t>
      </w:r>
      <w:r>
        <w:br/>
      </w:r>
      <w:r>
        <w:br/>
      </w:r>
      <w:r>
        <w:rPr>
          <w:rStyle w:val="VerbatimChar"/>
        </w:rPr>
        <w:t xml:space="preserve">// Mappe auf AlpacaEval-ähnliche Skala:</w:t>
      </w:r>
      <w:r>
        <w:br/>
      </w:r>
      <w:r>
        <w:rPr>
          <w:rStyle w:val="VerbatimChar"/>
        </w:rPr>
        <w:t xml:space="preserve">preference = 1.0 + p_M   // ∈ [1,2]; Win-Rate = mean(preference - 1)</w:t>
      </w:r>
    </w:p>
    <w:bookmarkEnd w:id="57"/>
    <w:bookmarkStart w:id="58" w:name="evaluationspipeline-als-mermaidflowchart"/>
    <w:p>
      <w:pPr>
        <w:pStyle w:val="Heading3"/>
      </w:pPr>
      <w:r>
        <w:t xml:space="preserve">Evaluationspipeline als mermaid‑Flowchart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A[Outputs sammeln: Task i, Agent-Run A_i/B_i, Logs/Tests] --&gt; B[Anonymisieren &amp; Reihenfolge randomisieren]</w:t>
      </w:r>
      <w:r>
        <w:br/>
      </w:r>
      <w:r>
        <w:rPr>
          <w:rStyle w:val="VerbatimChar"/>
        </w:rPr>
        <w:t xml:space="preserve">  B --&gt; C{Metriktyp?}</w:t>
      </w:r>
      <w:r>
        <w:br/>
      </w:r>
      <w:r>
        <w:rPr>
          <w:rStyle w:val="VerbatimChar"/>
        </w:rPr>
        <w:t xml:space="preserve">  C -- Pass-Rate (Tests) --&gt; D[Sandbox/Runner: Build + Unit/Regression Tests]</w:t>
      </w:r>
      <w:r>
        <w:br/>
      </w:r>
      <w:r>
        <w:rPr>
          <w:rStyle w:val="VerbatimChar"/>
        </w:rPr>
        <w:t xml:space="preserve">  D --&gt; E[pass_i ∈ {0,1}]</w:t>
      </w:r>
      <w:r>
        <w:br/>
      </w:r>
      <w:r>
        <w:rPr>
          <w:rStyle w:val="VerbatimChar"/>
        </w:rPr>
        <w:t xml:space="preserve">  C -- Win-Rate (Judge) --&gt; F[LLM-Judge Calls (pairwise/pointwise)]</w:t>
      </w:r>
      <w:r>
        <w:br/>
      </w:r>
      <w:r>
        <w:rPr>
          <w:rStyle w:val="VerbatimChar"/>
        </w:rPr>
        <w:t xml:space="preserve">  F --&gt; G[Mehrfach-Judging / Multi-Judge]</w:t>
      </w:r>
      <w:r>
        <w:br/>
      </w:r>
      <w:r>
        <w:rPr>
          <w:rStyle w:val="VerbatimChar"/>
        </w:rPr>
        <w:t xml:space="preserve">  G --&gt; H[Aggregation: Majority / Mean / continuous pref.]</w:t>
      </w:r>
      <w:r>
        <w:br/>
      </w:r>
      <w:r>
        <w:rPr>
          <w:rStyle w:val="VerbatimChar"/>
        </w:rPr>
        <w:t xml:space="preserve">  E --&gt; I[Dataset-Aggregation: Mittelwert über i]</w:t>
      </w:r>
      <w:r>
        <w:br/>
      </w:r>
      <w:r>
        <w:rPr>
          <w:rStyle w:val="VerbatimChar"/>
        </w:rPr>
        <w:t xml:space="preserve">  H --&gt; I</w:t>
      </w:r>
      <w:r>
        <w:br/>
      </w:r>
      <w:r>
        <w:rPr>
          <w:rStyle w:val="VerbatimChar"/>
        </w:rPr>
        <w:t xml:space="preserve">  I --&gt; J[Bootstrap-CI &amp; Reporting (paired resampling)]</w:t>
      </w:r>
      <w:r>
        <w:br/>
      </w:r>
      <w:r>
        <w:rPr>
          <w:rStyle w:val="VerbatimChar"/>
        </w:rPr>
        <w:t xml:space="preserve">  J --&gt; K[Error Taxonomy: Bias/Flakes/Ordering-Ablation]</w:t>
      </w:r>
    </w:p>
    <w:bookmarkEnd w:id="58"/>
    <w:bookmarkEnd w:id="59"/>
    <w:bookmarkStart w:id="63" w:name="X786432b9aa91af41af524410911e4cf71136220"/>
    <w:p>
      <w:pPr>
        <w:pStyle w:val="Heading2"/>
      </w:pPr>
      <w:r>
        <w:t xml:space="preserve">Failure Modes und Biases speziell für Coding‑Agent‑Evaluation</w:t>
      </w:r>
    </w:p>
    <w:bookmarkStart w:id="60" w:name="X80068c99d29f6abc5c3672e1398b4cf4a9f572f"/>
    <w:p>
      <w:pPr>
        <w:pStyle w:val="Heading3"/>
      </w:pPr>
      <w:r>
        <w:t xml:space="preserve">Testbasierte Pass‑Rate: typische Fehlerquellen</w:t>
      </w:r>
    </w:p>
    <w:p>
      <w:pPr>
        <w:pStyle w:val="FirstParagraph"/>
      </w:pPr>
      <w:r>
        <w:rPr>
          <w:b/>
          <w:bCs/>
        </w:rPr>
        <w:t xml:space="preserve">Unzureichende Testabdeckung → False Positives</w:t>
      </w:r>
      <w:r>
        <w:br/>
      </w:r>
      <w:r>
        <w:t xml:space="preserve">AlphaCode/CodeContests berichtet explizit hohe False‑Positive‑Raten in Programmiersynthese‑Datasets und reduziert sie über zusätzliche Testgenerierung und Filterung; das ist ein Kernrisiko jeder pass‑Rate‑Metrik.</w:t>
      </w:r>
      <w:r>
        <w:t xml:space="preserve"> </w:t>
      </w:r>
      <w:hyperlink r:id="rId36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rPr>
          <w:b/>
          <w:bCs/>
        </w:rPr>
        <w:t xml:space="preserve">Environment‑Nondeterminism / Flaky builds/tests</w:t>
      </w:r>
      <w:r>
        <w:br/>
      </w:r>
      <w:r>
        <w:t xml:space="preserve">SWE‑Bench‑Atlas‑artige AutoQA‑Pipelines bauen deswegen explizit „Build Determinism“ und „Test Determinism“ mit mehrfachen Wiederholungen ein (3/3). Das zeigt, dass reine Pass‑Rate ohne Stabilitäts‑Gates Rauschen enthalten kann.</w:t>
      </w:r>
      <w:r>
        <w:t xml:space="preserve"> </w:t>
      </w:r>
      <w:hyperlink r:id="rId43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rPr>
          <w:b/>
          <w:bCs/>
        </w:rPr>
        <w:t xml:space="preserve">Überfitting auf sichtbare Tests</w:t>
      </w:r>
      <w:r>
        <w:br/>
      </w:r>
      <w:r>
        <w:t xml:space="preserve">Wenn Agenten Feedback aus öffentlichen Tests/Beispielen sehen, können sie Lösungen „testen‑optimiert“ schreiben. CodeContests/AlphaCode trennt explizit Beispieltests vs. versteckte Tests und diskutiert Filtering/Clustering über Beispieltests, bevor Hidden‑Tests bewertet werden.</w:t>
      </w:r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</w:p>
    <w:bookmarkEnd w:id="60"/>
    <w:bookmarkStart w:id="62" w:name="Xcef6934ca2a5848f36a4ba08399020f2b62bdbb"/>
    <w:p>
      <w:pPr>
        <w:pStyle w:val="Heading3"/>
      </w:pPr>
      <w:r>
        <w:t xml:space="preserve">LLM‑Judging für Code: typische Biases und Ausfallmodi</w:t>
      </w:r>
    </w:p>
    <w:p>
      <w:pPr>
        <w:pStyle w:val="FirstParagraph"/>
      </w:pPr>
      <w:r>
        <w:rPr>
          <w:b/>
          <w:bCs/>
        </w:rPr>
        <w:t xml:space="preserve">Positions‑Bias &amp; Order Sensitivity</w:t>
      </w:r>
      <w:r>
        <w:br/>
      </w:r>
      <w:r>
        <w:t xml:space="preserve">MT‑Bench analysiert Position Bias und zeigt Prompt‑Mitigations; CodeJudgeBench quantifiziert im Coding‑Domain, dass bloßes Swappen der Antwortreihenfolge die Accuracy teils stark verschiebt.</w:t>
      </w:r>
      <w:r>
        <w:t xml:space="preserve"> </w:t>
      </w:r>
      <w:hyperlink r:id="rId24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rPr>
          <w:b/>
          <w:bCs/>
        </w:rPr>
        <w:t xml:space="preserve">Format-/Kommentar‑Bias</w:t>
      </w:r>
      <w:r>
        <w:br/>
      </w:r>
      <w:r>
        <w:t xml:space="preserve">CodeJudgeBench findet, dass „full response inkl. comments/reasoning“ die Judge‑Performance verbessern kann – zugleich ist das eine Bias‑Fläche (geschicktes Formatting kann gewinnen).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b/>
          <w:bCs/>
        </w:rPr>
        <w:t xml:space="preserve">Längen-/Verbosity‑Bias</w:t>
      </w:r>
      <w:r>
        <w:br/>
      </w:r>
      <w:r>
        <w:t xml:space="preserve">MT‑Bench diskutiert Verbosity Bias; AlpacaEval dokumentiert Längen‑Bias und liefert mit AlpacaEval‑LC eine Regression‑Kontrolle, die sowohl Gameability reduziert als auch Korrelation zu humanen Rankings erhöht.</w:t>
      </w:r>
      <w:r>
        <w:t xml:space="preserve"> </w:t>
      </w:r>
      <w:hyperlink r:id="rId24">
        <w:r>
          <w:rPr>
            <w:rStyle w:val="Hyperlink"/>
          </w:rPr>
          <w:t xml:space="preserve">[56]</w:t>
        </w:r>
      </w:hyperlink>
    </w:p>
    <w:p>
      <w:pPr>
        <w:pStyle w:val="BodyText"/>
      </w:pPr>
      <w:r>
        <w:rPr>
          <w:b/>
          <w:bCs/>
        </w:rPr>
        <w:t xml:space="preserve">Self‑reinforcement / evaluator prefers model‑generated text</w:t>
      </w:r>
      <w:r>
        <w:br/>
      </w:r>
      <w:r>
        <w:t xml:space="preserve">G‑Eval benennt explizit die Gefahr, dass LLM‑basierte Evaluatoren LLM‑generierte Texte systematisch bevorzugen, was bei RL/Reward‑Nutzung zu Selbstverstärkung/Overfitting führen kann. Das ist für Code‑Agenten relevant, wenn Judge‑Scores als Reward/Selector in TTS‑Loops benutzt werden (Agentic Rubrics ist ein selektorisches Setting).</w:t>
      </w:r>
      <w:r>
        <w:t xml:space="preserve"> </w:t>
      </w:r>
      <w:hyperlink r:id="rId61">
        <w:r>
          <w:rPr>
            <w:rStyle w:val="Hyperlink"/>
          </w:rPr>
          <w:t xml:space="preserve">[57]</w:t>
        </w:r>
      </w:hyperlink>
    </w:p>
    <w:p>
      <w:pPr>
        <w:pStyle w:val="BodyText"/>
      </w:pPr>
      <w:r>
        <w:rPr>
          <w:b/>
          <w:bCs/>
        </w:rPr>
        <w:t xml:space="preserve">„Execution‑free correctness“ ist grundsätzlich schwer</w:t>
      </w:r>
      <w:r>
        <w:br/>
      </w:r>
      <w:r>
        <w:t xml:space="preserve">CODEJUDGE motiviert das Problem damit, dass viele reale Coding‑Tasks keine oder unzureichende Tests haben; es ist also nützlich, aber inhärent unsicher und erfordert sorgfältige Methodik.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62"/>
    <w:bookmarkEnd w:id="63"/>
    <w:bookmarkStart w:id="67" w:name="Xea41dd1a82734bf83b42c97b913310bd43c64fc"/>
    <w:p>
      <w:pPr>
        <w:pStyle w:val="Heading2"/>
      </w:pPr>
      <w:r>
        <w:t xml:space="preserve">Praxisorientierte Empfehlungen für robuste LLM‑Judge‑Integration bei Coding‑Agenten</w:t>
      </w:r>
    </w:p>
    <w:bookmarkStart w:id="64" w:name="X9f0b511d715c680ffaefc6dfc4598dfbc12c832"/>
    <w:p>
      <w:pPr>
        <w:pStyle w:val="Heading3"/>
      </w:pPr>
      <w:r>
        <w:t xml:space="preserve">Wann LLM‑Judging sinnvoll ist (und wann nicht)</w:t>
      </w:r>
    </w:p>
    <w:p>
      <w:pPr>
        <w:pStyle w:val="FirstParagraph"/>
      </w:pPr>
      <w:r>
        <w:rPr>
          <w:b/>
          <w:bCs/>
        </w:rPr>
        <w:t xml:space="preserve">Sinnvoll (typisch in Benchmarks/Setups):</w:t>
      </w:r>
      <w:r>
        <w:t xml:space="preserve"> </w:t>
      </w:r>
      <w:r>
        <w:t xml:space="preserve">- Wenn</w:t>
      </w:r>
      <w:r>
        <w:t xml:space="preserve"> </w:t>
      </w:r>
      <w:r>
        <w:rPr>
          <w:b/>
          <w:bCs/>
        </w:rPr>
        <w:t xml:space="preserve">Tests fehlen</w:t>
      </w:r>
      <w:r>
        <w:t xml:space="preserve"> </w:t>
      </w:r>
      <w:r>
        <w:t xml:space="preserve">oder Setup/Execution zu teuer ist und man</w:t>
      </w:r>
      <w:r>
        <w:t xml:space="preserve"> </w:t>
      </w:r>
      <w:r>
        <w:rPr>
          <w:i/>
          <w:iCs/>
        </w:rPr>
        <w:t xml:space="preserve">trotzdem</w:t>
      </w:r>
      <w:r>
        <w:t xml:space="preserve"> </w:t>
      </w:r>
      <w:r>
        <w:t xml:space="preserve">skalierbar bewerten muss (CODEJUDGE‑Motivation; Agentic Rubrics als execution‑free Verifier).</w:t>
      </w:r>
      <w:r>
        <w:t xml:space="preserve"> </w:t>
      </w:r>
      <w:hyperlink r:id="rId23">
        <w:r>
          <w:rPr>
            <w:rStyle w:val="Hyperlink"/>
          </w:rPr>
          <w:t xml:space="preserve">[58]</w:t>
        </w:r>
      </w:hyperlink>
      <w:r>
        <w:br/>
      </w:r>
      <w:r>
        <w:t xml:space="preserve">- Wenn man neben Korrektheit auch</w:t>
      </w:r>
      <w:r>
        <w:t xml:space="preserve"> </w:t>
      </w:r>
      <w:r>
        <w:rPr>
          <w:b/>
          <w:bCs/>
        </w:rPr>
        <w:t xml:space="preserve">qualitative Dimensionen</w:t>
      </w:r>
      <w:r>
        <w:t xml:space="preserve"> </w:t>
      </w:r>
      <w:r>
        <w:t xml:space="preserve">braucht (Patch‑Lesbarkeit, Spezifikations‑Treue, „good engineering practice“), die Tests nicht messen (Agentic Rubrics: Rubriken flaggen Probleme, die Tests nicht abdecken).</w:t>
      </w:r>
      <w:r>
        <w:t xml:space="preserve"> </w:t>
      </w:r>
      <w:hyperlink r:id="rId42">
        <w:r>
          <w:rPr>
            <w:rStyle w:val="Hyperlink"/>
          </w:rPr>
          <w:t xml:space="preserve">[59]</w:t>
        </w:r>
      </w:hyperlink>
      <w:r>
        <w:br/>
      </w:r>
      <w:r>
        <w:t xml:space="preserve">- Wenn man</w:t>
      </w:r>
      <w:r>
        <w:t xml:space="preserve"> </w:t>
      </w:r>
      <w:r>
        <w:rPr>
          <w:b/>
          <w:bCs/>
        </w:rPr>
        <w:t xml:space="preserve">Trajektorien</w:t>
      </w:r>
      <w:r>
        <w:t xml:space="preserve">/Tool‑Use bewerten will (z. B. Debugging‑Strategie, Effizienz), wo „einziger korrekter Pfad“ nicht existiert (ToolEval).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Nicht sinnvoll als alleinige Metrik:</w:t>
      </w:r>
      <w:r>
        <w:t xml:space="preserve"> </w:t>
      </w:r>
      <w:r>
        <w:t xml:space="preserve">- Wenn eine stabile Testumgebung existiert: dann ist Pass‑Rate/Execution‑Oracle meist überlegen (HumanEval/SWE‑bench‑Design).</w:t>
      </w:r>
      <w:r>
        <w:t xml:space="preserve"> </w:t>
      </w:r>
      <w:hyperlink r:id="rId26">
        <w:r>
          <w:rPr>
            <w:rStyle w:val="Hyperlink"/>
          </w:rPr>
          <w:t xml:space="preserve">[60]</w:t>
        </w:r>
      </w:hyperlink>
      <w:r>
        <w:br/>
      </w:r>
      <w:r>
        <w:t xml:space="preserve">- Für kleine Benchmarks ohne Budget für Multi‑Judging/Robustheitstests: CodeJudgeBench zeigt, dass Order‑Effekte und Randomness sonst stark verzerren können.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bookmarkEnd w:id="64"/>
    <w:bookmarkStart w:id="66" w:name="checkliste-für-robuste-implementierung"/>
    <w:p>
      <w:pPr>
        <w:pStyle w:val="Heading3"/>
      </w:pPr>
      <w:r>
        <w:t xml:space="preserve">Checkliste für robuste Implementierung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Reihenfolge randomisieren &amp; anonymisieren</w:t>
      </w:r>
      <w:r>
        <w:t xml:space="preserve"> </w:t>
      </w:r>
      <w:r>
        <w:t xml:space="preserve">(gegen Position-/Name‑Bias); AlpacaEval macht das standardmäßig.</w:t>
      </w:r>
      <w:r>
        <w:t xml:space="preserve"> </w:t>
      </w:r>
      <w:hyperlink r:id="rId33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Deterministische Judge‑Settings</w:t>
      </w:r>
      <w:r>
        <w:t xml:space="preserve"> </w:t>
      </w:r>
      <w:r>
        <w:t xml:space="preserve">(temperature=0) und harte Output‑Schemas (ein Token A/B/TIE oder PASS/FAIL/UNSURE).</w:t>
      </w:r>
      <w:r>
        <w:t xml:space="preserve"> </w:t>
      </w:r>
      <w:hyperlink r:id="rId33">
        <w:r>
          <w:rPr>
            <w:rStyle w:val="Hyperlink"/>
          </w:rPr>
          <w:t xml:space="preserve">[61]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Mehrfach‑Judging / Multi‑Judge</w:t>
      </w:r>
      <w:r>
        <w:t xml:space="preserve"> </w:t>
      </w:r>
      <w:r>
        <w:t xml:space="preserve">+ Majority Vote; ToolEval nutzt ≥4 Calls.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Order‑Swap‑Ablation</w:t>
      </w:r>
      <w:r>
        <w:t xml:space="preserve"> </w:t>
      </w:r>
      <w:r>
        <w:t xml:space="preserve">als Standardreporting in Coding‑Judging (CodeJudgeBench zeigt bis ~14% Differenz).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Tie/Unsure/Coverage transparent reporten</w:t>
      </w:r>
      <w:r>
        <w:t xml:space="preserve">: zusätzlich zur Win‑Rate immer Tie‑Rate bzw. Coverage angeben (ToolEval/Chatbot Arena erlauben tie/bad‑Optionen).</w:t>
      </w:r>
      <w:r>
        <w:t xml:space="preserve"> </w:t>
      </w:r>
      <w:hyperlink r:id="rId31">
        <w:r>
          <w:rPr>
            <w:rStyle w:val="Hyperlink"/>
          </w:rPr>
          <w:t xml:space="preserve">[62]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Bootstrap‑CIs</w:t>
      </w:r>
      <w:r>
        <w:t xml:space="preserve"> </w:t>
      </w:r>
      <w:r>
        <w:t xml:space="preserve">über Aufgaben (paired resampling) und nicht nur Punktwerte; AlphaCode berichtet CIs via Bootstrapping.</w:t>
      </w:r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Debiasing gegen Länge/Verbosity</w:t>
      </w:r>
      <w:r>
        <w:t xml:space="preserve">, falls Win‑Rate‑Judging verwendet wird (AlpacaEval‑LC).</w:t>
      </w:r>
      <w:r>
        <w:t xml:space="preserve"> </w:t>
      </w:r>
      <w:hyperlink r:id="rId65">
        <w:r>
          <w:rPr>
            <w:rStyle w:val="Hyperlink"/>
          </w:rPr>
          <w:t xml:space="preserve">[63]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Referenz-/Rubrik‑Guided Judging</w:t>
      </w:r>
      <w:r>
        <w:t xml:space="preserve"> </w:t>
      </w:r>
      <w:r>
        <w:t xml:space="preserve">bei schwieriger Korrektheit: MT‑Bench zeigt reference‑guided und CoT‑Prompts; Prometheus liefert Rubrik‑Templates.</w:t>
      </w:r>
      <w:r>
        <w:t xml:space="preserve"> </w:t>
      </w:r>
      <w:hyperlink r:id="rId24">
        <w:r>
          <w:rPr>
            <w:rStyle w:val="Hyperlink"/>
          </w:rPr>
          <w:t xml:space="preserve">[64]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Hybridmetriken</w:t>
      </w:r>
      <w:r>
        <w:t xml:space="preserve">: Kombiniere Pass‑Rate (Tests) mit LLM‑Qualitätschecks (Lesbarkeit/Sicherheit/Spec‑Treue), statt LLM‑Judging als Ersatz für Tests zu verwenden (SWE‑bench/Atlas‑Pipelines zeigen, dass Determinismus‑Gates + semantische Checks komplementär sind).</w:t>
      </w:r>
      <w:r>
        <w:t xml:space="preserve"> </w:t>
      </w:r>
      <w:hyperlink r:id="rId29">
        <w:r>
          <w:rPr>
            <w:rStyle w:val="Hyperlink"/>
          </w:rPr>
          <w:t xml:space="preserve">[65]</w:t>
        </w:r>
      </w:hyperlink>
    </w:p>
    <w:p>
      <w:pPr>
        <w:pStyle w:val="FirstParagraph"/>
      </w:pPr>
      <w:r>
        <w:rPr>
          <w:b/>
          <w:bCs/>
        </w:rPr>
        <w:t xml:space="preserve">Explizit unspezifizierte Details (häufig):</w:t>
      </w:r>
      <w:r>
        <w:t xml:space="preserve"> </w:t>
      </w:r>
      <w:r>
        <w:t xml:space="preserve">Viele Arbeiten geben keine globalen Seeds, keine per‑Beispiel Tokenstatistiken und keine stabilen Kosten pro Evaluation an; Kosten hängen stark von Promptlänge (Code!), Batch‑Design und Multi‑Judging‑Faktor ab (z. B. ToolEval ≥4 Calls, AlpacaEval Batch/Caching; MT‑Bench pairwise‑all).</w:t>
      </w:r>
      <w:r>
        <w:t xml:space="preserve"> </w:t>
      </w:r>
      <w:hyperlink r:id="rId31">
        <w:r>
          <w:rPr>
            <w:rStyle w:val="Hyperlink"/>
          </w:rPr>
          <w:t xml:space="preserve">[66]</w:t>
        </w:r>
      </w:hyperlink>
    </w:p>
    <w:bookmarkEnd w:id="66"/>
    <w:bookmarkEnd w:id="67"/>
    <w:bookmarkEnd w:id="68"/>
    <w:bookmarkEnd w:id="69"/>
    <w:p>
      <w:r>
        <w:pict>
          <v:rect style="width:0;height:1.5pt" o:hralign="center" o:hrstd="t" o:hr="t"/>
        </w:pict>
      </w:r>
    </w:p>
    <w:bookmarkStart w:id="7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CodeJudgeBench: Benchmarking LLM-as-a-Judge for Coding Tasks</w:t>
      </w:r>
    </w:p>
    <w:p>
      <w:pPr>
        <w:pStyle w:val="BodyText"/>
      </w:pPr>
      <w:hyperlink r:id="rId21">
        <w:r>
          <w:rPr>
            <w:rStyle w:val="Hyperlink"/>
          </w:rPr>
          <w:t xml:space="preserve">https://arxiv.org/pdf/2507.10535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[23]</w:t>
        </w:r>
      </w:hyperlink>
      <w:r>
        <w:t xml:space="preserve"> </w:t>
      </w:r>
      <w:hyperlink r:id="rId23">
        <w:r>
          <w:rPr>
            <w:rStyle w:val="Hyperlink"/>
          </w:rPr>
          <w:t xml:space="preserve">[38]</w:t>
        </w:r>
      </w:hyperlink>
      <w:r>
        <w:t xml:space="preserve"> </w:t>
      </w:r>
      <w:hyperlink r:id="rId23">
        <w:r>
          <w:rPr>
            <w:rStyle w:val="Hyperlink"/>
          </w:rPr>
          <w:t xml:space="preserve">[39]</w:t>
        </w:r>
      </w:hyperlink>
      <w:r>
        <w:t xml:space="preserve"> </w:t>
      </w:r>
      <w:hyperlink r:id="rId23">
        <w:r>
          <w:rPr>
            <w:rStyle w:val="Hyperlink"/>
          </w:rPr>
          <w:t xml:space="preserve">[40]</w:t>
        </w:r>
      </w:hyperlink>
      <w:r>
        <w:t xml:space="preserve"> </w:t>
      </w:r>
      <w:hyperlink r:id="rId23">
        <w:r>
          <w:rPr>
            <w:rStyle w:val="Hyperlink"/>
          </w:rPr>
          <w:t xml:space="preserve">[45]</w:t>
        </w:r>
      </w:hyperlink>
      <w:r>
        <w:t xml:space="preserve"> </w:t>
      </w:r>
      <w:hyperlink r:id="rId23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aclanthology.org</w:t>
      </w:r>
    </w:p>
    <w:p>
      <w:pPr>
        <w:pStyle w:val="BodyText"/>
      </w:pPr>
      <w:hyperlink r:id="rId23">
        <w:r>
          <w:rPr>
            <w:rStyle w:val="Hyperlink"/>
          </w:rPr>
          <w:t xml:space="preserve">https://aclanthology.org/2024.emnlp-main.1118.pdf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  <w:r>
        <w:t xml:space="preserve"> </w:t>
      </w:r>
      <w:hyperlink r:id="rId24">
        <w:r>
          <w:rPr>
            <w:rStyle w:val="Hyperlink"/>
          </w:rPr>
          <w:t xml:space="preserve">[20]</w:t>
        </w:r>
      </w:hyperlink>
      <w:r>
        <w:t xml:space="preserve"> </w:t>
      </w:r>
      <w:hyperlink r:id="rId24">
        <w:r>
          <w:rPr>
            <w:rStyle w:val="Hyperlink"/>
          </w:rPr>
          <w:t xml:space="preserve">[29]</w:t>
        </w:r>
      </w:hyperlink>
      <w:r>
        <w:t xml:space="preserve"> </w:t>
      </w:r>
      <w:hyperlink r:id="rId24">
        <w:r>
          <w:rPr>
            <w:rStyle w:val="Hyperlink"/>
          </w:rPr>
          <w:t xml:space="preserve">[30]</w:t>
        </w:r>
      </w:hyperlink>
      <w:r>
        <w:t xml:space="preserve"> </w:t>
      </w:r>
      <w:hyperlink r:id="rId24">
        <w:r>
          <w:rPr>
            <w:rStyle w:val="Hyperlink"/>
          </w:rPr>
          <w:t xml:space="preserve">[32]</w:t>
        </w:r>
      </w:hyperlink>
      <w:r>
        <w:t xml:space="preserve"> </w:t>
      </w:r>
      <w:hyperlink r:id="rId24">
        <w:r>
          <w:rPr>
            <w:rStyle w:val="Hyperlink"/>
          </w:rPr>
          <w:t xml:space="preserve">[41]</w:t>
        </w:r>
      </w:hyperlink>
      <w:r>
        <w:t xml:space="preserve"> </w:t>
      </w:r>
      <w:hyperlink r:id="rId24">
        <w:r>
          <w:rPr>
            <w:rStyle w:val="Hyperlink"/>
          </w:rPr>
          <w:t xml:space="preserve">[43]</w:t>
        </w:r>
      </w:hyperlink>
      <w:r>
        <w:t xml:space="preserve"> </w:t>
      </w:r>
      <w:hyperlink r:id="rId24">
        <w:r>
          <w:rPr>
            <w:rStyle w:val="Hyperlink"/>
          </w:rPr>
          <w:t xml:space="preserve">[55]</w:t>
        </w:r>
      </w:hyperlink>
      <w:r>
        <w:t xml:space="preserve"> </w:t>
      </w:r>
      <w:hyperlink r:id="rId24">
        <w:r>
          <w:rPr>
            <w:rStyle w:val="Hyperlink"/>
          </w:rPr>
          <w:t xml:space="preserve">[56]</w:t>
        </w:r>
      </w:hyperlink>
      <w:r>
        <w:t xml:space="preserve"> </w:t>
      </w:r>
      <w:hyperlink r:id="rId24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arxiv.org</w:t>
      </w:r>
    </w:p>
    <w:p>
      <w:pPr>
        <w:pStyle w:val="BodyText"/>
      </w:pPr>
      <w:hyperlink r:id="rId24">
        <w:r>
          <w:rPr>
            <w:rStyle w:val="Hyperlink"/>
          </w:rPr>
          <w:t xml:space="preserve">https://arxiv.org/pdf/2306.05685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hyperlink r:id="rId26">
        <w:r>
          <w:rPr>
            <w:rStyle w:val="Hyperlink"/>
          </w:rPr>
          <w:t xml:space="preserve">[10]</w:t>
        </w:r>
      </w:hyperlink>
      <w:r>
        <w:t xml:space="preserve"> </w:t>
      </w:r>
      <w:hyperlink r:id="rId26">
        <w:r>
          <w:rPr>
            <w:rStyle w:val="Hyperlink"/>
          </w:rPr>
          <w:t xml:space="preserve">[19]</w:t>
        </w:r>
      </w:hyperlink>
      <w:r>
        <w:t xml:space="preserve"> </w:t>
      </w:r>
      <w:hyperlink r:id="rId26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Evaluating Large Language Models Trained on Code</w:t>
      </w:r>
    </w:p>
    <w:p>
      <w:pPr>
        <w:pStyle w:val="BodyText"/>
      </w:pPr>
      <w:hyperlink r:id="rId26">
        <w:r>
          <w:rPr>
            <w:rStyle w:val="Hyperlink"/>
          </w:rPr>
          <w:t xml:space="preserve">https://arxiv.org/pdf/2107.03374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[51]</w:t>
        </w:r>
      </w:hyperlink>
      <w:r>
        <w:t xml:space="preserve"> </w:t>
      </w:r>
      <w:hyperlink r:id="rId29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proceedings.iclr.cc</w:t>
      </w:r>
    </w:p>
    <w:p>
      <w:pPr>
        <w:pStyle w:val="BodyText"/>
      </w:pPr>
      <w:hyperlink r:id="rId29">
        <w:r>
          <w:rPr>
            <w:rStyle w:val="Hyperlink"/>
          </w:rPr>
          <w:t xml:space="preserve">https://proceedings.iclr.cc/paper_files/paper/2024/file/edac78c3e300629acfe6cbe9ca88fb84-Paper-Conference.pdf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[22]</w:t>
        </w:r>
      </w:hyperlink>
      <w:r>
        <w:t xml:space="preserve"> </w:t>
      </w:r>
      <w:hyperlink r:id="rId31">
        <w:r>
          <w:rPr>
            <w:rStyle w:val="Hyperlink"/>
          </w:rPr>
          <w:t xml:space="preserve">[37]</w:t>
        </w:r>
      </w:hyperlink>
      <w:r>
        <w:t xml:space="preserve"> </w:t>
      </w:r>
      <w:hyperlink r:id="rId31">
        <w:r>
          <w:rPr>
            <w:rStyle w:val="Hyperlink"/>
          </w:rPr>
          <w:t xml:space="preserve">[62]</w:t>
        </w:r>
      </w:hyperlink>
      <w:r>
        <w:t xml:space="preserve"> </w:t>
      </w:r>
      <w:hyperlink r:id="rId31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openreview.net</w:t>
      </w:r>
    </w:p>
    <w:p>
      <w:pPr>
        <w:pStyle w:val="BodyText"/>
      </w:pPr>
      <w:hyperlink r:id="rId31">
        <w:r>
          <w:rPr>
            <w:rStyle w:val="Hyperlink"/>
          </w:rPr>
          <w:t xml:space="preserve">https://openreview.net/notes/edits/attachment?id=vBiFw5SoQe&amp;name=pdf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[21]</w:t>
        </w:r>
      </w:hyperlink>
      <w:r>
        <w:t xml:space="preserve"> </w:t>
      </w:r>
      <w:hyperlink r:id="rId33">
        <w:r>
          <w:rPr>
            <w:rStyle w:val="Hyperlink"/>
          </w:rPr>
          <w:t xml:space="preserve">[33]</w:t>
        </w:r>
      </w:hyperlink>
      <w:r>
        <w:t xml:space="preserve"> </w:t>
      </w:r>
      <w:hyperlink r:id="rId33">
        <w:r>
          <w:rPr>
            <w:rStyle w:val="Hyperlink"/>
          </w:rPr>
          <w:t xml:space="preserve">[34]</w:t>
        </w:r>
      </w:hyperlink>
      <w:r>
        <w:t xml:space="preserve"> </w:t>
      </w:r>
      <w:hyperlink r:id="rId33">
        <w:r>
          <w:rPr>
            <w:rStyle w:val="Hyperlink"/>
          </w:rPr>
          <w:t xml:space="preserve">[35]</w:t>
        </w:r>
      </w:hyperlink>
      <w:r>
        <w:t xml:space="preserve"> </w:t>
      </w:r>
      <w:hyperlink r:id="rId33">
        <w:r>
          <w:rPr>
            <w:rStyle w:val="Hyperlink"/>
          </w:rPr>
          <w:t xml:space="preserve">[36]</w:t>
        </w:r>
      </w:hyperlink>
      <w:r>
        <w:t xml:space="preserve"> </w:t>
      </w:r>
      <w:hyperlink r:id="rId33">
        <w:r>
          <w:rPr>
            <w:rStyle w:val="Hyperlink"/>
          </w:rPr>
          <w:t xml:space="preserve">[47]</w:t>
        </w:r>
      </w:hyperlink>
      <w:r>
        <w:t xml:space="preserve"> </w:t>
      </w:r>
      <w:hyperlink r:id="rId33">
        <w:r>
          <w:rPr>
            <w:rStyle w:val="Hyperlink"/>
          </w:rPr>
          <w:t xml:space="preserve">[48]</w:t>
        </w:r>
      </w:hyperlink>
      <w:r>
        <w:t xml:space="preserve"> </w:t>
      </w:r>
      <w:hyperlink r:id="rId33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GitHub - tatsu-lab/alpaca_eval: An automatic evaluator for instruction-following language models. Human-validated, high-quality, cheap, and fast. · GitHub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https://github.com/tatsu-lab/alpaca_eval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4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Chatbot Arena: An Open Platform for Evaluating LLMs by Human Preference</w:t>
      </w:r>
    </w:p>
    <w:p>
      <w:pPr>
        <w:pStyle w:val="BodyText"/>
      </w:pPr>
      <w:hyperlink r:id="rId34">
        <w:r>
          <w:rPr>
            <w:rStyle w:val="Hyperlink"/>
          </w:rPr>
          <w:t xml:space="preserve">https://arxiv.org/pdf/2403.04132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hyperlink r:id="rId36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storage.googleapis.com</w:t>
      </w:r>
    </w:p>
    <w:p>
      <w:pPr>
        <w:pStyle w:val="BodyText"/>
      </w:pPr>
      <w:hyperlink r:id="rId36">
        <w:r>
          <w:rPr>
            <w:rStyle w:val="Hyperlink"/>
          </w:rPr>
          <w:t xml:space="preserve">https://storage.googleapis.com/deepmind-media/AlphaCode/competition_level_code_generation_with_alphacode.pdf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Program synthesis with large language models</w:t>
      </w:r>
    </w:p>
    <w:p>
      <w:pPr>
        <w:pStyle w:val="BodyText"/>
      </w:pPr>
      <w:hyperlink r:id="rId39">
        <w:r>
          <w:rPr>
            <w:rStyle w:val="Hyperlink"/>
          </w:rPr>
          <w:t xml:space="preserve">https://arxiv.org/pdf/2108.07732?utm_source=chatgpt.com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papers.neurips.cc</w:t>
      </w:r>
    </w:p>
    <w:p>
      <w:pPr>
        <w:pStyle w:val="BodyText"/>
      </w:pPr>
      <w:hyperlink r:id="rId40">
        <w:r>
          <w:rPr>
            <w:rStyle w:val="Hyperlink"/>
          </w:rPr>
          <w:t xml:space="preserve">https://papers.neurips.cc/paper_files/paper/2023/file/4b175d846fb008d540d233c188379ff9-Paper-Datasets_and_Benchmarks.pdf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[25]</w:t>
        </w:r>
      </w:hyperlink>
      <w:r>
        <w:t xml:space="preserve"> </w:t>
      </w:r>
      <w:hyperlink r:id="rId42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Agentic Rubrics as Contextual Verifiers for SWE Agents</w:t>
      </w:r>
    </w:p>
    <w:p>
      <w:pPr>
        <w:pStyle w:val="BodyText"/>
      </w:pPr>
      <w:hyperlink r:id="rId42">
        <w:r>
          <w:rPr>
            <w:rStyle w:val="Hyperlink"/>
          </w:rPr>
          <w:t xml:space="preserve">https://arxiv.org/html/2601.04171v1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[26]</w:t>
        </w:r>
      </w:hyperlink>
      <w:r>
        <w:t xml:space="preserve"> </w:t>
      </w:r>
      <w:hyperlink r:id="rId43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openreview.net</w:t>
      </w:r>
    </w:p>
    <w:p>
      <w:pPr>
        <w:pStyle w:val="BodyText"/>
      </w:pPr>
      <w:hyperlink r:id="rId43">
        <w:r>
          <w:rPr>
            <w:rStyle w:val="Hyperlink"/>
          </w:rPr>
          <w:t xml:space="preserve">https://openreview.net/pdf/04f27b6e915e572ab3b4c144eb19a0b0c6ec5b3c.pdf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[27]</w:t>
        </w:r>
      </w:hyperlink>
      <w:r>
        <w:t xml:space="preserve"> </w:t>
      </w:r>
      <w:hyperlink r:id="rId46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bigcode-evaluation-harness/docs/README.md at main · bigcode-project/bigcode-evaluation-harness · GitHub</w:t>
      </w:r>
    </w:p>
    <w:p>
      <w:pPr>
        <w:pStyle w:val="BodyText"/>
      </w:pPr>
      <w:hyperlink r:id="rId46">
        <w:r>
          <w:rPr>
            <w:rStyle w:val="Hyperlink"/>
          </w:rPr>
          <w:t xml:space="preserve">https://github.com/bigcode-project/bigcode-evaluation-harness/blob/main/docs/README.md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[31]</w:t>
        </w:r>
      </w:hyperlink>
      <w:r>
        <w:t xml:space="preserve"> </w:t>
      </w:r>
      <w:hyperlink r:id="rId47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FastChat/fastchat/llm_judge/README.md at main · lm-sys/FastChat · GitHub</w:t>
      </w:r>
    </w:p>
    <w:p>
      <w:pPr>
        <w:pStyle w:val="BodyText"/>
      </w:pPr>
      <w:hyperlink r:id="rId47">
        <w:r>
          <w:rPr>
            <w:rStyle w:val="Hyperlink"/>
          </w:rPr>
          <w:t xml:space="preserve">https://github.com/lm-sys/FastChat/blob/main/fastchat/llm_judge/README.md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raw.githubusercontent.com</w:t>
      </w:r>
    </w:p>
    <w:p>
      <w:pPr>
        <w:pStyle w:val="BodyText"/>
      </w:pPr>
      <w:hyperlink r:id="rId50">
        <w:r>
          <w:rPr>
            <w:rStyle w:val="Hyperlink"/>
          </w:rPr>
          <w:t xml:space="preserve">https://raw.githubusercontent.com/tatsu-lab/alpaca_eval/main/src/alpaca_eval/evaluators_configs/alpaca_eval_gpt4/alpaca_eval.txt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prometheus-eval/libs/prometheus-eval/prometheus_eval/prompts.py at main · prometheus-eval/prometheus-eval · GitHub</w:t>
      </w:r>
    </w:p>
    <w:p>
      <w:pPr>
        <w:pStyle w:val="BodyText"/>
      </w:pPr>
      <w:hyperlink r:id="rId51">
        <w:r>
          <w:rPr>
            <w:rStyle w:val="Hyperlink"/>
          </w:rPr>
          <w:t xml:space="preserve">https://github.com/prometheus-eval/prometheus-eval/blob/main/libs/prometheus-eval/prometheus_eval/prompts.py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raw.githubusercontent.com</w:t>
      </w:r>
    </w:p>
    <w:p>
      <w:pPr>
        <w:pStyle w:val="BodyText"/>
      </w:pPr>
      <w:hyperlink r:id="rId56">
        <w:r>
          <w:rPr>
            <w:rStyle w:val="Hyperlink"/>
          </w:rPr>
          <w:t xml:space="preserve">https://raw.githubusercontent.com/tatsu-lab/alpaca_eval/main/src/alpaca_eval/evaluators_configs/alpaca_eval_clf_gpt4_turbo/alpaca_eval_clf.txt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arxiv.org</w:t>
      </w:r>
    </w:p>
    <w:p>
      <w:pPr>
        <w:pStyle w:val="BodyText"/>
      </w:pPr>
      <w:hyperlink r:id="rId61">
        <w:r>
          <w:rPr>
            <w:rStyle w:val="Hyperlink"/>
          </w:rPr>
          <w:t xml:space="preserve">https://arxiv.org/pdf/2303.16634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openreview.net</w:t>
      </w:r>
    </w:p>
    <w:p>
      <w:pPr>
        <w:pStyle w:val="BodyText"/>
      </w:pPr>
      <w:hyperlink r:id="rId65">
        <w:r>
          <w:rPr>
            <w:rStyle w:val="Hyperlink"/>
          </w:rPr>
          <w:t xml:space="preserve">https://openreview.net/pdf/76a4afefba676b543f4c4ca61529f92e828e171f.pdf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clanthology.org/2024.emnlp-main.1118.pdf" TargetMode="External" /><Relationship Type="http://schemas.openxmlformats.org/officeDocument/2006/relationships/hyperlink" Id="rId42" Target="https://arxiv.org/html/2601.04171v1" TargetMode="External" /><Relationship Type="http://schemas.openxmlformats.org/officeDocument/2006/relationships/hyperlink" Id="rId26" Target="https://arxiv.org/pdf/2107.03374" TargetMode="External" /><Relationship Type="http://schemas.openxmlformats.org/officeDocument/2006/relationships/hyperlink" Id="rId39" Target="https://arxiv.org/pdf/2108.07732?utm_source=chatgpt.com" TargetMode="External" /><Relationship Type="http://schemas.openxmlformats.org/officeDocument/2006/relationships/hyperlink" Id="rId61" Target="https://arxiv.org/pdf/2303.16634" TargetMode="External" /><Relationship Type="http://schemas.openxmlformats.org/officeDocument/2006/relationships/hyperlink" Id="rId24" Target="https://arxiv.org/pdf/2306.05685" TargetMode="External" /><Relationship Type="http://schemas.openxmlformats.org/officeDocument/2006/relationships/hyperlink" Id="rId34" Target="https://arxiv.org/pdf/2403.04132" TargetMode="External" /><Relationship Type="http://schemas.openxmlformats.org/officeDocument/2006/relationships/hyperlink" Id="rId21" Target="https://arxiv.org/pdf/2507.10535" TargetMode="External" /><Relationship Type="http://schemas.openxmlformats.org/officeDocument/2006/relationships/hyperlink" Id="rId46" Target="https://github.com/bigcode-project/bigcode-evaluation-harness/blob/main/docs/README.md" TargetMode="External" /><Relationship Type="http://schemas.openxmlformats.org/officeDocument/2006/relationships/hyperlink" Id="rId47" Target="https://github.com/lm-sys/FastChat/blob/main/fastchat/llm_judge/README.md" TargetMode="External" /><Relationship Type="http://schemas.openxmlformats.org/officeDocument/2006/relationships/hyperlink" Id="rId51" Target="https://github.com/prometheus-eval/prometheus-eval/blob/main/libs/prometheus-eval/prometheus_eval/prompts.py" TargetMode="External" /><Relationship Type="http://schemas.openxmlformats.org/officeDocument/2006/relationships/hyperlink" Id="rId33" Target="https://github.com/tatsu-lab/alpaca_eval" TargetMode="External" /><Relationship Type="http://schemas.openxmlformats.org/officeDocument/2006/relationships/hyperlink" Id="rId31" Target="https://openreview.net/notes/edits/attachment?id=vBiFw5SoQe&amp;name=pdf" TargetMode="External" /><Relationship Type="http://schemas.openxmlformats.org/officeDocument/2006/relationships/hyperlink" Id="rId43" Target="https://openreview.net/pdf/04f27b6e915e572ab3b4c144eb19a0b0c6ec5b3c.pdf" TargetMode="External" /><Relationship Type="http://schemas.openxmlformats.org/officeDocument/2006/relationships/hyperlink" Id="rId65" Target="https://openreview.net/pdf/76a4afefba676b543f4c4ca61529f92e828e171f.pdf" TargetMode="External" /><Relationship Type="http://schemas.openxmlformats.org/officeDocument/2006/relationships/hyperlink" Id="rId40" Target="https://papers.neurips.cc/paper_files/paper/2023/file/4b175d846fb008d540d233c188379ff9-Paper-Datasets_and_Benchmarks.pdf" TargetMode="External" /><Relationship Type="http://schemas.openxmlformats.org/officeDocument/2006/relationships/hyperlink" Id="rId29" Target="https://proceedings.iclr.cc/paper_files/paper/2024/file/edac78c3e300629acfe6cbe9ca88fb84-Paper-Conference.pdf" TargetMode="External" /><Relationship Type="http://schemas.openxmlformats.org/officeDocument/2006/relationships/hyperlink" Id="rId56" Target="https://raw.githubusercontent.com/tatsu-lab/alpaca_eval/main/src/alpaca_eval/evaluators_configs/alpaca_eval_clf_gpt4_turbo/alpaca_eval_clf.txt" TargetMode="External" /><Relationship Type="http://schemas.openxmlformats.org/officeDocument/2006/relationships/hyperlink" Id="rId50" Target="https://raw.githubusercontent.com/tatsu-lab/alpaca_eval/main/src/alpaca_eval/evaluators_configs/alpaca_eval_gpt4/alpaca_eval.txt" TargetMode="External" /><Relationship Type="http://schemas.openxmlformats.org/officeDocument/2006/relationships/hyperlink" Id="rId36" Target="https://storage.googleapis.com/deepmind-media/AlphaCode/competition_level_code_generation_with_alphacod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clanthology.org/2024.emnlp-main.1118.pdf" TargetMode="External" /><Relationship Type="http://schemas.openxmlformats.org/officeDocument/2006/relationships/hyperlink" Id="rId42" Target="https://arxiv.org/html/2601.04171v1" TargetMode="External" /><Relationship Type="http://schemas.openxmlformats.org/officeDocument/2006/relationships/hyperlink" Id="rId26" Target="https://arxiv.org/pdf/2107.03374" TargetMode="External" /><Relationship Type="http://schemas.openxmlformats.org/officeDocument/2006/relationships/hyperlink" Id="rId39" Target="https://arxiv.org/pdf/2108.07732?utm_source=chatgpt.com" TargetMode="External" /><Relationship Type="http://schemas.openxmlformats.org/officeDocument/2006/relationships/hyperlink" Id="rId61" Target="https://arxiv.org/pdf/2303.16634" TargetMode="External" /><Relationship Type="http://schemas.openxmlformats.org/officeDocument/2006/relationships/hyperlink" Id="rId24" Target="https://arxiv.org/pdf/2306.05685" TargetMode="External" /><Relationship Type="http://schemas.openxmlformats.org/officeDocument/2006/relationships/hyperlink" Id="rId34" Target="https://arxiv.org/pdf/2403.04132" TargetMode="External" /><Relationship Type="http://schemas.openxmlformats.org/officeDocument/2006/relationships/hyperlink" Id="rId21" Target="https://arxiv.org/pdf/2507.10535" TargetMode="External" /><Relationship Type="http://schemas.openxmlformats.org/officeDocument/2006/relationships/hyperlink" Id="rId46" Target="https://github.com/bigcode-project/bigcode-evaluation-harness/blob/main/docs/README.md" TargetMode="External" /><Relationship Type="http://schemas.openxmlformats.org/officeDocument/2006/relationships/hyperlink" Id="rId47" Target="https://github.com/lm-sys/FastChat/blob/main/fastchat/llm_judge/README.md" TargetMode="External" /><Relationship Type="http://schemas.openxmlformats.org/officeDocument/2006/relationships/hyperlink" Id="rId51" Target="https://github.com/prometheus-eval/prometheus-eval/blob/main/libs/prometheus-eval/prometheus_eval/prompts.py" TargetMode="External" /><Relationship Type="http://schemas.openxmlformats.org/officeDocument/2006/relationships/hyperlink" Id="rId33" Target="https://github.com/tatsu-lab/alpaca_eval" TargetMode="External" /><Relationship Type="http://schemas.openxmlformats.org/officeDocument/2006/relationships/hyperlink" Id="rId31" Target="https://openreview.net/notes/edits/attachment?id=vBiFw5SoQe&amp;name=pdf" TargetMode="External" /><Relationship Type="http://schemas.openxmlformats.org/officeDocument/2006/relationships/hyperlink" Id="rId43" Target="https://openreview.net/pdf/04f27b6e915e572ab3b4c144eb19a0b0c6ec5b3c.pdf" TargetMode="External" /><Relationship Type="http://schemas.openxmlformats.org/officeDocument/2006/relationships/hyperlink" Id="rId65" Target="https://openreview.net/pdf/76a4afefba676b543f4c4ca61529f92e828e171f.pdf" TargetMode="External" /><Relationship Type="http://schemas.openxmlformats.org/officeDocument/2006/relationships/hyperlink" Id="rId40" Target="https://papers.neurips.cc/paper_files/paper/2023/file/4b175d846fb008d540d233c188379ff9-Paper-Datasets_and_Benchmarks.pdf" TargetMode="External" /><Relationship Type="http://schemas.openxmlformats.org/officeDocument/2006/relationships/hyperlink" Id="rId29" Target="https://proceedings.iclr.cc/paper_files/paper/2024/file/edac78c3e300629acfe6cbe9ca88fb84-Paper-Conference.pdf" TargetMode="External" /><Relationship Type="http://schemas.openxmlformats.org/officeDocument/2006/relationships/hyperlink" Id="rId56" Target="https://raw.githubusercontent.com/tatsu-lab/alpaca_eval/main/src/alpaca_eval/evaluators_configs/alpaca_eval_clf_gpt4_turbo/alpaca_eval_clf.txt" TargetMode="External" /><Relationship Type="http://schemas.openxmlformats.org/officeDocument/2006/relationships/hyperlink" Id="rId50" Target="https://raw.githubusercontent.com/tatsu-lab/alpaca_eval/main/src/alpaca_eval/evaluators_configs/alpaca_eval_gpt4/alpaca_eval.txt" TargetMode="External" /><Relationship Type="http://schemas.openxmlformats.org/officeDocument/2006/relationships/hyperlink" Id="rId36" Target="https://storage.googleapis.com/deepmind-media/AlphaCode/competition_level_code_generation_with_alphacod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2026-03-21T21:45:54Z</dcterms:created>
  <dcterms:modified xsi:type="dcterms:W3CDTF">2026-03-21T21:45:54Z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