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asciiTheme="majorHAnsi" w:hAnsiTheme="majorHAnsi"/>
          <w:b/>
          <w:u w:val="single"/>
        </w:rPr>
      </w:pPr>
      <w:bookmarkStart w:id="0" w:name="_GoBack"/>
      <w:bookmarkEnd w:id="0"/>
      <w:r>
        <w:rPr>
          <w:rFonts w:cs="Times New Roman" w:asciiTheme="majorHAnsi" w:hAnsiTheme="majorHAnsi"/>
          <w:b/>
          <w:u w:val="single"/>
        </w:rPr>
        <w:t>Business-oriented typology and characterization of agriculture in SSA</w:t>
      </w:r>
    </w:p>
    <w:p>
      <w:pPr>
        <w:jc w:val="center"/>
        <w:rPr>
          <w:rFonts w:cs="Times New Roman" w:asciiTheme="majorHAnsi" w:hAnsiTheme="majorHAnsi"/>
          <w:b/>
          <w:u w:val="single"/>
        </w:rPr>
      </w:pPr>
      <w:r>
        <w:rPr>
          <w:rFonts w:cs="Times New Roman" w:asciiTheme="majorHAnsi" w:hAnsiTheme="majorHAnsi"/>
          <w:b/>
          <w:u w:val="single"/>
        </w:rPr>
        <w:t>A multi-scale and cross-time framework</w:t>
      </w:r>
    </w:p>
    <w:p>
      <w:pPr>
        <w:rPr>
          <w:rFonts w:cs="Times New Roman" w:asciiTheme="majorHAnsi" w:hAnsiTheme="majorHAnsi"/>
          <w:b/>
        </w:rPr>
      </w:pPr>
      <w:r>
        <w:rPr>
          <w:rFonts w:cs="Times New Roman" w:asciiTheme="majorHAnsi" w:hAnsiTheme="majorHAnsi"/>
          <w:b/>
        </w:rPr>
        <w:t>Introduction:</w:t>
      </w:r>
    </w:p>
    <w:p>
      <w:pPr>
        <w:rPr>
          <w:rFonts w:cs="Times New Roman" w:asciiTheme="majorHAnsi" w:hAnsiTheme="majorHAnsi"/>
        </w:rPr>
      </w:pPr>
      <w:r>
        <w:rPr>
          <w:rFonts w:cs="Times New Roman" w:asciiTheme="majorHAnsi" w:hAnsiTheme="majorHAnsi"/>
        </w:rPr>
        <w:t>Our proposal, not yet clearly compatible with the existing report outline, is to provide a chapter, or a substantial portion of a context-setting chapter, that attempts to characterize, scale, locate, point to prioritization of high-level smallholder commercialization strategies, opportunities and challenges.</w:t>
      </w:r>
    </w:p>
    <w:p>
      <w:pPr>
        <w:rPr>
          <w:rFonts w:cs="Times New Roman" w:asciiTheme="majorHAnsi" w:hAnsiTheme="majorHAnsi"/>
        </w:rPr>
      </w:pPr>
      <w:r>
        <w:rPr>
          <w:rFonts w:cs="Times New Roman" w:asciiTheme="majorHAnsi" w:hAnsiTheme="majorHAnsi"/>
        </w:rPr>
        <w:t>We suggest to do that by bringing together a set of multi-scale and multi-temporal data that seem tractable in the available timeframe. At the highest level we have “development domains” providing broad, regionwide SSA context for conditioning commercialization (e.g. the promising commercialization opportunities for high-value, perishable, (bulky) commodities that might be more profitable in the Hi-Hi domains [rainfed ag potential x market access] and the more limited opportunities for say extensive livestock grazing, low-input cereal in lo-lo domains). We propose then focusing on around half a dozen countries for which we have recent/accessible microdata (e.g. LSMS-ISA and maybe AGRA baseline surveys) to look more closely, in the same 2x2 domain framework, at specific farm hh characteristics to do two things (i) apply some typology to distinguish between say “predominantly-subsistence” focused and “transitioning-commercial” smallholders (ii) report on hh level variables that can provide insight into the scale of potential business development challenges and opportunities in each country. The final piece would be to focus in on one country for which we have 2-3 rounds of LSMS-ISA (e.g. Tanzania) and look at the trends in some of those “commercialization potential” metrics over the past 6-8 years. Of course there are many other factors limiting business opportunities (and the World Bank’s Enabling the Business of Agriculture [EBA] indicators are likely useful for the report in that regard), but this could provide a contextual storyline that could help bridge across different perspectives/frameworks that might be introduced in the report. Our thoughts on the actual analyses we’re suggesting are summarized below.</w:t>
      </w:r>
    </w:p>
    <w:p>
      <w:pPr>
        <w:rPr>
          <w:rFonts w:ascii="Times New Roman" w:hAnsi="Times New Roman" w:cs="Times New Roman"/>
        </w:rPr>
        <w:sectPr>
          <w:footerReference r:id="rId3" w:type="default"/>
          <w:pgSz w:w="12240" w:h="15840"/>
          <w:pgMar w:top="1440" w:right="1440" w:bottom="1440" w:left="1440" w:header="720" w:footer="720" w:gutter="0"/>
          <w:cols w:space="720" w:num="1"/>
          <w:docGrid w:linePitch="360" w:charSpace="0"/>
        </w:sectPr>
      </w:pPr>
    </w:p>
    <w:p>
      <w:pPr>
        <w:rPr>
          <w:rFonts w:ascii="Times New Roman" w:hAnsi="Times New Roman" w:cs="Times New Roman"/>
        </w:rPr>
      </w:pPr>
    </w:p>
    <w:tbl>
      <w:tblPr>
        <w:tblStyle w:val="6"/>
        <w:tblW w:w="13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847"/>
        <w:gridCol w:w="1849"/>
        <w:gridCol w:w="2109"/>
        <w:gridCol w:w="1835"/>
        <w:gridCol w:w="1784"/>
        <w:gridCol w:w="1840"/>
      </w:tblGrid>
      <w:tr>
        <w:tc>
          <w:tcPr>
            <w:tcW w:w="3691" w:type="dxa"/>
            <w:gridSpan w:val="2"/>
            <w:shd w:val="clear" w:color="auto" w:fill="FFE599" w:themeFill="accent4" w:themeFillTint="66"/>
            <w:vAlign w:val="center"/>
          </w:tcPr>
          <w:p>
            <w:pPr>
              <w:spacing w:after="0" w:line="240" w:lineRule="auto"/>
              <w:jc w:val="center"/>
              <w:rPr>
                <w:rFonts w:cs="Times New Roman" w:asciiTheme="majorHAnsi" w:hAnsiTheme="majorHAnsi"/>
                <w:b/>
              </w:rPr>
            </w:pPr>
            <w:r>
              <w:rPr>
                <w:rFonts w:cs="Times New Roman" w:asciiTheme="majorHAnsi" w:hAnsiTheme="majorHAnsi"/>
                <w:b/>
              </w:rPr>
              <w:t>Component Description</w:t>
            </w:r>
          </w:p>
        </w:tc>
        <w:tc>
          <w:tcPr>
            <w:tcW w:w="1849" w:type="dxa"/>
            <w:shd w:val="clear" w:color="auto" w:fill="FFE599" w:themeFill="accent4" w:themeFillTint="66"/>
            <w:vAlign w:val="center"/>
          </w:tcPr>
          <w:p>
            <w:pPr>
              <w:spacing w:after="0" w:line="240" w:lineRule="auto"/>
              <w:jc w:val="center"/>
              <w:rPr>
                <w:rFonts w:cs="Times New Roman" w:asciiTheme="majorHAnsi" w:hAnsiTheme="majorHAnsi"/>
                <w:b/>
              </w:rPr>
            </w:pPr>
            <w:r>
              <w:rPr>
                <w:rFonts w:cs="Times New Roman" w:asciiTheme="majorHAnsi" w:hAnsiTheme="majorHAnsi"/>
                <w:b/>
              </w:rPr>
              <w:t>Aggregation/Units of reporting</w:t>
            </w:r>
          </w:p>
        </w:tc>
        <w:tc>
          <w:tcPr>
            <w:tcW w:w="2109" w:type="dxa"/>
            <w:shd w:val="clear" w:color="auto" w:fill="FFE599" w:themeFill="accent4" w:themeFillTint="66"/>
            <w:vAlign w:val="center"/>
          </w:tcPr>
          <w:p>
            <w:pPr>
              <w:spacing w:after="0" w:line="240" w:lineRule="auto"/>
              <w:jc w:val="center"/>
              <w:rPr>
                <w:rFonts w:cs="Times New Roman" w:asciiTheme="majorHAnsi" w:hAnsiTheme="majorHAnsi"/>
                <w:b/>
              </w:rPr>
            </w:pPr>
            <w:r>
              <w:rPr>
                <w:rFonts w:cs="Times New Roman" w:asciiTheme="majorHAnsi" w:hAnsiTheme="majorHAnsi"/>
                <w:b/>
              </w:rPr>
              <w:t>Potential variables reported</w:t>
            </w:r>
          </w:p>
        </w:tc>
        <w:tc>
          <w:tcPr>
            <w:tcW w:w="1835" w:type="dxa"/>
            <w:shd w:val="clear" w:color="auto" w:fill="FFE599" w:themeFill="accent4" w:themeFillTint="66"/>
            <w:vAlign w:val="center"/>
          </w:tcPr>
          <w:p>
            <w:pPr>
              <w:spacing w:after="0" w:line="240" w:lineRule="auto"/>
              <w:jc w:val="center"/>
              <w:rPr>
                <w:rFonts w:cs="Times New Roman" w:asciiTheme="majorHAnsi" w:hAnsiTheme="majorHAnsi"/>
                <w:b/>
              </w:rPr>
            </w:pPr>
            <w:r>
              <w:rPr>
                <w:rFonts w:cs="Times New Roman" w:asciiTheme="majorHAnsi" w:hAnsiTheme="majorHAnsi"/>
                <w:b/>
              </w:rPr>
              <w:t>Data Sources</w:t>
            </w:r>
          </w:p>
        </w:tc>
        <w:tc>
          <w:tcPr>
            <w:tcW w:w="1784" w:type="dxa"/>
            <w:shd w:val="clear" w:color="auto" w:fill="FFE599" w:themeFill="accent4" w:themeFillTint="66"/>
            <w:vAlign w:val="center"/>
          </w:tcPr>
          <w:p>
            <w:pPr>
              <w:spacing w:after="0" w:line="240" w:lineRule="auto"/>
              <w:jc w:val="center"/>
              <w:rPr>
                <w:rFonts w:cs="Times New Roman" w:asciiTheme="majorHAnsi" w:hAnsiTheme="majorHAnsi"/>
                <w:b/>
              </w:rPr>
            </w:pPr>
            <w:r>
              <w:rPr>
                <w:rFonts w:cs="Times New Roman" w:asciiTheme="majorHAnsi" w:hAnsiTheme="majorHAnsi"/>
                <w:b/>
              </w:rPr>
              <w:t>Who</w:t>
            </w:r>
          </w:p>
        </w:tc>
        <w:tc>
          <w:tcPr>
            <w:tcW w:w="1840" w:type="dxa"/>
            <w:shd w:val="clear" w:color="auto" w:fill="FFE599" w:themeFill="accent4" w:themeFillTint="66"/>
            <w:vAlign w:val="center"/>
          </w:tcPr>
          <w:p>
            <w:pPr>
              <w:spacing w:after="0" w:line="240" w:lineRule="auto"/>
              <w:jc w:val="center"/>
              <w:rPr>
                <w:rFonts w:cs="Times New Roman" w:asciiTheme="majorHAnsi" w:hAnsiTheme="majorHAnsi"/>
                <w:b/>
              </w:rPr>
            </w:pPr>
            <w:r>
              <w:rPr>
                <w:rFonts w:cs="Times New Roman" w:asciiTheme="majorHAnsi" w:hAnsiTheme="majorHAnsi"/>
                <w:b/>
              </w:rPr>
              <w:t>Feasibility/status</w:t>
            </w:r>
          </w:p>
        </w:tc>
      </w:tr>
      <w:tr>
        <w:tc>
          <w:tcPr>
            <w:tcW w:w="1844" w:type="dxa"/>
          </w:tcPr>
          <w:p>
            <w:pPr>
              <w:spacing w:after="0" w:line="240" w:lineRule="auto"/>
              <w:rPr>
                <w:rFonts w:cs="Times New Roman" w:asciiTheme="majorHAnsi" w:hAnsiTheme="majorHAnsi"/>
                <w:sz w:val="20"/>
                <w:szCs w:val="20"/>
              </w:rPr>
            </w:pPr>
            <w:r>
              <w:rPr>
                <w:rFonts w:cs="Times New Roman" w:asciiTheme="majorHAnsi" w:hAnsiTheme="majorHAnsi"/>
                <w:b/>
                <w:sz w:val="20"/>
                <w:szCs w:val="20"/>
              </w:rPr>
              <w:t>SSA region</w:t>
            </w:r>
            <w:r>
              <w:rPr>
                <w:rFonts w:cs="Times New Roman" w:asciiTheme="majorHAnsi" w:hAnsiTheme="majorHAnsi"/>
                <w:sz w:val="20"/>
                <w:szCs w:val="20"/>
              </w:rPr>
              <w:t>: High level strategic opportunities challenges for commercial smallholder ag</w:t>
            </w:r>
          </w:p>
        </w:tc>
        <w:tc>
          <w:tcPr>
            <w:tcW w:w="1847"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Geospatial analysis</w:t>
            </w:r>
          </w:p>
          <w:p>
            <w:pPr>
              <w:pStyle w:val="7"/>
              <w:numPr>
                <w:ilvl w:val="0"/>
                <w:numId w:val="1"/>
              </w:numPr>
              <w:spacing w:after="0" w:line="240" w:lineRule="auto"/>
              <w:ind w:left="196" w:hanging="254"/>
              <w:rPr>
                <w:rFonts w:cs="Times New Roman" w:asciiTheme="majorHAnsi" w:hAnsiTheme="majorHAnsi"/>
                <w:sz w:val="20"/>
                <w:szCs w:val="20"/>
              </w:rPr>
            </w:pPr>
            <w:r>
              <w:rPr>
                <w:rFonts w:cs="Times New Roman" w:asciiTheme="majorHAnsi" w:hAnsiTheme="majorHAnsi"/>
                <w:sz w:val="20"/>
                <w:szCs w:val="20"/>
              </w:rPr>
              <w:t>Mapping 4 (2 x 2) domains across all SSA</w:t>
            </w:r>
          </w:p>
          <w:p>
            <w:pPr>
              <w:pStyle w:val="7"/>
              <w:numPr>
                <w:ilvl w:val="0"/>
                <w:numId w:val="1"/>
              </w:numPr>
              <w:spacing w:after="0" w:line="240" w:lineRule="auto"/>
              <w:ind w:left="196" w:hanging="254"/>
              <w:rPr>
                <w:rFonts w:cs="Times New Roman" w:asciiTheme="majorHAnsi" w:hAnsiTheme="majorHAnsi"/>
                <w:sz w:val="20"/>
                <w:szCs w:val="20"/>
              </w:rPr>
            </w:pPr>
            <w:r>
              <w:rPr>
                <w:rFonts w:cs="Times New Roman" w:asciiTheme="majorHAnsi" w:hAnsiTheme="majorHAnsi"/>
                <w:sz w:val="20"/>
                <w:szCs w:val="20"/>
              </w:rPr>
              <w:t>Tabulating high level/ characteristics within domains</w:t>
            </w:r>
          </w:p>
        </w:tc>
        <w:tc>
          <w:tcPr>
            <w:tcW w:w="1849"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Report characterization variables by region (EA, WA, CA, SA) x domain.</w:t>
            </w:r>
          </w:p>
          <w:p>
            <w:pPr>
              <w:spacing w:after="0" w:line="240" w:lineRule="auto"/>
              <w:rPr>
                <w:rFonts w:cs="Times New Roman" w:asciiTheme="majorHAnsi" w:hAnsiTheme="majorHAnsi"/>
                <w:sz w:val="20"/>
                <w:szCs w:val="20"/>
              </w:rPr>
            </w:pPr>
            <w:r>
              <w:rPr>
                <w:rFonts w:cs="Times New Roman" w:asciiTheme="majorHAnsi" w:hAnsiTheme="majorHAnsi"/>
                <w:sz w:val="20"/>
                <w:szCs w:val="20"/>
              </w:rPr>
              <w:t>Options; By farming system, by country (appendix table)</w:t>
            </w:r>
          </w:p>
        </w:tc>
        <w:tc>
          <w:tcPr>
            <w:tcW w:w="2109" w:type="dxa"/>
          </w:tcPr>
          <w:p>
            <w:pPr>
              <w:pStyle w:val="7"/>
              <w:numPr>
                <w:ilvl w:val="0"/>
                <w:numId w:val="2"/>
              </w:numPr>
              <w:spacing w:after="0" w:line="240" w:lineRule="auto"/>
              <w:ind w:left="106" w:hanging="164"/>
              <w:rPr>
                <w:rFonts w:cs="Times New Roman" w:asciiTheme="majorHAnsi" w:hAnsiTheme="majorHAnsi"/>
                <w:sz w:val="20"/>
                <w:szCs w:val="20"/>
              </w:rPr>
            </w:pPr>
            <w:r>
              <w:rPr>
                <w:rFonts w:cs="Times New Roman" w:asciiTheme="majorHAnsi" w:hAnsiTheme="majorHAnsi"/>
                <w:sz w:val="20"/>
                <w:szCs w:val="20"/>
              </w:rPr>
              <w:t>Total population (urban/rural)</w:t>
            </w:r>
          </w:p>
          <w:p>
            <w:pPr>
              <w:pStyle w:val="7"/>
              <w:numPr>
                <w:ilvl w:val="0"/>
                <w:numId w:val="2"/>
              </w:numPr>
              <w:spacing w:after="0" w:line="240" w:lineRule="auto"/>
              <w:ind w:left="106" w:hanging="164"/>
              <w:rPr>
                <w:rFonts w:cs="Times New Roman" w:asciiTheme="majorHAnsi" w:hAnsiTheme="majorHAnsi"/>
                <w:sz w:val="20"/>
                <w:szCs w:val="20"/>
              </w:rPr>
            </w:pPr>
            <w:r>
              <w:rPr>
                <w:rFonts w:cs="Times New Roman" w:asciiTheme="majorHAnsi" w:hAnsiTheme="majorHAnsi"/>
                <w:sz w:val="20"/>
                <w:szCs w:val="20"/>
              </w:rPr>
              <w:t>#farm households (rural/urban)</w:t>
            </w:r>
          </w:p>
          <w:p>
            <w:pPr>
              <w:pStyle w:val="7"/>
              <w:numPr>
                <w:ilvl w:val="0"/>
                <w:numId w:val="2"/>
              </w:numPr>
              <w:spacing w:after="0" w:line="240" w:lineRule="auto"/>
              <w:ind w:left="106" w:hanging="164"/>
              <w:rPr>
                <w:rFonts w:cs="Times New Roman" w:asciiTheme="majorHAnsi" w:hAnsiTheme="majorHAnsi"/>
                <w:sz w:val="20"/>
                <w:szCs w:val="20"/>
              </w:rPr>
            </w:pPr>
            <w:r>
              <w:rPr>
                <w:rFonts w:cs="Times New Roman" w:asciiTheme="majorHAnsi" w:hAnsiTheme="majorHAnsi"/>
                <w:sz w:val="20"/>
                <w:szCs w:val="20"/>
              </w:rPr>
              <w:t>Population density</w:t>
            </w:r>
          </w:p>
          <w:p>
            <w:pPr>
              <w:pStyle w:val="7"/>
              <w:numPr>
                <w:ilvl w:val="0"/>
                <w:numId w:val="2"/>
              </w:numPr>
              <w:spacing w:after="0" w:line="240" w:lineRule="auto"/>
              <w:ind w:left="106" w:hanging="164"/>
              <w:rPr>
                <w:rFonts w:cs="Times New Roman" w:asciiTheme="majorHAnsi" w:hAnsiTheme="majorHAnsi"/>
                <w:sz w:val="20"/>
                <w:szCs w:val="20"/>
              </w:rPr>
            </w:pPr>
            <w:r>
              <w:rPr>
                <w:rFonts w:cs="Times New Roman" w:asciiTheme="majorHAnsi" w:hAnsiTheme="majorHAnsi"/>
                <w:sz w:val="20"/>
                <w:szCs w:val="20"/>
              </w:rPr>
              <w:t>Production (by groups)</w:t>
            </w:r>
          </w:p>
          <w:p>
            <w:pPr>
              <w:pStyle w:val="7"/>
              <w:numPr>
                <w:ilvl w:val="0"/>
                <w:numId w:val="2"/>
              </w:numPr>
              <w:spacing w:after="0" w:line="240" w:lineRule="auto"/>
              <w:ind w:left="106" w:hanging="164"/>
              <w:rPr>
                <w:rFonts w:cs="Times New Roman" w:asciiTheme="majorHAnsi" w:hAnsiTheme="majorHAnsi"/>
                <w:sz w:val="20"/>
                <w:szCs w:val="20"/>
              </w:rPr>
            </w:pPr>
            <w:r>
              <w:rPr>
                <w:rFonts w:cs="Times New Roman" w:asciiTheme="majorHAnsi" w:hAnsiTheme="majorHAnsi"/>
                <w:sz w:val="20"/>
                <w:szCs w:val="20"/>
              </w:rPr>
              <w:t>Livestock (head/production)</w:t>
            </w:r>
          </w:p>
          <w:p>
            <w:pPr>
              <w:pStyle w:val="7"/>
              <w:numPr>
                <w:ilvl w:val="0"/>
                <w:numId w:val="2"/>
              </w:numPr>
              <w:spacing w:after="0" w:line="240" w:lineRule="auto"/>
              <w:ind w:left="106" w:hanging="164"/>
              <w:rPr>
                <w:rFonts w:cs="Times New Roman" w:asciiTheme="majorHAnsi" w:hAnsiTheme="majorHAnsi"/>
                <w:sz w:val="20"/>
                <w:szCs w:val="20"/>
              </w:rPr>
            </w:pPr>
            <w:r>
              <w:rPr>
                <w:rFonts w:cs="Times New Roman" w:asciiTheme="majorHAnsi" w:hAnsiTheme="majorHAnsi"/>
                <w:sz w:val="20"/>
                <w:szCs w:val="20"/>
              </w:rPr>
              <w:t>Market access measures</w:t>
            </w:r>
          </w:p>
          <w:p>
            <w:pPr>
              <w:pStyle w:val="7"/>
              <w:numPr>
                <w:ilvl w:val="0"/>
                <w:numId w:val="2"/>
              </w:numPr>
              <w:spacing w:after="0" w:line="240" w:lineRule="auto"/>
              <w:ind w:left="106" w:hanging="164"/>
              <w:rPr>
                <w:rFonts w:cs="Times New Roman" w:asciiTheme="majorHAnsi" w:hAnsiTheme="majorHAnsi"/>
                <w:sz w:val="20"/>
                <w:szCs w:val="20"/>
              </w:rPr>
            </w:pPr>
            <w:r>
              <w:rPr>
                <w:rFonts w:cs="Times New Roman" w:asciiTheme="majorHAnsi" w:hAnsiTheme="majorHAnsi"/>
                <w:sz w:val="20"/>
                <w:szCs w:val="20"/>
              </w:rPr>
              <w:t>Land productivity (Food &amp; Cash crops)</w:t>
            </w:r>
          </w:p>
        </w:tc>
        <w:tc>
          <w:tcPr>
            <w:tcW w:w="1835" w:type="dxa"/>
          </w:tcPr>
          <w:p>
            <w:pPr>
              <w:pStyle w:val="7"/>
              <w:numPr>
                <w:ilvl w:val="0"/>
                <w:numId w:val="2"/>
              </w:numPr>
              <w:spacing w:after="0" w:line="240" w:lineRule="auto"/>
              <w:ind w:left="181" w:hanging="179"/>
              <w:rPr>
                <w:rFonts w:cs="Times New Roman" w:asciiTheme="majorHAnsi" w:hAnsiTheme="majorHAnsi"/>
                <w:sz w:val="20"/>
                <w:szCs w:val="20"/>
              </w:rPr>
            </w:pPr>
            <w:r>
              <w:rPr>
                <w:rFonts w:cs="Times New Roman" w:asciiTheme="majorHAnsi" w:hAnsiTheme="majorHAnsi"/>
                <w:sz w:val="20"/>
                <w:szCs w:val="20"/>
              </w:rPr>
              <w:t>HarvestChoice SSA spatial database (CELL5M)</w:t>
            </w:r>
          </w:p>
          <w:p>
            <w:pPr>
              <w:pStyle w:val="7"/>
              <w:numPr>
                <w:ilvl w:val="0"/>
                <w:numId w:val="2"/>
              </w:numPr>
              <w:spacing w:after="0" w:line="240" w:lineRule="auto"/>
              <w:ind w:left="181" w:hanging="179"/>
              <w:rPr>
                <w:rFonts w:cs="Times New Roman" w:asciiTheme="majorHAnsi" w:hAnsiTheme="majorHAnsi"/>
                <w:sz w:val="20"/>
                <w:szCs w:val="20"/>
              </w:rPr>
            </w:pPr>
            <w:r>
              <w:rPr>
                <w:rFonts w:cs="Times New Roman" w:asciiTheme="majorHAnsi" w:hAnsiTheme="majorHAnsi"/>
                <w:sz w:val="20"/>
                <w:szCs w:val="20"/>
              </w:rPr>
              <w:t>SPAM crop distribution maps.</w:t>
            </w:r>
          </w:p>
          <w:p>
            <w:pPr>
              <w:pStyle w:val="7"/>
              <w:numPr>
                <w:ilvl w:val="0"/>
                <w:numId w:val="2"/>
              </w:numPr>
              <w:spacing w:after="0" w:line="240" w:lineRule="auto"/>
              <w:ind w:left="181" w:hanging="179"/>
              <w:rPr>
                <w:rFonts w:cs="Times New Roman" w:asciiTheme="majorHAnsi" w:hAnsiTheme="majorHAnsi"/>
                <w:sz w:val="20"/>
                <w:szCs w:val="20"/>
              </w:rPr>
            </w:pPr>
            <w:r>
              <w:rPr>
                <w:rFonts w:cs="Times New Roman" w:asciiTheme="majorHAnsi" w:hAnsiTheme="majorHAnsi"/>
                <w:sz w:val="20"/>
                <w:szCs w:val="20"/>
              </w:rPr>
              <w:t>Recent FAOSTAT national time series totals/averages (for re-scaling spatial)</w:t>
            </w:r>
          </w:p>
          <w:p>
            <w:pPr>
              <w:spacing w:after="0" w:line="240" w:lineRule="auto"/>
              <w:rPr>
                <w:rFonts w:cs="Times New Roman" w:asciiTheme="majorHAnsi" w:hAnsiTheme="majorHAnsi"/>
                <w:sz w:val="20"/>
                <w:szCs w:val="20"/>
              </w:rPr>
            </w:pPr>
          </w:p>
        </w:tc>
        <w:tc>
          <w:tcPr>
            <w:tcW w:w="1784"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Spatial Dev +</w:t>
            </w:r>
          </w:p>
          <w:p>
            <w:pPr>
              <w:spacing w:after="0" w:line="240" w:lineRule="auto"/>
              <w:rPr>
                <w:rFonts w:cs="Times New Roman" w:asciiTheme="majorHAnsi" w:hAnsiTheme="majorHAnsi"/>
                <w:sz w:val="20"/>
                <w:szCs w:val="20"/>
              </w:rPr>
            </w:pPr>
            <w:r>
              <w:rPr>
                <w:rFonts w:cs="Times New Roman" w:asciiTheme="majorHAnsi" w:hAnsiTheme="majorHAnsi"/>
                <w:sz w:val="20"/>
                <w:szCs w:val="20"/>
              </w:rPr>
              <w:t>Data Analyst</w:t>
            </w:r>
          </w:p>
          <w:p>
            <w:pPr>
              <w:spacing w:after="0" w:line="240" w:lineRule="auto"/>
              <w:rPr>
                <w:rFonts w:cs="Times New Roman" w:asciiTheme="majorHAnsi" w:hAnsiTheme="majorHAnsi"/>
                <w:sz w:val="20"/>
                <w:szCs w:val="20"/>
              </w:rPr>
            </w:pPr>
            <w:r>
              <w:rPr>
                <w:rFonts w:cs="Times New Roman" w:asciiTheme="majorHAnsi" w:hAnsiTheme="majorHAnsi"/>
                <w:sz w:val="20"/>
                <w:szCs w:val="20"/>
              </w:rPr>
              <w:t>(support from HC team as/if needed)</w:t>
            </w:r>
          </w:p>
        </w:tc>
        <w:tc>
          <w:tcPr>
            <w:tcW w:w="1840"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Examples of prior similar analysis from Omamo et al 2005, Pender et al. various,</w:t>
            </w:r>
          </w:p>
          <w:p>
            <w:pPr>
              <w:spacing w:after="0" w:line="240" w:lineRule="auto"/>
              <w:rPr>
                <w:rFonts w:cs="Times New Roman" w:asciiTheme="majorHAnsi" w:hAnsiTheme="majorHAnsi"/>
                <w:sz w:val="20"/>
                <w:szCs w:val="20"/>
              </w:rPr>
            </w:pPr>
            <w:r>
              <w:rPr>
                <w:rFonts w:cs="Times New Roman" w:asciiTheme="majorHAnsi" w:hAnsiTheme="majorHAnsi"/>
                <w:sz w:val="20"/>
                <w:szCs w:val="20"/>
              </w:rPr>
              <w:t>Benin et al 2016</w:t>
            </w:r>
          </w:p>
          <w:p>
            <w:pPr>
              <w:spacing w:after="0" w:line="240" w:lineRule="auto"/>
              <w:rPr>
                <w:rFonts w:cs="Times New Roman" w:asciiTheme="majorHAnsi" w:hAnsiTheme="majorHAnsi"/>
                <w:sz w:val="20"/>
                <w:szCs w:val="20"/>
              </w:rPr>
            </w:pPr>
          </w:p>
        </w:tc>
      </w:tr>
      <w:tr>
        <w:tc>
          <w:tcPr>
            <w:tcW w:w="1844" w:type="dxa"/>
          </w:tcPr>
          <w:p>
            <w:pPr>
              <w:spacing w:after="0" w:line="240" w:lineRule="auto"/>
              <w:rPr>
                <w:rFonts w:cs="Times New Roman" w:asciiTheme="majorHAnsi" w:hAnsiTheme="majorHAnsi"/>
                <w:sz w:val="20"/>
                <w:szCs w:val="20"/>
              </w:rPr>
            </w:pPr>
            <w:r>
              <w:rPr>
                <w:rFonts w:cs="Times New Roman" w:asciiTheme="majorHAnsi" w:hAnsiTheme="majorHAnsi"/>
                <w:b/>
                <w:sz w:val="20"/>
                <w:szCs w:val="20"/>
              </w:rPr>
              <w:t>4-6 Country Smallholder Comparison:</w:t>
            </w:r>
            <w:r>
              <w:rPr>
                <w:rFonts w:cs="Times New Roman" w:asciiTheme="majorHAnsi" w:hAnsiTheme="majorHAnsi"/>
                <w:sz w:val="20"/>
                <w:szCs w:val="20"/>
              </w:rPr>
              <w:t xml:space="preserve"> Typologies and characteristics that point to specific commercialization challenges and opportunities </w:t>
            </w:r>
          </w:p>
        </w:tc>
        <w:tc>
          <w:tcPr>
            <w:tcW w:w="1847"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Tabulation of  LSMS-ISA (and maybe AGRA baseline hh data) with by smallholder typology characterized by “commercialization potential”</w:t>
            </w:r>
          </w:p>
        </w:tc>
        <w:tc>
          <w:tcPr>
            <w:tcW w:w="1849"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Country * smallholder typology * 2-3 sub-regions or say urban/rural categories (typically significant # SHFs in “urban” areas). Smallholder typology by one or combo of: holding size, input use, share of sales, e.g. subsistence, transitional, commerical</w:t>
            </w:r>
          </w:p>
        </w:tc>
        <w:tc>
          <w:tcPr>
            <w:tcW w:w="2109" w:type="dxa"/>
          </w:tcPr>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Holding size</w:t>
            </w:r>
          </w:p>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Income/consumption</w:t>
            </w:r>
          </w:p>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Access to inputs/extension</w:t>
            </w:r>
          </w:p>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Use of inputs</w:t>
            </w:r>
          </w:p>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Tenure status</w:t>
            </w:r>
          </w:p>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Education</w:t>
            </w:r>
          </w:p>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Cell-phone ownership</w:t>
            </w:r>
          </w:p>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Cooperative membership</w:t>
            </w:r>
          </w:p>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Access to credit</w:t>
            </w:r>
          </w:p>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Off-farm income</w:t>
            </w:r>
          </w:p>
          <w:p>
            <w:pPr>
              <w:pStyle w:val="7"/>
              <w:numPr>
                <w:ilvl w:val="0"/>
                <w:numId w:val="3"/>
              </w:numPr>
              <w:spacing w:after="0" w:line="240" w:lineRule="auto"/>
              <w:ind w:left="166" w:hanging="194"/>
              <w:rPr>
                <w:rFonts w:cs="Times New Roman" w:asciiTheme="majorHAnsi" w:hAnsiTheme="majorHAnsi"/>
                <w:sz w:val="20"/>
                <w:szCs w:val="20"/>
              </w:rPr>
            </w:pPr>
            <w:r>
              <w:rPr>
                <w:rFonts w:cs="Times New Roman" w:asciiTheme="majorHAnsi" w:hAnsiTheme="majorHAnsi"/>
                <w:sz w:val="20"/>
                <w:szCs w:val="20"/>
              </w:rPr>
              <w:t>……</w:t>
            </w:r>
          </w:p>
          <w:p>
            <w:pPr>
              <w:spacing w:after="0" w:line="240" w:lineRule="auto"/>
              <w:rPr>
                <w:rFonts w:cs="Times New Roman" w:asciiTheme="majorHAnsi" w:hAnsiTheme="majorHAnsi"/>
                <w:sz w:val="20"/>
                <w:szCs w:val="20"/>
              </w:rPr>
            </w:pPr>
          </w:p>
        </w:tc>
        <w:tc>
          <w:tcPr>
            <w:tcW w:w="1835"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LSMS-ISA most recent waves (typically 2013-2015)</w:t>
            </w:r>
          </w:p>
          <w:p>
            <w:pPr>
              <w:spacing w:after="0" w:line="240" w:lineRule="auto"/>
              <w:rPr>
                <w:rFonts w:cs="Times New Roman" w:asciiTheme="majorHAnsi" w:hAnsiTheme="majorHAnsi"/>
                <w:sz w:val="20"/>
                <w:szCs w:val="20"/>
              </w:rPr>
            </w:pPr>
            <w:r>
              <w:rPr>
                <w:rFonts w:cs="Times New Roman" w:asciiTheme="majorHAnsi" w:hAnsiTheme="majorHAnsi"/>
                <w:sz w:val="20"/>
                <w:szCs w:val="20"/>
              </w:rPr>
              <w:t>Ghana GLSS</w:t>
            </w:r>
          </w:p>
          <w:p>
            <w:pPr>
              <w:spacing w:after="0" w:line="240" w:lineRule="auto"/>
              <w:rPr>
                <w:rFonts w:cs="Times New Roman" w:asciiTheme="majorHAnsi" w:hAnsiTheme="majorHAnsi"/>
                <w:sz w:val="20"/>
                <w:szCs w:val="20"/>
              </w:rPr>
            </w:pPr>
            <w:r>
              <w:rPr>
                <w:rFonts w:cs="Times New Roman" w:asciiTheme="majorHAnsi" w:hAnsiTheme="majorHAnsi"/>
                <w:sz w:val="20"/>
                <w:szCs w:val="20"/>
              </w:rPr>
              <w:t>AGRA Baselines</w:t>
            </w:r>
          </w:p>
        </w:tc>
        <w:tc>
          <w:tcPr>
            <w:tcW w:w="1784"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EPAR</w:t>
            </w:r>
          </w:p>
          <w:p>
            <w:pPr>
              <w:spacing w:after="0" w:line="240" w:lineRule="auto"/>
              <w:rPr>
                <w:rFonts w:cs="Times New Roman" w:asciiTheme="majorHAnsi" w:hAnsiTheme="majorHAnsi"/>
                <w:sz w:val="20"/>
                <w:szCs w:val="20"/>
              </w:rPr>
            </w:pPr>
            <w:r>
              <w:rPr>
                <w:rFonts w:cs="Times New Roman" w:asciiTheme="majorHAnsi" w:hAnsiTheme="majorHAnsi"/>
                <w:sz w:val="20"/>
                <w:szCs w:val="20"/>
              </w:rPr>
              <w:t>Bhramar</w:t>
            </w:r>
          </w:p>
        </w:tc>
        <w:tc>
          <w:tcPr>
            <w:tcW w:w="1840"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Need to agree most useful smallholder typology that reflects current and potential business opportunities challenges. Have TZN, NIG, ETH in hand need to get UGA and GHA. Maybe can also easily get Malawi (Nancy M)</w:t>
            </w:r>
          </w:p>
        </w:tc>
      </w:tr>
    </w:tbl>
    <w:p>
      <w:pPr/>
      <w:r>
        <w:br w:type="page"/>
      </w:r>
    </w:p>
    <w:tbl>
      <w:tblPr>
        <w:tblStyle w:val="6"/>
        <w:tblW w:w="13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847"/>
        <w:gridCol w:w="1849"/>
        <w:gridCol w:w="2109"/>
        <w:gridCol w:w="1835"/>
        <w:gridCol w:w="1784"/>
        <w:gridCol w:w="1840"/>
      </w:tblGrid>
      <w:tr>
        <w:tc>
          <w:tcPr>
            <w:tcW w:w="1844" w:type="dxa"/>
          </w:tcPr>
          <w:p>
            <w:pPr>
              <w:spacing w:after="0" w:line="240" w:lineRule="auto"/>
              <w:rPr>
                <w:rFonts w:cs="Times New Roman" w:asciiTheme="majorHAnsi" w:hAnsiTheme="majorHAnsi"/>
                <w:sz w:val="20"/>
                <w:szCs w:val="20"/>
              </w:rPr>
            </w:pPr>
            <w:r>
              <w:rPr>
                <w:rFonts w:cs="Times New Roman" w:asciiTheme="majorHAnsi" w:hAnsiTheme="majorHAnsi"/>
                <w:b/>
                <w:sz w:val="20"/>
                <w:szCs w:val="20"/>
              </w:rPr>
              <w:t>Time dynamics:</w:t>
            </w:r>
            <w:r>
              <w:rPr>
                <w:rFonts w:cs="Times New Roman" w:asciiTheme="majorHAnsi" w:hAnsiTheme="majorHAnsi"/>
                <w:sz w:val="20"/>
                <w:szCs w:val="20"/>
              </w:rPr>
              <w:t xml:space="preserve"> Single country review across time at small holder dynamics wrt the selected “commercialization potential” variables used in country microdata comparison</w:t>
            </w:r>
          </w:p>
        </w:tc>
        <w:tc>
          <w:tcPr>
            <w:tcW w:w="1847"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Typology/variables as above but the focus will be on dynamics. Are we seeing any evidence of indicators of “transformation” at a hh scale. Are ag enterprises and income sources becoming more or less diversified? More use of inputs, more sales?</w:t>
            </w:r>
          </w:p>
        </w:tc>
        <w:tc>
          <w:tcPr>
            <w:tcW w:w="1849"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As above for Tanzania but across 3 waves of survey.</w:t>
            </w:r>
          </w:p>
        </w:tc>
        <w:tc>
          <w:tcPr>
            <w:tcW w:w="2109" w:type="dxa"/>
          </w:tcPr>
          <w:p>
            <w:pPr>
              <w:spacing w:after="0" w:line="240" w:lineRule="auto"/>
              <w:rPr>
                <w:rFonts w:cs="Times New Roman" w:asciiTheme="majorHAnsi" w:hAnsiTheme="majorHAnsi"/>
                <w:sz w:val="20"/>
                <w:szCs w:val="20"/>
              </w:rPr>
            </w:pPr>
          </w:p>
        </w:tc>
        <w:tc>
          <w:tcPr>
            <w:tcW w:w="1835" w:type="dxa"/>
          </w:tcPr>
          <w:p>
            <w:pPr>
              <w:spacing w:after="0" w:line="240" w:lineRule="auto"/>
              <w:rPr>
                <w:rFonts w:cs="Times New Roman" w:asciiTheme="majorHAnsi" w:hAnsiTheme="majorHAnsi"/>
                <w:sz w:val="20"/>
                <w:szCs w:val="20"/>
              </w:rPr>
            </w:pPr>
          </w:p>
        </w:tc>
        <w:tc>
          <w:tcPr>
            <w:tcW w:w="1784" w:type="dxa"/>
          </w:tcPr>
          <w:p>
            <w:pPr>
              <w:spacing w:after="0" w:line="240" w:lineRule="auto"/>
              <w:rPr>
                <w:rFonts w:cs="Times New Roman" w:asciiTheme="majorHAnsi" w:hAnsiTheme="majorHAnsi"/>
                <w:sz w:val="20"/>
                <w:szCs w:val="20"/>
              </w:rPr>
            </w:pPr>
            <w:r>
              <w:rPr>
                <w:rFonts w:cs="Times New Roman" w:asciiTheme="majorHAnsi" w:hAnsiTheme="majorHAnsi"/>
                <w:sz w:val="20"/>
                <w:szCs w:val="20"/>
              </w:rPr>
              <w:t>EPAR already doing analysis of these variables for our T4 analysis (Tractably tracking transformation trajectories)</w:t>
            </w:r>
          </w:p>
        </w:tc>
        <w:tc>
          <w:tcPr>
            <w:tcW w:w="1840" w:type="dxa"/>
          </w:tcPr>
          <w:p>
            <w:pPr>
              <w:spacing w:after="0" w:line="240" w:lineRule="auto"/>
              <w:rPr>
                <w:rFonts w:cs="Times New Roman" w:asciiTheme="majorHAnsi" w:hAnsiTheme="majorHAnsi"/>
                <w:sz w:val="20"/>
                <w:szCs w:val="20"/>
              </w:rPr>
            </w:pPr>
          </w:p>
        </w:tc>
      </w:tr>
    </w:tbl>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color w:val="000000"/>
        </w:rPr>
        <w:drawing>
          <wp:inline distT="0" distB="0" distL="0" distR="0">
            <wp:extent cx="5943600" cy="3343275"/>
            <wp:effectExtent l="19050" t="19050" r="19050" b="28575"/>
            <wp:docPr id="1" name="Picture 1" descr="cid:image001.jpg@01D2967C.8C85B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jpg@01D2967C.8C85B65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a:xfrm>
                      <a:off x="0" y="0"/>
                      <a:ext cx="5943600" cy="3343275"/>
                    </a:xfrm>
                    <a:prstGeom prst="rect">
                      <a:avLst/>
                    </a:prstGeom>
                    <a:noFill/>
                    <a:ln>
                      <a:solidFill>
                        <a:schemeClr val="tx1"/>
                      </a:solidFill>
                    </a:ln>
                  </pic:spPr>
                </pic:pic>
              </a:graphicData>
            </a:graphic>
          </wp:inline>
        </w:drawing>
      </w:r>
    </w:p>
    <w:sectPr>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dobe Caslon Pr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02FF" w:usb1="4000ACFF" w:usb2="00000001" w:usb3="00000000" w:csb0="2000019F" w:csb1="00000000"/>
  </w:font>
  <w:font w:name="Droid Sans Fallback">
    <w:panose1 w:val="020B0502000000000001"/>
    <w:charset w:val="86"/>
    <w:family w:val="auto"/>
    <w:pitch w:val="default"/>
    <w:sig w:usb0="910002FF" w:usb1="2BDFFCFB" w:usb2="00000036" w:usb3="00000000" w:csb0="203F01FF" w:csb1="D7FF0000"/>
  </w:font>
  <w:font w:name="Adobe Caslon Pro">
    <w:panose1 w:val="0205050205050A020403"/>
    <w:charset w:val="00"/>
    <w:family w:val="auto"/>
    <w:pitch w:val="default"/>
    <w:sig w:usb0="00000007" w:usb1="00000001" w:usb2="00000000" w:usb3="00000000" w:csb0="20000093" w:csb1="00000000"/>
  </w:font>
  <w:font w:name="+Body Asian">
    <w:altName w:val="Adobe Caslon Pro"/>
    <w:panose1 w:val="00000000000000000000"/>
    <w:charset w:val="00"/>
    <w:family w:val="auto"/>
    <w:pitch w:val="default"/>
    <w:sig w:usb0="00000000" w:usb1="00000000" w:usb2="00000000" w:usb3="00000000" w:csb0="00000000" w:csb1="00000000"/>
  </w:font>
  <w:font w:name="+Heading">
    <w:altName w:val="Adobe Caslon Pro"/>
    <w:panose1 w:val="00000000000000000000"/>
    <w:charset w:val="00"/>
    <w:family w:val="auto"/>
    <w:pitch w:val="default"/>
    <w:sig w:usb0="00000000" w:usb1="00000000" w:usb2="00000000" w:usb3="00000000" w:csb0="00000000" w:csb1="00000000"/>
  </w:font>
  <w:font w:name="+Body">
    <w:altName w:val="Adobe Caslon Pro"/>
    <w:panose1 w:val="00000000000000000000"/>
    <w:charset w:val="00"/>
    <w:family w:val="auto"/>
    <w:pitch w:val="default"/>
    <w:sig w:usb0="00000000" w:usb1="00000000" w:usb2="00000000" w:usb3="00000000" w:csb0="00000000" w:csb1="00000000"/>
  </w:font>
  <w:font w:name="Franklin Gothic Book">
    <w:altName w:val="Adobe Caslon Pro"/>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华文楷体">
    <w:altName w:val="Droid Sans Fallback"/>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方正舒体">
    <w:altName w:val="Adobe Caslon Pro"/>
    <w:panose1 w:val="00000000000000000000"/>
    <w:charset w:val="00"/>
    <w:family w:val="auto"/>
    <w:pitch w:val="default"/>
    <w:sig w:usb0="00000000" w:usb1="00000000" w:usb2="00000000" w:usb3="00000000" w:csb0="00000000" w:csb1="00000000"/>
  </w:font>
  <w:font w:name="Lucida Sans">
    <w:altName w:val="Adobe Caslon Pro"/>
    <w:panose1 w:val="00000000000000000000"/>
    <w:charset w:val="00"/>
    <w:family w:val="auto"/>
    <w:pitch w:val="default"/>
    <w:sig w:usb0="00000000" w:usb1="00000000" w:usb2="00000000" w:usb3="00000000" w:csb0="00000000" w:csb1="00000000"/>
  </w:font>
  <w:font w:name="Book Antiqua">
    <w:altName w:val="Adobe Caslon Pro"/>
    <w:panose1 w:val="00000000000000000000"/>
    <w:charset w:val="00"/>
    <w:family w:val="auto"/>
    <w:pitch w:val="default"/>
    <w:sig w:usb0="00000000" w:usb1="00000000" w:usb2="00000000" w:usb3="00000000" w:csb0="00000000" w:csb1="00000000"/>
  </w:font>
  <w:font w:name="华文行楷">
    <w:altName w:val="Droid Sans Fallback"/>
    <w:panose1 w:val="00000000000000000000"/>
    <w:charset w:val="00"/>
    <w:family w:val="auto"/>
    <w:pitch w:val="default"/>
    <w:sig w:usb0="00000000" w:usb1="00000000" w:usb2="00000000" w:usb3="00000000" w:csb0="00000000" w:csb1="00000000"/>
  </w:font>
  <w:font w:name="Lucida Sans Unicode">
    <w:altName w:val="Adobe Caslon Pro"/>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Rockwell">
    <w:altName w:val="Adobe Caslon Pro"/>
    <w:panose1 w:val="00000000000000000000"/>
    <w:charset w:val="00"/>
    <w:family w:val="auto"/>
    <w:pitch w:val="default"/>
    <w:sig w:usb0="00000000" w:usb1="00000000" w:usb2="00000000" w:usb3="00000000" w:csb0="00000000" w:csb1="00000000"/>
  </w:font>
  <w:font w:name="方正姚体">
    <w:altName w:val="Droid Sans Fallback"/>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Constantia">
    <w:altName w:val="Adobe Caslon Pro"/>
    <w:panose1 w:val="00000000000000000000"/>
    <w:charset w:val="00"/>
    <w:family w:val="auto"/>
    <w:pitch w:val="default"/>
    <w:sig w:usb0="00000000" w:usb1="00000000" w:usb2="00000000" w:usb3="00000000" w:csb0="00000000" w:csb1="00000000"/>
  </w:font>
  <w:font w:name="华文新魏">
    <w:altName w:val="Adobe Caslon Pro"/>
    <w:panose1 w:val="00000000000000000000"/>
    <w:charset w:val="00"/>
    <w:family w:val="auto"/>
    <w:pitch w:val="default"/>
    <w:sig w:usb0="00000000" w:usb1="00000000" w:usb2="00000000" w:usb3="00000000" w:csb0="00000000" w:csb1="00000000"/>
  </w:font>
  <w:font w:name="Gill Sans MT">
    <w:altName w:val="Adobe Caslon Pro"/>
    <w:panose1 w:val="00000000000000000000"/>
    <w:charset w:val="00"/>
    <w:family w:val="auto"/>
    <w:pitch w:val="default"/>
    <w:sig w:usb0="00000000" w:usb1="00000000" w:usb2="00000000" w:usb3="00000000" w:csb0="00000000" w:csb1="00000000"/>
  </w:font>
  <w:font w:name="华文中宋">
    <w:altName w:val="Droid Sans Fallback"/>
    <w:panose1 w:val="00000000000000000000"/>
    <w:charset w:val="00"/>
    <w:family w:val="auto"/>
    <w:pitch w:val="default"/>
    <w:sig w:usb0="00000000" w:usb1="00000000" w:usb2="00000000" w:usb3="00000000" w:csb0="00000000" w:csb1="00000000"/>
  </w:font>
  <w:font w:name="Tw Cen MT">
    <w:altName w:val="Adobe Caslon Pro"/>
    <w:panose1 w:val="00000000000000000000"/>
    <w:charset w:val="00"/>
    <w:family w:val="auto"/>
    <w:pitch w:val="default"/>
    <w:sig w:usb0="00000000" w:usb1="00000000" w:usb2="00000000" w:usb3="00000000" w:csb0="00000000" w:csb1="00000000"/>
  </w:font>
  <w:font w:name="华文仿宋">
    <w:altName w:val="Droid Sans Fallback"/>
    <w:panose1 w:val="00000000000000000000"/>
    <w:charset w:val="00"/>
    <w:family w:val="auto"/>
    <w:pitch w:val="default"/>
    <w:sig w:usb0="00000000" w:usb1="00000000" w:usb2="00000000" w:usb3="00000000" w:csb0="00000000" w:csb1="00000000"/>
  </w:font>
  <w:font w:name="Franklin Gothic Medium">
    <w:altName w:val="Adobe Caslon Pro"/>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Eras ITC">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Serif">
    <w:altName w:val="Overpass"/>
    <w:panose1 w:val="00000000000000000000"/>
    <w:charset w:val="00"/>
    <w:family w:val="auto"/>
    <w:pitch w:val="default"/>
    <w:sig w:usb0="00000000" w:usb1="00000000" w:usb2="00000000" w:usb3="00000000" w:csb0="00000000"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Calibri">
    <w:panose1 w:val="020F0302020204030204"/>
    <w:charset w:val="00"/>
    <w:family w:val="decorative"/>
    <w:pitch w:val="default"/>
    <w:sig w:usb0="A00002EF" w:usb1="4000207B" w:usb2="00000000" w:usb3="00000000" w:csb0="2000019F" w:csb1="00000000"/>
  </w:font>
  <w:font w:name="Andale Mono">
    <w:panose1 w:val="020B0509000000000004"/>
    <w:charset w:val="00"/>
    <w:family w:val="auto"/>
    <w:pitch w:val="default"/>
    <w:sig w:usb0="00000287" w:usb1="00000000" w:usb2="00000000" w:usb3="00000000" w:csb0="6000009F" w:csb1="DFD70000"/>
  </w:font>
  <w:font w:name="DejaVa Sans">
    <w:altName w:val="Overpass"/>
    <w:panose1 w:val="00000000000000000000"/>
    <w:charset w:val="00"/>
    <w:family w:val="auto"/>
    <w:pitch w:val="default"/>
    <w:sig w:usb0="00000000" w:usb1="00000000" w:usb2="00000000" w:usb3="00000000" w:csb0="00000000" w:csb1="00000000"/>
  </w:font>
  <w:font w:name="Overpass">
    <w:panose1 w:val="000005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2"/>
          <w:jc w:val="center"/>
        </w:pPr>
        <w:r>
          <w:fldChar w:fldCharType="begin"/>
        </w:r>
        <w:r>
          <w:instrText xml:space="preserve"> PAGE   \* MERGEFORMAT </w:instrText>
        </w:r>
        <w:r>
          <w:fldChar w:fldCharType="separate"/>
        </w:r>
        <w:r>
          <w:t>1</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2078172">
    <w:nsid w:val="3A8952DC"/>
    <w:multiLevelType w:val="multilevel"/>
    <w:tmpl w:val="3A8952D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72693142">
    <w:nsid w:val="34043D96"/>
    <w:multiLevelType w:val="multilevel"/>
    <w:tmpl w:val="34043D9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59992888">
    <w:nsid w:val="0F7F2D38"/>
    <w:multiLevelType w:val="multilevel"/>
    <w:tmpl w:val="0F7F2D3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982078172"/>
  </w:num>
  <w:num w:numId="2">
    <w:abstractNumId w:val="872693142"/>
  </w:num>
  <w:num w:numId="3">
    <w:abstractNumId w:val="2599928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80"/>
    <w:rsid w:val="000A3717"/>
    <w:rsid w:val="00141B24"/>
    <w:rsid w:val="00171D50"/>
    <w:rsid w:val="001B3B80"/>
    <w:rsid w:val="002059AD"/>
    <w:rsid w:val="00212680"/>
    <w:rsid w:val="0021408E"/>
    <w:rsid w:val="00291B23"/>
    <w:rsid w:val="0031068E"/>
    <w:rsid w:val="00395979"/>
    <w:rsid w:val="00434866"/>
    <w:rsid w:val="0049043F"/>
    <w:rsid w:val="00490EC1"/>
    <w:rsid w:val="004B0156"/>
    <w:rsid w:val="004D1D8E"/>
    <w:rsid w:val="004F0F3F"/>
    <w:rsid w:val="005250EE"/>
    <w:rsid w:val="005A4835"/>
    <w:rsid w:val="005F593B"/>
    <w:rsid w:val="00612224"/>
    <w:rsid w:val="00670A39"/>
    <w:rsid w:val="0069441E"/>
    <w:rsid w:val="00712423"/>
    <w:rsid w:val="007D3700"/>
    <w:rsid w:val="009A2B02"/>
    <w:rsid w:val="009C2C92"/>
    <w:rsid w:val="00A967BA"/>
    <w:rsid w:val="00AE7CC7"/>
    <w:rsid w:val="00BA0E67"/>
    <w:rsid w:val="00BC1093"/>
    <w:rsid w:val="00C356C1"/>
    <w:rsid w:val="00CC47F9"/>
    <w:rsid w:val="00CF736F"/>
    <w:rsid w:val="00E06840"/>
    <w:rsid w:val="00E06A08"/>
    <w:rsid w:val="00E14E97"/>
    <w:rsid w:val="00EC138F"/>
    <w:rsid w:val="00F0076C"/>
    <w:rsid w:val="00F458E6"/>
    <w:rsid w:val="7FFE8FE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 w:type="character" w:customStyle="1" w:styleId="8">
    <w:name w:val="Header Char"/>
    <w:basedOn w:val="4"/>
    <w:link w:val="3"/>
    <w:uiPriority w:val="99"/>
  </w:style>
  <w:style w:type="character" w:customStyle="1" w:styleId="9">
    <w:name w:val="Footer Char"/>
    <w:basedOn w:val="4"/>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cid:image001.jpg@01D2967C.8C85B650" TargetMode="Externa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705</Words>
  <Characters>4022</Characters>
  <Lines>33</Lines>
  <Paragraphs>9</Paragraphs>
  <TotalTime>0</TotalTime>
  <ScaleCrop>false</ScaleCrop>
  <LinksUpToDate>false</LinksUpToDate>
  <CharactersWithSpaces>4718</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2017-03-19T09:50:00Z</dcterms:created>
  <dc:creator>Bhramar Dey</dc:creator>
  <cp:lastModifiedBy>Bacou, Melanie</cp:lastModifiedBy>
  <dcterms:modified xsi:type="dcterms:W3CDTF">2017-03-26T00:04:30Z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