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sz w:val="20"/>
          <w:szCs w:val="20"/>
        </w:rPr>
      </w:pPr>
      <w:r>
        <w:rPr>
          <w:sz w:val="20"/>
          <w:szCs w:val="20"/>
        </w:rPr>
        <w:t>Ghana2012/13 (GLSS6) - see notes below</w:t>
      </w:r>
      <w:bookmarkStart w:id="0" w:name="_GoBack"/>
      <w:bookmarkEnd w:id="0"/>
    </w:p>
    <w:tbl>
      <w:tblPr>
        <w:tblW w:w="976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84"/>
        <w:gridCol w:w="1076"/>
        <w:gridCol w:w="1407"/>
        <w:gridCol w:w="1469"/>
        <w:gridCol w:w="1245"/>
        <w:gridCol w:w="1582"/>
        <w:gridCol w:w="1303"/>
      </w:tblGrid>
      <w:tr>
        <w:trPr>
          <w:trHeight w:val="0" w:hRule="atLeast"/>
        </w:trPr>
        <w:tc>
          <w:tcPr>
            <w:tcW w:w="1684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% Households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Subsistence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Pre-Commercial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Commercial specialized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Transition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Commercial Diversified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bottom"/>
          </w:tcPr>
          <w:p>
            <w:pPr>
              <w:ind w:left="0" w:leftChars="0" w:right="0" w:rightChars="0" w:firstLine="0" w:firstLineChars="0"/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Total</w:t>
            </w:r>
          </w:p>
        </w:tc>
      </w:tr>
      <w:tr>
        <w:trPr>
          <w:trHeight w:val="0" w:hRule="atLeast"/>
        </w:trPr>
        <w:tc>
          <w:tcPr>
            <w:tcW w:w="1684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22.6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38.9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rPr>
          <w:trHeight w:val="0" w:hRule="atLeast"/>
        </w:trPr>
        <w:tc>
          <w:tcPr>
            <w:tcW w:w="9766" w:type="dxa"/>
            <w:gridSpan w:val="7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Distribution of each HH type by development domain (columns add to 100%) - </w:t>
            </w:r>
            <w:r>
              <w:rPr>
                <w:rFonts w:hint="eastAsia"/>
                <w:b/>
                <w:bCs/>
                <w:lang w:val="en-US" w:eastAsia="zh-CN"/>
              </w:rPr>
              <w:t>GAEZ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LL (Ag., Mkt)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3.5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2.7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2.9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4.3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79.9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77.5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79.5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63.1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69.8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71.2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15.5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17.9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17.3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25.7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24.6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21.6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Total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rPr>
          <w:trHeight w:val="0" w:hRule="atLeast"/>
        </w:trPr>
        <w:tc>
          <w:tcPr>
            <w:tcW w:w="9766" w:type="dxa"/>
            <w:gridSpan w:val="7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Distribution of HH types across development domains - </w:t>
            </w:r>
            <w:r>
              <w:rPr>
                <w:rFonts w:hint="eastAsia"/>
                <w:b/>
                <w:bCs/>
                <w:lang w:val="en-US" w:eastAsia="zh-CN"/>
              </w:rPr>
              <w:t>GAEZ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0.4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2.7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0.2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4.4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6.5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11.2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24.6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11.1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71.3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3.9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21.6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Total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22.6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38.9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rPr>
          <w:trHeight w:val="0" w:hRule="atLeast"/>
        </w:trPr>
        <w:tc>
          <w:tcPr>
            <w:tcW w:w="9766" w:type="dxa"/>
            <w:gridSpan w:val="7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Distribution of each HH type by development domain (columns add to 100%) - </w:t>
            </w:r>
            <w:r>
              <w:rPr>
                <w:rFonts w:hint="eastAsia"/>
                <w:b/>
                <w:bCs/>
                <w:lang w:val="en-US" w:eastAsia="zh-CN"/>
              </w:rPr>
              <w:t>GLUES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LL (Ag., Mkt)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21.3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23.4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33.8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21.6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30.4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25.9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13.3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13.6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15.5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25.9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24.7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20.3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55.7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48.3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38.8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35.1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30.6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39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9.7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11.9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17.4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14.2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14.8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Total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rPr>
          <w:trHeight w:val="0" w:hRule="atLeast"/>
        </w:trPr>
        <w:tc>
          <w:tcPr>
            <w:tcW w:w="9766" w:type="dxa"/>
            <w:gridSpan w:val="7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Distribution of HH types across development domains - </w:t>
            </w:r>
            <w:r>
              <w:rPr>
                <w:rFonts w:hint="eastAsia"/>
                <w:b/>
                <w:bCs/>
                <w:lang w:val="en-US" w:eastAsia="zh-CN"/>
              </w:rPr>
              <w:t>GLUES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1.7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3.4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8.4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LH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3.5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10.1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4.5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13.6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38.8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HH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0.8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2.1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2.7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6.8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Total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22.6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38.9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100</w:t>
            </w:r>
          </w:p>
        </w:tc>
      </w:tr>
      <w:tr>
        <w:trPr>
          <w:trHeight w:val="0" w:hRule="atLeast"/>
        </w:trPr>
        <w:tc>
          <w:tcPr>
            <w:tcW w:w="9766" w:type="dxa"/>
            <w:gridSpan w:val="7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both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Household means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% NFI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2.2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3.3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92.5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82.3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42.9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% Cash sales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29.6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76.6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7.7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78.6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43.6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 xml:space="preserve">Median </w:t>
            </w:r>
            <w:r>
              <w:rPr>
                <w:lang w:val="en-US" w:eastAsia="zh-CN"/>
              </w:rPr>
              <w:t>income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330.2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934.6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1,511.40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8,175.30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11,445.20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2,149.90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Age head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49.6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47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47.4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48.9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48.1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48.2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% Female headed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30.1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20.9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20.7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33.6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26.2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27.1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Household size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4.2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4.8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4.3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4.5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4.4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4.5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Adult workers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2.3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2.1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2.2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2.2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Owned farm size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0.8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1.3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1.1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Cultivated area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1.7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1.2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1.5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1.4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Education head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3.6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4.1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5.6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5.8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4.5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Highest education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5.8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7.3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7.3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6.3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Cell phone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22.8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20.4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18.2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14.6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17.5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Electricity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29.3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29.8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34.3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65.9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59.5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42.2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Distance to road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1.6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1.2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0.9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0.7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Seeds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9.3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17.5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15.7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15.4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18.9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16.4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Fertilizer (inorg.)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29.1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35.5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34.8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20.4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25.3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27.9</w:t>
            </w:r>
          </w:p>
        </w:tc>
      </w:tr>
      <w:tr>
        <w:trPr>
          <w:trHeight w:val="0" w:hRule="atLeast"/>
        </w:trPr>
        <w:tc>
          <w:tcPr>
            <w:tcW w:w="16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Hired labor</w:t>
            </w:r>
          </w:p>
        </w:tc>
        <w:tc>
          <w:tcPr>
            <w:tcW w:w="10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140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44.3</w:t>
            </w:r>
          </w:p>
        </w:tc>
        <w:tc>
          <w:tcPr>
            <w:tcW w:w="146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48.5</w:t>
            </w:r>
          </w:p>
        </w:tc>
        <w:tc>
          <w:tcPr>
            <w:tcW w:w="12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43</w:t>
            </w:r>
          </w:p>
        </w:tc>
        <w:tc>
          <w:tcPr>
            <w:tcW w:w="1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50.8</w:t>
            </w:r>
          </w:p>
        </w:tc>
        <w:tc>
          <w:tcPr>
            <w:tcW w:w="130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44</w:t>
            </w:r>
          </w:p>
        </w:tc>
      </w:tr>
    </w:tbl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>2 versions of the quadrant classification are included (GAEZ and GLUES). They correspond to the following maps:</w:t>
      </w:r>
    </w:p>
    <w:p>
      <w:pPr/>
      <w:r>
        <w:drawing>
          <wp:inline distT="0" distB="0" distL="114300" distR="114300">
            <wp:extent cx="6135370" cy="3336290"/>
            <wp:effectExtent l="0" t="0" r="13335" b="8255"/>
            <wp:docPr id="21204766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6680" name="picture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Fig. 4.5: Quadrant Classification across Districts, Ghana 2012/13. Source: authors/FAO/GAEZ.</w:t>
      </w:r>
    </w:p>
    <w:p>
      <w:pPr>
        <w:rPr>
          <w:lang w:val="en-US"/>
        </w:rPr>
      </w:pPr>
    </w:p>
    <w:p>
      <w:pPr/>
      <w:r>
        <w:drawing>
          <wp:inline distT="0" distB="0" distL="114300" distR="114300">
            <wp:extent cx="4572000" cy="2457450"/>
            <wp:effectExtent l="0" t="0" r="13970" b="10795"/>
            <wp:docPr id="6235823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82327" name="pictur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Fig. 4.11: Est. Proportions of Farm Holdings across Combined Categories (farms below 4 ha). Source: authors/FAO/GAEZ.</w:t>
      </w:r>
    </w:p>
    <w:p>
      <w:pPr/>
      <w:r>
        <w:drawing>
          <wp:inline distT="0" distB="0" distL="114300" distR="114300">
            <wp:extent cx="6115685" cy="3058160"/>
            <wp:effectExtent l="0" t="0" r="3810" b="8890"/>
            <wp:docPr id="21306862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86264" name="pictur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Fig. 4.16: Quadrant Classification across Districts, Ghana 2012/13. Source: authors/GLUES.</w:t>
      </w:r>
    </w:p>
    <w:p>
      <w:pPr>
        <w:rPr>
          <w:lang w:val="en-US"/>
        </w:rPr>
      </w:pPr>
    </w:p>
    <w:p>
      <w:pPr/>
      <w:r>
        <w:drawing>
          <wp:inline distT="0" distB="0" distL="114300" distR="114300">
            <wp:extent cx="4572000" cy="2533650"/>
            <wp:effectExtent l="0" t="0" r="0" b="0"/>
            <wp:docPr id="19804007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0704" name="picture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Fig. 4.18: Est. Proportions of Farm Holdings across Farm Types and Quadrants (farms below 4 ha, GLUES crop suitability). Source: authors/GLUES.</w:t>
      </w:r>
    </w:p>
    <w:sectPr>
      <w:pgSz w:w="11900" w:h="16840"/>
      <w:pgMar w:top="1440" w:right="1080" w:bottom="1440" w:left="108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dobe Caslon Pr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panose1 w:val="02040503050406030204"/>
    <w:charset w:val="86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02FF" w:usb1="4000ACFF" w:usb2="00000001" w:usb3="00000000" w:csb0="2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dobe Caslon Pro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+Body Asian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Heading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 Gothic Book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华文楷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方正舒体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Sans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 Antiqua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Sans Unicode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Rockwell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姚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ill Sans MT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w Cen MT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 Gothic Medium">
    <w:altName w:val="Adobe Caslon P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Verdana"/>
    <w:panose1 w:val="020B0604030504040204"/>
    <w:charset w:val="00"/>
    <w:family w:val="decorative"/>
    <w:pitch w:val="default"/>
    <w:sig w:usb0="00000000" w:usb1="00000000" w:usb2="00000029" w:usb3="00000000" w:csb0="000101FF" w:csb1="00000000"/>
  </w:font>
  <w:font w:name="Eras ITC">
    <w:altName w:val="Times New Roman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Serif">
    <w:altName w:val="Overpas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">
    <w:panose1 w:val="00000500000000000000"/>
    <w:charset w:val="00"/>
    <w:family w:val="auto"/>
    <w:pitch w:val="default"/>
    <w:sig w:usb0="00000003" w:usb1="00000020" w:usb2="00000000" w:usb3="00000000" w:csb0="20000093" w:csb1="00000000"/>
  </w:font>
  <w:font w:name="Symbol">
    <w:altName w:val="Webdings"/>
    <w:panose1 w:val="02000500000000000000"/>
    <w:charset w:val="02"/>
    <w:family w:val="auto"/>
    <w:pitch w:val="default"/>
    <w:sig w:usb0="00000000" w:usb1="00000000" w:usb2="00010000" w:usb3="00000000" w:csb0="80000000" w:csb1="00000000"/>
  </w:font>
  <w:font w:name="DejaVa Sans">
    <w:altName w:val="Overpas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+ 1mn">
    <w:panose1 w:val="020B0609020204020204"/>
    <w:charset w:val="88"/>
    <w:family w:val="auto"/>
    <w:pitch w:val="default"/>
    <w:sig w:usb0="E00002BF" w:usb1="6A47FDEB" w:usb2="04000012" w:usb3="00000000" w:csb0="4012019F" w:csb1="DFD7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+Heading Asian">
    <w:altName w:val="Overpas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Overpas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Condensed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ＭＳ 明朝">
    <w:altName w:val="Overpass"/>
    <w:panose1 w:val="00000000000000000000"/>
    <w:charset w:val="4E"/>
    <w:family w:val="auto"/>
    <w:pitch w:val="default"/>
    <w:sig w:usb0="00000000" w:usb1="00000000" w:usb2="00000012" w:usb3="00000000" w:csb0="0002009F" w:csb1="00000000"/>
  </w:font>
  <w:font w:name="ＭＳ ゴシック">
    <w:altName w:val="Overpass"/>
    <w:panose1 w:val="00000000000000000000"/>
    <w:charset w:val="4E"/>
    <w:family w:val="auto"/>
    <w:pitch w:val="default"/>
    <w:sig w:usb0="00000000" w:usb1="00000000" w:usb2="00000012" w:usb3="00000000" w:csb0="0002009F" w:csb1="00000000"/>
  </w:font>
  <w:font w:name="Noto Serif">
    <w:panose1 w:val="02020600060500020200"/>
    <w:charset w:val="00"/>
    <w:family w:val="auto"/>
    <w:pitch w:val="default"/>
    <w:sig w:usb0="E00002FF" w:usb1="500078FF" w:usb2="00000029" w:usb3="00000000" w:csb0="6000019F" w:csb1="DFD70000"/>
  </w:font>
  <w:font w:name="Helvetica Neue">
    <w:altName w:val="Overpas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C7A"/>
    <w:rsid w:val="000D5774"/>
    <w:rsid w:val="0020768C"/>
    <w:rsid w:val="006B0D12"/>
    <w:rsid w:val="006B46CF"/>
    <w:rsid w:val="006E5953"/>
    <w:rsid w:val="00705B5E"/>
    <w:rsid w:val="007E7449"/>
    <w:rsid w:val="00B026F2"/>
    <w:rsid w:val="00C55757"/>
    <w:rsid w:val="00CA4AE9"/>
    <w:rsid w:val="00D308FC"/>
    <w:rsid w:val="00D9324C"/>
    <w:rsid w:val="00DA3880"/>
    <w:rsid w:val="00EA1C7A"/>
    <w:rsid w:val="3D93412A"/>
    <w:rsid w:val="77CDB397"/>
    <w:rsid w:val="7E63E808"/>
    <w:rsid w:val="9FF2335A"/>
    <w:rsid w:val="B19732E8"/>
    <w:rsid w:val="EFF756AE"/>
    <w:rsid w:val="F7AE6058"/>
  </w:rsids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0"/>
      <w:szCs w:val="24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font21"/>
    <w:uiPriority w:val="0"/>
    <w:rPr>
      <w:rFonts w:ascii="Cambria" w:hAnsi="Cambria" w:eastAsia="Cambria" w:cs="Cambria"/>
      <w:color w:val="5C616C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C616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0</Pages>
  <Words>0</Words>
  <Characters>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Peter Hazell</dc:creator>
  <cp:lastModifiedBy>BACOU, Melanie</cp:lastModifiedBy>
  <dcterms:modified xsi:type="dcterms:W3CDTF">2017-07-23T18:05:51Z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