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B5882" w14:textId="4868202A" w:rsidR="003E1D12" w:rsidRDefault="003E1D12" w:rsidP="00736BAA">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CHAPTER </w:t>
      </w:r>
      <w:r w:rsidR="00D52F18">
        <w:rPr>
          <w:rFonts w:ascii="Times New Roman" w:hAnsi="Times New Roman" w:cs="Times New Roman"/>
          <w:b/>
          <w:sz w:val="24"/>
          <w:szCs w:val="24"/>
        </w:rPr>
        <w:t>9</w:t>
      </w:r>
    </w:p>
    <w:p w14:paraId="3CEF8078" w14:textId="77777777" w:rsidR="003E1D12" w:rsidRDefault="003E1D12" w:rsidP="00736BAA">
      <w:pPr>
        <w:jc w:val="center"/>
        <w:rPr>
          <w:rFonts w:ascii="Times New Roman" w:hAnsi="Times New Roman" w:cs="Times New Roman"/>
          <w:b/>
          <w:sz w:val="24"/>
          <w:szCs w:val="24"/>
        </w:rPr>
      </w:pPr>
    </w:p>
    <w:p w14:paraId="093B426E" w14:textId="19CA28E1" w:rsidR="00A82662" w:rsidRPr="0085669B" w:rsidRDefault="0085669B" w:rsidP="00032164">
      <w:pPr>
        <w:spacing w:after="240" w:line="360" w:lineRule="auto"/>
        <w:jc w:val="center"/>
        <w:rPr>
          <w:rFonts w:ascii="Times New Roman" w:hAnsi="Times New Roman" w:cs="Times New Roman"/>
          <w:sz w:val="24"/>
          <w:szCs w:val="24"/>
        </w:rPr>
      </w:pPr>
      <w:r w:rsidRPr="0085669B">
        <w:rPr>
          <w:rFonts w:ascii="Times New Roman" w:hAnsi="Times New Roman" w:cs="Times New Roman"/>
          <w:sz w:val="24"/>
          <w:szCs w:val="24"/>
        </w:rPr>
        <w:t xml:space="preserve">URBANIZATION AND ITS IMPACT ON </w:t>
      </w:r>
      <w:r>
        <w:rPr>
          <w:rFonts w:ascii="Times New Roman" w:hAnsi="Times New Roman" w:cs="Times New Roman"/>
          <w:sz w:val="24"/>
          <w:szCs w:val="24"/>
        </w:rPr>
        <w:t xml:space="preserve">GHANA’S </w:t>
      </w:r>
      <w:r w:rsidRPr="0085669B">
        <w:rPr>
          <w:rFonts w:ascii="Times New Roman" w:hAnsi="Times New Roman" w:cs="Times New Roman"/>
          <w:sz w:val="24"/>
          <w:szCs w:val="24"/>
        </w:rPr>
        <w:t>RURAL TRANSFORMATION</w:t>
      </w:r>
    </w:p>
    <w:p w14:paraId="0856EF54" w14:textId="1797D1BA" w:rsidR="00A82662" w:rsidRPr="00CD704D" w:rsidRDefault="00A82662" w:rsidP="00736BAA">
      <w:pPr>
        <w:jc w:val="center"/>
        <w:rPr>
          <w:rFonts w:ascii="Times New Roman" w:hAnsi="Times New Roman" w:cs="Times New Roman"/>
          <w:sz w:val="24"/>
          <w:szCs w:val="24"/>
        </w:rPr>
      </w:pPr>
      <w:r w:rsidRPr="00CD704D">
        <w:rPr>
          <w:rFonts w:ascii="Times New Roman" w:hAnsi="Times New Roman" w:cs="Times New Roman"/>
          <w:sz w:val="24"/>
          <w:szCs w:val="24"/>
        </w:rPr>
        <w:t xml:space="preserve">Xinshen </w:t>
      </w:r>
      <w:proofErr w:type="spellStart"/>
      <w:r w:rsidRPr="00CD704D">
        <w:rPr>
          <w:rFonts w:ascii="Times New Roman" w:hAnsi="Times New Roman" w:cs="Times New Roman"/>
          <w:sz w:val="24"/>
          <w:szCs w:val="24"/>
        </w:rPr>
        <w:t>Diao</w:t>
      </w:r>
      <w:proofErr w:type="spellEnd"/>
      <w:r w:rsidR="00BC2AF2">
        <w:rPr>
          <w:rFonts w:ascii="Times New Roman" w:hAnsi="Times New Roman" w:cs="Times New Roman"/>
          <w:sz w:val="24"/>
          <w:szCs w:val="24"/>
        </w:rPr>
        <w:t xml:space="preserve">, </w:t>
      </w:r>
      <w:r w:rsidR="00BC2AF2" w:rsidRPr="00BC2AF2">
        <w:rPr>
          <w:rFonts w:ascii="Times New Roman" w:hAnsi="Times New Roman" w:cs="Times New Roman"/>
          <w:sz w:val="24"/>
          <w:szCs w:val="24"/>
        </w:rPr>
        <w:t xml:space="preserve">Eduardo </w:t>
      </w:r>
      <w:proofErr w:type="spellStart"/>
      <w:r w:rsidR="00BC2AF2" w:rsidRPr="00BC2AF2">
        <w:rPr>
          <w:rFonts w:ascii="Times New Roman" w:hAnsi="Times New Roman" w:cs="Times New Roman"/>
          <w:sz w:val="24"/>
          <w:szCs w:val="24"/>
        </w:rPr>
        <w:t>Magalhaes</w:t>
      </w:r>
      <w:proofErr w:type="spellEnd"/>
      <w:r w:rsidR="00BC2AF2">
        <w:rPr>
          <w:rFonts w:ascii="Times New Roman" w:hAnsi="Times New Roman" w:cs="Times New Roman"/>
          <w:sz w:val="24"/>
          <w:szCs w:val="24"/>
        </w:rPr>
        <w:t xml:space="preserve"> </w:t>
      </w:r>
      <w:r w:rsidRPr="00CD704D">
        <w:rPr>
          <w:rFonts w:ascii="Times New Roman" w:hAnsi="Times New Roman" w:cs="Times New Roman"/>
          <w:sz w:val="24"/>
          <w:szCs w:val="24"/>
        </w:rPr>
        <w:t>and Jed Silver</w:t>
      </w:r>
    </w:p>
    <w:p w14:paraId="3004BED9" w14:textId="5884E622" w:rsidR="001A73A8" w:rsidRDefault="00A82662" w:rsidP="00EF7FD9">
      <w:pPr>
        <w:jc w:val="both"/>
        <w:rPr>
          <w:rFonts w:ascii="Times New Roman" w:hAnsi="Times New Roman" w:cs="Times New Roman"/>
          <w:sz w:val="24"/>
          <w:szCs w:val="24"/>
        </w:rPr>
      </w:pPr>
      <w:r w:rsidRPr="00CD704D">
        <w:rPr>
          <w:rFonts w:ascii="Times New Roman" w:hAnsi="Times New Roman" w:cs="Times New Roman"/>
          <w:sz w:val="24"/>
          <w:szCs w:val="24"/>
        </w:rPr>
        <w:t xml:space="preserve">  </w:t>
      </w:r>
    </w:p>
    <w:p w14:paraId="6853B107" w14:textId="77777777" w:rsidR="00337D6D" w:rsidRPr="00CD704D" w:rsidRDefault="00DF3A6A" w:rsidP="00EF7FD9">
      <w:pPr>
        <w:tabs>
          <w:tab w:val="left" w:pos="5675"/>
        </w:tabs>
        <w:jc w:val="both"/>
        <w:rPr>
          <w:rFonts w:ascii="Times New Roman" w:hAnsi="Times New Roman" w:cs="Times New Roman"/>
          <w:sz w:val="24"/>
          <w:szCs w:val="24"/>
        </w:rPr>
      </w:pPr>
      <w:r w:rsidRPr="00CD704D">
        <w:rPr>
          <w:rFonts w:ascii="Times New Roman" w:hAnsi="Times New Roman" w:cs="Times New Roman"/>
          <w:sz w:val="24"/>
          <w:szCs w:val="24"/>
        </w:rPr>
        <w:tab/>
      </w:r>
    </w:p>
    <w:p w14:paraId="60AFE75E" w14:textId="0AEEA24E" w:rsidR="00AB2273" w:rsidRPr="000C2FA0" w:rsidRDefault="005E1E64" w:rsidP="000C2FA0">
      <w:pPr>
        <w:pStyle w:val="ListParagraph"/>
        <w:numPr>
          <w:ilvl w:val="1"/>
          <w:numId w:val="9"/>
        </w:numPr>
        <w:jc w:val="both"/>
        <w:rPr>
          <w:rFonts w:ascii="Times New Roman" w:hAnsi="Times New Roman" w:cs="Times New Roman"/>
          <w:sz w:val="24"/>
          <w:szCs w:val="24"/>
        </w:rPr>
      </w:pPr>
      <w:r w:rsidRPr="000C2FA0">
        <w:rPr>
          <w:rFonts w:ascii="Times New Roman" w:hAnsi="Times New Roman" w:cs="Times New Roman"/>
          <w:sz w:val="24"/>
          <w:szCs w:val="24"/>
        </w:rPr>
        <w:t>INTRODUCTION</w:t>
      </w:r>
    </w:p>
    <w:p w14:paraId="29962233" w14:textId="4C254A68" w:rsidR="004829F2" w:rsidRPr="00CD704D" w:rsidRDefault="00A95873" w:rsidP="00736BAA">
      <w:pPr>
        <w:spacing w:after="240" w:line="360" w:lineRule="auto"/>
        <w:jc w:val="both"/>
        <w:rPr>
          <w:rFonts w:ascii="Times New Roman" w:hAnsi="Times New Roman" w:cs="Times New Roman"/>
          <w:sz w:val="24"/>
          <w:szCs w:val="24"/>
        </w:rPr>
      </w:pPr>
      <w:r w:rsidRPr="00CD704D">
        <w:rPr>
          <w:rFonts w:ascii="Times New Roman" w:hAnsi="Times New Roman" w:cs="Times New Roman"/>
          <w:sz w:val="24"/>
          <w:szCs w:val="24"/>
        </w:rPr>
        <w:t>Ghana has rapid</w:t>
      </w:r>
      <w:r w:rsidR="00733B68" w:rsidRPr="00CD704D">
        <w:rPr>
          <w:rFonts w:ascii="Times New Roman" w:hAnsi="Times New Roman" w:cs="Times New Roman"/>
          <w:sz w:val="24"/>
          <w:szCs w:val="24"/>
        </w:rPr>
        <w:t>ly</w:t>
      </w:r>
      <w:r w:rsidRPr="00CD704D">
        <w:rPr>
          <w:rFonts w:ascii="Times New Roman" w:hAnsi="Times New Roman" w:cs="Times New Roman"/>
          <w:sz w:val="24"/>
          <w:szCs w:val="24"/>
        </w:rPr>
        <w:t xml:space="preserve"> </w:t>
      </w:r>
      <w:r w:rsidR="00AB2273" w:rsidRPr="00CD704D">
        <w:rPr>
          <w:rFonts w:ascii="Times New Roman" w:hAnsi="Times New Roman" w:cs="Times New Roman"/>
          <w:sz w:val="24"/>
          <w:szCs w:val="24"/>
        </w:rPr>
        <w:t>urbaniz</w:t>
      </w:r>
      <w:r w:rsidR="00733B68" w:rsidRPr="00CD704D">
        <w:rPr>
          <w:rFonts w:ascii="Times New Roman" w:hAnsi="Times New Roman" w:cs="Times New Roman"/>
          <w:sz w:val="24"/>
          <w:szCs w:val="24"/>
        </w:rPr>
        <w:t>ed</w:t>
      </w:r>
      <w:r w:rsidR="00AB2273" w:rsidRPr="00CD704D">
        <w:rPr>
          <w:rFonts w:ascii="Times New Roman" w:hAnsi="Times New Roman" w:cs="Times New Roman"/>
          <w:sz w:val="24"/>
          <w:szCs w:val="24"/>
        </w:rPr>
        <w:t xml:space="preserve"> in recent years</w:t>
      </w:r>
      <w:r w:rsidR="00F51C81" w:rsidRPr="00CD704D">
        <w:rPr>
          <w:rFonts w:ascii="Times New Roman" w:hAnsi="Times New Roman" w:cs="Times New Roman"/>
          <w:sz w:val="24"/>
          <w:szCs w:val="24"/>
        </w:rPr>
        <w:t xml:space="preserve"> and more than half the </w:t>
      </w:r>
      <w:r w:rsidR="00733B68" w:rsidRPr="00CD704D">
        <w:rPr>
          <w:rFonts w:ascii="Times New Roman" w:hAnsi="Times New Roman" w:cs="Times New Roman"/>
          <w:sz w:val="24"/>
          <w:szCs w:val="24"/>
        </w:rPr>
        <w:t xml:space="preserve">total </w:t>
      </w:r>
      <w:r w:rsidR="00F51C81" w:rsidRPr="00CD704D">
        <w:rPr>
          <w:rFonts w:ascii="Times New Roman" w:hAnsi="Times New Roman" w:cs="Times New Roman"/>
          <w:sz w:val="24"/>
          <w:szCs w:val="24"/>
        </w:rPr>
        <w:t xml:space="preserve">population </w:t>
      </w:r>
      <w:r w:rsidR="001E358D">
        <w:rPr>
          <w:rFonts w:ascii="Times New Roman" w:hAnsi="Times New Roman" w:cs="Times New Roman"/>
          <w:sz w:val="24"/>
          <w:szCs w:val="24"/>
        </w:rPr>
        <w:t xml:space="preserve">now </w:t>
      </w:r>
      <w:r w:rsidR="00F51C81" w:rsidRPr="00CD704D">
        <w:rPr>
          <w:rFonts w:ascii="Times New Roman" w:hAnsi="Times New Roman" w:cs="Times New Roman"/>
          <w:sz w:val="24"/>
          <w:szCs w:val="24"/>
        </w:rPr>
        <w:t>live</w:t>
      </w:r>
      <w:r w:rsidR="00733B68" w:rsidRPr="00CD704D">
        <w:rPr>
          <w:rFonts w:ascii="Times New Roman" w:hAnsi="Times New Roman" w:cs="Times New Roman"/>
          <w:sz w:val="24"/>
          <w:szCs w:val="24"/>
        </w:rPr>
        <w:t>s</w:t>
      </w:r>
      <w:r w:rsidR="00F51C81" w:rsidRPr="00CD704D">
        <w:rPr>
          <w:rFonts w:ascii="Times New Roman" w:hAnsi="Times New Roman" w:cs="Times New Roman"/>
          <w:sz w:val="24"/>
          <w:szCs w:val="24"/>
        </w:rPr>
        <w:t xml:space="preserve"> in urban areas.</w:t>
      </w:r>
      <w:r w:rsidR="00D93E24" w:rsidRPr="00CD704D">
        <w:rPr>
          <w:rFonts w:ascii="Times New Roman" w:hAnsi="Times New Roman" w:cs="Times New Roman"/>
          <w:sz w:val="24"/>
          <w:szCs w:val="24"/>
        </w:rPr>
        <w:t xml:space="preserve"> </w:t>
      </w:r>
      <w:r w:rsidR="00733B68" w:rsidRPr="00CD704D">
        <w:rPr>
          <w:rFonts w:ascii="Times New Roman" w:hAnsi="Times New Roman" w:cs="Times New Roman"/>
          <w:sz w:val="24"/>
          <w:szCs w:val="24"/>
        </w:rPr>
        <w:t xml:space="preserve">However, </w:t>
      </w:r>
      <w:r w:rsidR="004A211C">
        <w:rPr>
          <w:rFonts w:ascii="Times New Roman" w:hAnsi="Times New Roman" w:cs="Times New Roman"/>
          <w:sz w:val="24"/>
          <w:szCs w:val="24"/>
        </w:rPr>
        <w:t xml:space="preserve">as discussed in Chapter 2, </w:t>
      </w:r>
      <w:r w:rsidR="00733B68" w:rsidRPr="00CD704D">
        <w:rPr>
          <w:rFonts w:ascii="Times New Roman" w:hAnsi="Times New Roman" w:cs="Times New Roman"/>
          <w:sz w:val="24"/>
          <w:szCs w:val="24"/>
        </w:rPr>
        <w:t xml:space="preserve">urbanization </w:t>
      </w:r>
      <w:r w:rsidR="005D7177" w:rsidRPr="00CD704D">
        <w:rPr>
          <w:rFonts w:ascii="Times New Roman" w:hAnsi="Times New Roman" w:cs="Times New Roman"/>
          <w:sz w:val="24"/>
          <w:szCs w:val="24"/>
        </w:rPr>
        <w:t xml:space="preserve">in Ghana </w:t>
      </w:r>
      <w:r w:rsidR="00733B68" w:rsidRPr="00CD704D">
        <w:rPr>
          <w:rFonts w:ascii="Times New Roman" w:hAnsi="Times New Roman" w:cs="Times New Roman"/>
          <w:sz w:val="24"/>
          <w:szCs w:val="24"/>
        </w:rPr>
        <w:t xml:space="preserve">has not followed the </w:t>
      </w:r>
      <w:r w:rsidR="001E358D">
        <w:rPr>
          <w:rFonts w:ascii="Times New Roman" w:hAnsi="Times New Roman" w:cs="Times New Roman"/>
          <w:sz w:val="24"/>
          <w:szCs w:val="24"/>
        </w:rPr>
        <w:t>typical</w:t>
      </w:r>
      <w:r w:rsidR="001E358D" w:rsidRPr="00CD704D">
        <w:rPr>
          <w:rFonts w:ascii="Times New Roman" w:hAnsi="Times New Roman" w:cs="Times New Roman"/>
          <w:sz w:val="24"/>
          <w:szCs w:val="24"/>
        </w:rPr>
        <w:t xml:space="preserve"> </w:t>
      </w:r>
      <w:r w:rsidR="00821BB4" w:rsidRPr="00CD704D">
        <w:rPr>
          <w:rFonts w:ascii="Times New Roman" w:hAnsi="Times New Roman" w:cs="Times New Roman"/>
          <w:sz w:val="24"/>
          <w:szCs w:val="24"/>
        </w:rPr>
        <w:t xml:space="preserve">historical </w:t>
      </w:r>
      <w:r w:rsidR="005D7177" w:rsidRPr="00CD704D">
        <w:rPr>
          <w:rFonts w:ascii="Times New Roman" w:hAnsi="Times New Roman" w:cs="Times New Roman"/>
          <w:sz w:val="24"/>
          <w:szCs w:val="24"/>
        </w:rPr>
        <w:t xml:space="preserve">pathway </w:t>
      </w:r>
      <w:r w:rsidR="00821BB4" w:rsidRPr="00CD704D">
        <w:rPr>
          <w:rFonts w:ascii="Times New Roman" w:hAnsi="Times New Roman" w:cs="Times New Roman"/>
          <w:sz w:val="24"/>
          <w:szCs w:val="24"/>
        </w:rPr>
        <w:t xml:space="preserve">for the </w:t>
      </w:r>
      <w:r w:rsidRPr="00CD704D">
        <w:rPr>
          <w:rFonts w:ascii="Times New Roman" w:hAnsi="Times New Roman" w:cs="Times New Roman"/>
          <w:sz w:val="24"/>
          <w:szCs w:val="24"/>
        </w:rPr>
        <w:t xml:space="preserve">economic transformation </w:t>
      </w:r>
      <w:r w:rsidR="00821BB4" w:rsidRPr="00CD704D">
        <w:rPr>
          <w:rFonts w:ascii="Times New Roman" w:hAnsi="Times New Roman" w:cs="Times New Roman"/>
          <w:sz w:val="24"/>
          <w:szCs w:val="24"/>
        </w:rPr>
        <w:t>of</w:t>
      </w:r>
      <w:r w:rsidRPr="00CD704D">
        <w:rPr>
          <w:rFonts w:ascii="Times New Roman" w:hAnsi="Times New Roman" w:cs="Times New Roman"/>
          <w:sz w:val="24"/>
          <w:szCs w:val="24"/>
        </w:rPr>
        <w:t xml:space="preserve"> a</w:t>
      </w:r>
      <w:r w:rsidR="00795809">
        <w:rPr>
          <w:rFonts w:ascii="Times New Roman" w:hAnsi="Times New Roman" w:cs="Times New Roman"/>
          <w:sz w:val="24"/>
          <w:szCs w:val="24"/>
        </w:rPr>
        <w:t>n agrarian</w:t>
      </w:r>
      <w:r w:rsidRPr="00CD704D">
        <w:rPr>
          <w:rFonts w:ascii="Times New Roman" w:hAnsi="Times New Roman" w:cs="Times New Roman"/>
          <w:sz w:val="24"/>
          <w:szCs w:val="24"/>
        </w:rPr>
        <w:t xml:space="preserve"> country</w:t>
      </w:r>
      <w:r w:rsidR="00733B68" w:rsidRPr="00CD704D">
        <w:rPr>
          <w:rFonts w:ascii="Times New Roman" w:hAnsi="Times New Roman" w:cs="Times New Roman"/>
          <w:sz w:val="24"/>
          <w:szCs w:val="24"/>
        </w:rPr>
        <w:t>. In China</w:t>
      </w:r>
      <w:r w:rsidR="00821BB4" w:rsidRPr="00CD704D">
        <w:rPr>
          <w:rFonts w:ascii="Times New Roman" w:hAnsi="Times New Roman" w:cs="Times New Roman"/>
          <w:sz w:val="24"/>
          <w:szCs w:val="24"/>
        </w:rPr>
        <w:t>,</w:t>
      </w:r>
      <w:r w:rsidR="00733B68" w:rsidRPr="00CD704D">
        <w:rPr>
          <w:rFonts w:ascii="Times New Roman" w:hAnsi="Times New Roman" w:cs="Times New Roman"/>
          <w:sz w:val="24"/>
          <w:szCs w:val="24"/>
        </w:rPr>
        <w:t xml:space="preserve"> and much of Asia, </w:t>
      </w:r>
      <w:r w:rsidR="00B07201" w:rsidRPr="00CD704D">
        <w:rPr>
          <w:rFonts w:ascii="Times New Roman" w:hAnsi="Times New Roman" w:cs="Times New Roman"/>
          <w:sz w:val="24"/>
          <w:szCs w:val="24"/>
        </w:rPr>
        <w:t xml:space="preserve">urbanization typically </w:t>
      </w:r>
      <w:r w:rsidRPr="00CD704D">
        <w:rPr>
          <w:rFonts w:ascii="Times New Roman" w:hAnsi="Times New Roman" w:cs="Times New Roman"/>
          <w:sz w:val="24"/>
          <w:szCs w:val="24"/>
        </w:rPr>
        <w:t>follow</w:t>
      </w:r>
      <w:r w:rsidR="00733B68" w:rsidRPr="00CD704D">
        <w:rPr>
          <w:rFonts w:ascii="Times New Roman" w:hAnsi="Times New Roman" w:cs="Times New Roman"/>
          <w:sz w:val="24"/>
          <w:szCs w:val="24"/>
        </w:rPr>
        <w:t>ed</w:t>
      </w:r>
      <w:r w:rsidRPr="00CD704D">
        <w:rPr>
          <w:rFonts w:ascii="Times New Roman" w:hAnsi="Times New Roman" w:cs="Times New Roman"/>
          <w:sz w:val="24"/>
          <w:szCs w:val="24"/>
        </w:rPr>
        <w:t xml:space="preserve"> a period of </w:t>
      </w:r>
      <w:r w:rsidR="00B07201" w:rsidRPr="00CD704D">
        <w:rPr>
          <w:rFonts w:ascii="Times New Roman" w:hAnsi="Times New Roman" w:cs="Times New Roman"/>
          <w:sz w:val="24"/>
          <w:szCs w:val="24"/>
        </w:rPr>
        <w:t xml:space="preserve">substantial </w:t>
      </w:r>
      <w:r w:rsidRPr="00CD704D">
        <w:rPr>
          <w:rFonts w:ascii="Times New Roman" w:hAnsi="Times New Roman" w:cs="Times New Roman"/>
          <w:sz w:val="24"/>
          <w:szCs w:val="24"/>
        </w:rPr>
        <w:t xml:space="preserve">growth in </w:t>
      </w:r>
      <w:r w:rsidR="00B07201" w:rsidRPr="00CD704D">
        <w:rPr>
          <w:rFonts w:ascii="Times New Roman" w:hAnsi="Times New Roman" w:cs="Times New Roman"/>
          <w:sz w:val="24"/>
          <w:szCs w:val="24"/>
        </w:rPr>
        <w:t>agricultural productivity</w:t>
      </w:r>
      <w:r w:rsidR="00821BB4" w:rsidRPr="00CD704D">
        <w:rPr>
          <w:rFonts w:ascii="Times New Roman" w:hAnsi="Times New Roman" w:cs="Times New Roman"/>
          <w:sz w:val="24"/>
          <w:szCs w:val="24"/>
        </w:rPr>
        <w:t xml:space="preserve"> (the Green Revolution)</w:t>
      </w:r>
      <w:r w:rsidR="00B07201" w:rsidRPr="00CD704D">
        <w:rPr>
          <w:rFonts w:ascii="Times New Roman" w:hAnsi="Times New Roman" w:cs="Times New Roman"/>
          <w:sz w:val="24"/>
          <w:szCs w:val="24"/>
        </w:rPr>
        <w:t xml:space="preserve"> </w:t>
      </w:r>
      <w:r w:rsidR="00E42DC8" w:rsidRPr="00CD704D">
        <w:rPr>
          <w:rFonts w:ascii="Times New Roman" w:hAnsi="Times New Roman" w:cs="Times New Roman"/>
          <w:sz w:val="24"/>
          <w:szCs w:val="24"/>
        </w:rPr>
        <w:t>that</w:t>
      </w:r>
      <w:r w:rsidRPr="00CD704D">
        <w:rPr>
          <w:rFonts w:ascii="Times New Roman" w:hAnsi="Times New Roman" w:cs="Times New Roman"/>
          <w:sz w:val="24"/>
          <w:szCs w:val="24"/>
        </w:rPr>
        <w:t>, amongst other things</w:t>
      </w:r>
      <w:r w:rsidR="00733B68" w:rsidRPr="00CD704D">
        <w:rPr>
          <w:rFonts w:ascii="Times New Roman" w:hAnsi="Times New Roman" w:cs="Times New Roman"/>
          <w:sz w:val="24"/>
          <w:szCs w:val="24"/>
        </w:rPr>
        <w:t>,</w:t>
      </w:r>
      <w:r w:rsidRPr="00CD704D">
        <w:rPr>
          <w:rFonts w:ascii="Times New Roman" w:hAnsi="Times New Roman" w:cs="Times New Roman"/>
          <w:sz w:val="24"/>
          <w:szCs w:val="24"/>
        </w:rPr>
        <w:t xml:space="preserve"> </w:t>
      </w:r>
      <w:r w:rsidR="00B07201" w:rsidRPr="00CD704D">
        <w:rPr>
          <w:rFonts w:ascii="Times New Roman" w:hAnsi="Times New Roman" w:cs="Times New Roman"/>
          <w:sz w:val="24"/>
          <w:szCs w:val="24"/>
        </w:rPr>
        <w:t>free</w:t>
      </w:r>
      <w:r w:rsidR="00733B68" w:rsidRPr="00CD704D">
        <w:rPr>
          <w:rFonts w:ascii="Times New Roman" w:hAnsi="Times New Roman" w:cs="Times New Roman"/>
          <w:sz w:val="24"/>
          <w:szCs w:val="24"/>
        </w:rPr>
        <w:t>d</w:t>
      </w:r>
      <w:r w:rsidR="00B07201" w:rsidRPr="00CD704D">
        <w:rPr>
          <w:rFonts w:ascii="Times New Roman" w:hAnsi="Times New Roman" w:cs="Times New Roman"/>
          <w:sz w:val="24"/>
          <w:szCs w:val="24"/>
        </w:rPr>
        <w:t xml:space="preserve"> up labor to move into the urban sectors</w:t>
      </w:r>
      <w:r w:rsidR="00733B68" w:rsidRPr="00CD704D">
        <w:rPr>
          <w:rFonts w:ascii="Times New Roman" w:hAnsi="Times New Roman" w:cs="Times New Roman"/>
          <w:sz w:val="24"/>
          <w:szCs w:val="24"/>
        </w:rPr>
        <w:t xml:space="preserve">. At the same time, rapid </w:t>
      </w:r>
      <w:r w:rsidRPr="00CD704D">
        <w:rPr>
          <w:rFonts w:ascii="Times New Roman" w:hAnsi="Times New Roman" w:cs="Times New Roman"/>
          <w:sz w:val="24"/>
          <w:szCs w:val="24"/>
        </w:rPr>
        <w:t>growth in labor</w:t>
      </w:r>
      <w:r w:rsidR="00E42DC8" w:rsidRPr="00CD704D">
        <w:rPr>
          <w:rFonts w:ascii="Times New Roman" w:hAnsi="Times New Roman" w:cs="Times New Roman"/>
          <w:sz w:val="24"/>
          <w:szCs w:val="24"/>
        </w:rPr>
        <w:t>-</w:t>
      </w:r>
      <w:r w:rsidRPr="00CD704D">
        <w:rPr>
          <w:rFonts w:ascii="Times New Roman" w:hAnsi="Times New Roman" w:cs="Times New Roman"/>
          <w:sz w:val="24"/>
          <w:szCs w:val="24"/>
        </w:rPr>
        <w:t>intensive industries</w:t>
      </w:r>
      <w:r w:rsidR="00733B68" w:rsidRPr="00CD704D">
        <w:rPr>
          <w:rFonts w:ascii="Times New Roman" w:hAnsi="Times New Roman" w:cs="Times New Roman"/>
          <w:sz w:val="24"/>
          <w:szCs w:val="24"/>
        </w:rPr>
        <w:t>, especially export manufacturing,</w:t>
      </w:r>
      <w:r w:rsidRPr="00CD704D">
        <w:rPr>
          <w:rFonts w:ascii="Times New Roman" w:hAnsi="Times New Roman" w:cs="Times New Roman"/>
          <w:sz w:val="24"/>
          <w:szCs w:val="24"/>
        </w:rPr>
        <w:t xml:space="preserve"> </w:t>
      </w:r>
      <w:r w:rsidR="00A105E6">
        <w:rPr>
          <w:rFonts w:ascii="Times New Roman" w:hAnsi="Times New Roman" w:cs="Times New Roman"/>
          <w:sz w:val="24"/>
          <w:szCs w:val="24"/>
        </w:rPr>
        <w:t xml:space="preserve">offered productive jobs to </w:t>
      </w:r>
      <w:r w:rsidR="00E42DC8" w:rsidRPr="00CD704D">
        <w:rPr>
          <w:rFonts w:ascii="Times New Roman" w:hAnsi="Times New Roman" w:cs="Times New Roman"/>
          <w:sz w:val="24"/>
          <w:szCs w:val="24"/>
        </w:rPr>
        <w:t>workers</w:t>
      </w:r>
      <w:r w:rsidR="00B07201" w:rsidRPr="00CD704D">
        <w:rPr>
          <w:rFonts w:ascii="Times New Roman" w:hAnsi="Times New Roman" w:cs="Times New Roman"/>
          <w:sz w:val="24"/>
          <w:szCs w:val="24"/>
        </w:rPr>
        <w:t xml:space="preserve"> </w:t>
      </w:r>
      <w:r w:rsidR="00A105E6">
        <w:rPr>
          <w:rFonts w:ascii="Times New Roman" w:hAnsi="Times New Roman" w:cs="Times New Roman"/>
          <w:sz w:val="24"/>
          <w:szCs w:val="24"/>
        </w:rPr>
        <w:t>leaving</w:t>
      </w:r>
      <w:r w:rsidR="00B07201" w:rsidRPr="00CD704D">
        <w:rPr>
          <w:rFonts w:ascii="Times New Roman" w:hAnsi="Times New Roman" w:cs="Times New Roman"/>
          <w:sz w:val="24"/>
          <w:szCs w:val="24"/>
        </w:rPr>
        <w:t xml:space="preserve"> agricultur</w:t>
      </w:r>
      <w:r w:rsidR="00733B68" w:rsidRPr="00CD704D">
        <w:rPr>
          <w:rFonts w:ascii="Times New Roman" w:hAnsi="Times New Roman" w:cs="Times New Roman"/>
          <w:sz w:val="24"/>
          <w:szCs w:val="24"/>
        </w:rPr>
        <w:t>e</w:t>
      </w:r>
      <w:r w:rsidR="00F51C81" w:rsidRPr="00CD704D">
        <w:rPr>
          <w:rFonts w:ascii="Times New Roman" w:hAnsi="Times New Roman" w:cs="Times New Roman"/>
          <w:sz w:val="24"/>
          <w:szCs w:val="24"/>
        </w:rPr>
        <w:t xml:space="preserve"> </w:t>
      </w:r>
      <w:r w:rsidRPr="00CD704D">
        <w:rPr>
          <w:rFonts w:ascii="Times New Roman" w:hAnsi="Times New Roman" w:cs="Times New Roman"/>
          <w:sz w:val="24"/>
          <w:szCs w:val="24"/>
        </w:rPr>
        <w:t>(</w:t>
      </w:r>
      <w:proofErr w:type="spellStart"/>
      <w:r w:rsidRPr="00CD704D">
        <w:rPr>
          <w:rFonts w:ascii="Times New Roman" w:hAnsi="Times New Roman" w:cs="Times New Roman"/>
          <w:sz w:val="24"/>
          <w:szCs w:val="24"/>
        </w:rPr>
        <w:t>Timmer</w:t>
      </w:r>
      <w:proofErr w:type="spellEnd"/>
      <w:r w:rsidR="004217E4">
        <w:rPr>
          <w:rFonts w:ascii="Times New Roman" w:hAnsi="Times New Roman" w:cs="Times New Roman"/>
          <w:sz w:val="24"/>
          <w:szCs w:val="24"/>
        </w:rPr>
        <w:t xml:space="preserve"> 1988</w:t>
      </w:r>
      <w:r w:rsidR="005D1555">
        <w:rPr>
          <w:rFonts w:ascii="Times New Roman" w:hAnsi="Times New Roman" w:cs="Times New Roman"/>
          <w:sz w:val="24"/>
          <w:szCs w:val="24"/>
        </w:rPr>
        <w:t>;</w:t>
      </w:r>
      <w:r w:rsidRPr="00CD704D">
        <w:rPr>
          <w:rFonts w:ascii="Times New Roman" w:hAnsi="Times New Roman" w:cs="Times New Roman"/>
          <w:sz w:val="24"/>
          <w:szCs w:val="24"/>
        </w:rPr>
        <w:t xml:space="preserve"> Mellor</w:t>
      </w:r>
      <w:r w:rsidR="005D1555">
        <w:rPr>
          <w:rFonts w:ascii="Times New Roman" w:hAnsi="Times New Roman" w:cs="Times New Roman"/>
          <w:sz w:val="24"/>
          <w:szCs w:val="24"/>
        </w:rPr>
        <w:t xml:space="preserve"> 1976;</w:t>
      </w:r>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Rosegrant</w:t>
      </w:r>
      <w:proofErr w:type="spellEnd"/>
      <w:r w:rsidRPr="00CD704D">
        <w:rPr>
          <w:rFonts w:ascii="Times New Roman" w:hAnsi="Times New Roman" w:cs="Times New Roman"/>
          <w:sz w:val="24"/>
          <w:szCs w:val="24"/>
        </w:rPr>
        <w:t xml:space="preserve"> and Hazell</w:t>
      </w:r>
      <w:r w:rsidR="005D1555">
        <w:rPr>
          <w:rFonts w:ascii="Times New Roman" w:hAnsi="Times New Roman" w:cs="Times New Roman"/>
          <w:sz w:val="24"/>
          <w:szCs w:val="24"/>
        </w:rPr>
        <w:t xml:space="preserve"> 2000</w:t>
      </w:r>
      <w:r w:rsidRPr="00CD704D">
        <w:rPr>
          <w:rFonts w:ascii="Times New Roman" w:hAnsi="Times New Roman" w:cs="Times New Roman"/>
          <w:sz w:val="24"/>
          <w:szCs w:val="24"/>
        </w:rPr>
        <w:t>).</w:t>
      </w:r>
      <w:r w:rsidR="00F51C81" w:rsidRPr="00CD704D">
        <w:rPr>
          <w:rFonts w:ascii="Times New Roman" w:hAnsi="Times New Roman" w:cs="Times New Roman"/>
          <w:sz w:val="24"/>
          <w:szCs w:val="24"/>
        </w:rPr>
        <w:t xml:space="preserve"> </w:t>
      </w:r>
      <w:r w:rsidR="00733B68" w:rsidRPr="00CD704D">
        <w:rPr>
          <w:rFonts w:ascii="Times New Roman" w:hAnsi="Times New Roman" w:cs="Times New Roman"/>
          <w:sz w:val="24"/>
          <w:szCs w:val="24"/>
        </w:rPr>
        <w:t xml:space="preserve">The pattern of transformation in Ghana is quite different. Ghana </w:t>
      </w:r>
      <w:r w:rsidR="00821BB4" w:rsidRPr="00CD704D">
        <w:rPr>
          <w:rFonts w:ascii="Times New Roman" w:hAnsi="Times New Roman" w:cs="Times New Roman"/>
          <w:sz w:val="24"/>
          <w:szCs w:val="24"/>
        </w:rPr>
        <w:t>has neither undergone</w:t>
      </w:r>
      <w:r w:rsidR="00733B68" w:rsidRPr="00CD704D">
        <w:rPr>
          <w:rFonts w:ascii="Times New Roman" w:hAnsi="Times New Roman" w:cs="Times New Roman"/>
          <w:sz w:val="24"/>
          <w:szCs w:val="24"/>
        </w:rPr>
        <w:t xml:space="preserve"> a Green Revolution (Nin-Pratt and McBride 2014) </w:t>
      </w:r>
      <w:r w:rsidR="0093043C" w:rsidRPr="00CD704D">
        <w:rPr>
          <w:rFonts w:ascii="Times New Roman" w:hAnsi="Times New Roman" w:cs="Times New Roman"/>
          <w:sz w:val="24"/>
          <w:szCs w:val="24"/>
        </w:rPr>
        <w:t>n</w:t>
      </w:r>
      <w:r w:rsidR="00733B68" w:rsidRPr="00CD704D">
        <w:rPr>
          <w:rFonts w:ascii="Times New Roman" w:hAnsi="Times New Roman" w:cs="Times New Roman"/>
          <w:sz w:val="24"/>
          <w:szCs w:val="24"/>
        </w:rPr>
        <w:t>or an industrial revolution (</w:t>
      </w:r>
      <w:proofErr w:type="spellStart"/>
      <w:r w:rsidR="00733B68" w:rsidRPr="00CD704D">
        <w:rPr>
          <w:rFonts w:ascii="Times New Roman" w:hAnsi="Times New Roman" w:cs="Times New Roman"/>
          <w:sz w:val="24"/>
          <w:szCs w:val="24"/>
        </w:rPr>
        <w:t>Jedwab</w:t>
      </w:r>
      <w:proofErr w:type="spellEnd"/>
      <w:r w:rsidR="00733B68" w:rsidRPr="00CD704D">
        <w:rPr>
          <w:rFonts w:ascii="Times New Roman" w:hAnsi="Times New Roman" w:cs="Times New Roman"/>
          <w:sz w:val="24"/>
          <w:szCs w:val="24"/>
        </w:rPr>
        <w:t xml:space="preserve"> 2013), yet urbanization </w:t>
      </w:r>
      <w:r w:rsidR="004829F2" w:rsidRPr="00CD704D">
        <w:rPr>
          <w:rFonts w:ascii="Times New Roman" w:hAnsi="Times New Roman" w:cs="Times New Roman"/>
          <w:sz w:val="24"/>
          <w:szCs w:val="24"/>
        </w:rPr>
        <w:t>has</w:t>
      </w:r>
      <w:r w:rsidR="001E358D">
        <w:rPr>
          <w:rFonts w:ascii="Times New Roman" w:hAnsi="Times New Roman" w:cs="Times New Roman"/>
          <w:sz w:val="24"/>
          <w:szCs w:val="24"/>
        </w:rPr>
        <w:t xml:space="preserve"> nevertheless</w:t>
      </w:r>
      <w:r w:rsidR="004829F2" w:rsidRPr="00CD704D">
        <w:rPr>
          <w:rFonts w:ascii="Times New Roman" w:hAnsi="Times New Roman" w:cs="Times New Roman"/>
          <w:sz w:val="24"/>
          <w:szCs w:val="24"/>
        </w:rPr>
        <w:t xml:space="preserve"> been rapid.</w:t>
      </w:r>
      <w:r w:rsidR="00795809">
        <w:rPr>
          <w:rFonts w:ascii="Times New Roman" w:hAnsi="Times New Roman" w:cs="Times New Roman"/>
          <w:sz w:val="24"/>
          <w:szCs w:val="24"/>
        </w:rPr>
        <w:t xml:space="preserve"> A similar phenomen</w:t>
      </w:r>
      <w:r w:rsidR="005D1555">
        <w:rPr>
          <w:rFonts w:ascii="Times New Roman" w:hAnsi="Times New Roman" w:cs="Times New Roman"/>
          <w:sz w:val="24"/>
          <w:szCs w:val="24"/>
        </w:rPr>
        <w:t>on</w:t>
      </w:r>
      <w:r w:rsidR="0093043C" w:rsidRPr="00CD704D">
        <w:rPr>
          <w:rFonts w:ascii="Times New Roman" w:hAnsi="Times New Roman" w:cs="Times New Roman"/>
          <w:sz w:val="24"/>
          <w:szCs w:val="24"/>
        </w:rPr>
        <w:t xml:space="preserve"> </w:t>
      </w:r>
      <w:r w:rsidR="008476A8" w:rsidRPr="00CD704D">
        <w:rPr>
          <w:rFonts w:ascii="Times New Roman" w:hAnsi="Times New Roman" w:cs="Times New Roman"/>
          <w:sz w:val="24"/>
          <w:szCs w:val="24"/>
        </w:rPr>
        <w:t xml:space="preserve">has been observed </w:t>
      </w:r>
      <w:r w:rsidR="001E358D">
        <w:rPr>
          <w:rFonts w:ascii="Times New Roman" w:hAnsi="Times New Roman" w:cs="Times New Roman"/>
          <w:sz w:val="24"/>
          <w:szCs w:val="24"/>
        </w:rPr>
        <w:t>in</w:t>
      </w:r>
      <w:r w:rsidR="001E358D" w:rsidRPr="00CD704D">
        <w:rPr>
          <w:rFonts w:ascii="Times New Roman" w:hAnsi="Times New Roman" w:cs="Times New Roman"/>
          <w:sz w:val="24"/>
          <w:szCs w:val="24"/>
        </w:rPr>
        <w:t xml:space="preserve"> </w:t>
      </w:r>
      <w:r w:rsidR="0093043C" w:rsidRPr="00CD704D">
        <w:rPr>
          <w:rFonts w:ascii="Times New Roman" w:hAnsi="Times New Roman" w:cs="Times New Roman"/>
          <w:sz w:val="24"/>
          <w:szCs w:val="24"/>
        </w:rPr>
        <w:t xml:space="preserve">many </w:t>
      </w:r>
      <w:r w:rsidR="004F64B7">
        <w:rPr>
          <w:rFonts w:ascii="Times New Roman" w:hAnsi="Times New Roman" w:cs="Times New Roman"/>
          <w:sz w:val="24"/>
          <w:szCs w:val="24"/>
        </w:rPr>
        <w:t xml:space="preserve">other </w:t>
      </w:r>
      <w:r w:rsidR="0093043C" w:rsidRPr="00CD704D">
        <w:rPr>
          <w:rFonts w:ascii="Times New Roman" w:hAnsi="Times New Roman" w:cs="Times New Roman"/>
          <w:sz w:val="24"/>
          <w:szCs w:val="24"/>
        </w:rPr>
        <w:t>African countries (</w:t>
      </w:r>
      <w:r w:rsidR="008476A8" w:rsidRPr="00CD704D">
        <w:rPr>
          <w:rFonts w:ascii="Times New Roman" w:eastAsia="MS Mincho" w:hAnsi="Times New Roman" w:cs="Times New Roman"/>
          <w:sz w:val="24"/>
          <w:szCs w:val="24"/>
          <w:lang w:eastAsia="ja-JP"/>
        </w:rPr>
        <w:t xml:space="preserve">Headey, </w:t>
      </w:r>
      <w:proofErr w:type="spellStart"/>
      <w:r w:rsidR="008476A8" w:rsidRPr="00CD704D">
        <w:rPr>
          <w:rFonts w:ascii="Times New Roman" w:eastAsia="MS Mincho" w:hAnsi="Times New Roman" w:cs="Times New Roman"/>
          <w:sz w:val="24"/>
          <w:szCs w:val="24"/>
          <w:lang w:eastAsia="ja-JP"/>
        </w:rPr>
        <w:t>Bezemer</w:t>
      </w:r>
      <w:proofErr w:type="spellEnd"/>
      <w:r w:rsidR="008476A8" w:rsidRPr="00CD704D">
        <w:rPr>
          <w:rFonts w:ascii="Times New Roman" w:eastAsia="MS Mincho" w:hAnsi="Times New Roman" w:cs="Times New Roman"/>
          <w:sz w:val="24"/>
          <w:szCs w:val="24"/>
          <w:lang w:eastAsia="ja-JP"/>
        </w:rPr>
        <w:t xml:space="preserve"> and Hazell, 2010</w:t>
      </w:r>
      <w:r w:rsidR="00624D51" w:rsidRPr="00CD704D">
        <w:rPr>
          <w:rFonts w:ascii="Times New Roman" w:eastAsia="MS Mincho" w:hAnsi="Times New Roman" w:cs="Times New Roman"/>
          <w:sz w:val="24"/>
          <w:szCs w:val="24"/>
          <w:lang w:eastAsia="ja-JP"/>
        </w:rPr>
        <w:t xml:space="preserve">; </w:t>
      </w:r>
      <w:r w:rsidR="002C71F6">
        <w:rPr>
          <w:rFonts w:ascii="Times New Roman" w:eastAsia="MS Mincho" w:hAnsi="Times New Roman" w:cs="Times New Roman"/>
          <w:sz w:val="24"/>
          <w:szCs w:val="24"/>
          <w:lang w:eastAsia="ja-JP"/>
        </w:rPr>
        <w:t xml:space="preserve">McMillan and </w:t>
      </w:r>
      <w:proofErr w:type="spellStart"/>
      <w:r w:rsidR="002C71F6">
        <w:rPr>
          <w:rFonts w:ascii="Times New Roman" w:eastAsia="MS Mincho" w:hAnsi="Times New Roman" w:cs="Times New Roman"/>
          <w:sz w:val="24"/>
          <w:szCs w:val="24"/>
          <w:lang w:eastAsia="ja-JP"/>
        </w:rPr>
        <w:t>Rodrik</w:t>
      </w:r>
      <w:proofErr w:type="spellEnd"/>
      <w:r w:rsidR="00D95439">
        <w:rPr>
          <w:rFonts w:ascii="Times New Roman" w:eastAsia="MS Mincho" w:hAnsi="Times New Roman" w:cs="Times New Roman"/>
          <w:sz w:val="24"/>
          <w:szCs w:val="24"/>
          <w:lang w:eastAsia="ja-JP"/>
        </w:rPr>
        <w:t>, 20</w:t>
      </w:r>
      <w:r w:rsidR="005D1555">
        <w:rPr>
          <w:rFonts w:ascii="Times New Roman" w:eastAsia="MS Mincho" w:hAnsi="Times New Roman" w:cs="Times New Roman"/>
          <w:sz w:val="24"/>
          <w:szCs w:val="24"/>
          <w:lang w:eastAsia="ja-JP"/>
        </w:rPr>
        <w:t>11</w:t>
      </w:r>
      <w:r w:rsidR="008476A8" w:rsidRPr="00CD704D">
        <w:rPr>
          <w:rFonts w:ascii="Times New Roman" w:eastAsia="MS Mincho" w:hAnsi="Times New Roman" w:cs="Times New Roman"/>
          <w:sz w:val="24"/>
          <w:szCs w:val="24"/>
          <w:lang w:eastAsia="ja-JP"/>
        </w:rPr>
        <w:t>)</w:t>
      </w:r>
      <w:r w:rsidR="002C71F6">
        <w:rPr>
          <w:rFonts w:ascii="Times New Roman" w:eastAsia="MS Mincho" w:hAnsi="Times New Roman" w:cs="Times New Roman"/>
          <w:sz w:val="24"/>
          <w:szCs w:val="24"/>
          <w:lang w:eastAsia="ja-JP"/>
        </w:rPr>
        <w:t>.</w:t>
      </w:r>
    </w:p>
    <w:p w14:paraId="6FA84274" w14:textId="4DA45212" w:rsidR="00FC094A" w:rsidRPr="00CD704D" w:rsidRDefault="00A95427"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As discussed in </w:t>
      </w:r>
      <w:r w:rsidR="005D7177" w:rsidRPr="00CD704D">
        <w:rPr>
          <w:rFonts w:ascii="Times New Roman" w:hAnsi="Times New Roman" w:cs="Times New Roman"/>
          <w:sz w:val="24"/>
          <w:szCs w:val="24"/>
        </w:rPr>
        <w:t xml:space="preserve">Chapter 2, </w:t>
      </w:r>
      <w:r w:rsidRPr="00CD704D">
        <w:rPr>
          <w:rFonts w:ascii="Times New Roman" w:hAnsi="Times New Roman" w:cs="Times New Roman"/>
          <w:sz w:val="24"/>
          <w:szCs w:val="24"/>
        </w:rPr>
        <w:t>c</w:t>
      </w:r>
      <w:r w:rsidR="00FC094A" w:rsidRPr="00CD704D">
        <w:rPr>
          <w:rFonts w:ascii="Times New Roman" w:hAnsi="Times New Roman" w:cs="Times New Roman"/>
          <w:sz w:val="24"/>
          <w:szCs w:val="24"/>
        </w:rPr>
        <w:t xml:space="preserve">ocoa, gold and oil </w:t>
      </w:r>
      <w:r w:rsidRPr="00CD704D">
        <w:rPr>
          <w:rFonts w:ascii="Times New Roman" w:hAnsi="Times New Roman" w:cs="Times New Roman"/>
          <w:sz w:val="24"/>
          <w:szCs w:val="24"/>
        </w:rPr>
        <w:t xml:space="preserve">continue to </w:t>
      </w:r>
      <w:r w:rsidR="00FC094A" w:rsidRPr="00CD704D">
        <w:rPr>
          <w:rFonts w:ascii="Times New Roman" w:hAnsi="Times New Roman" w:cs="Times New Roman"/>
          <w:sz w:val="24"/>
          <w:szCs w:val="24"/>
        </w:rPr>
        <w:t xml:space="preserve">account for </w:t>
      </w:r>
      <w:r w:rsidR="001E358D">
        <w:rPr>
          <w:rFonts w:ascii="Times New Roman" w:hAnsi="Times New Roman" w:cs="Times New Roman"/>
          <w:sz w:val="24"/>
          <w:szCs w:val="24"/>
        </w:rPr>
        <w:t>about</w:t>
      </w:r>
      <w:r w:rsidR="004829F2" w:rsidRPr="00CD704D">
        <w:rPr>
          <w:rFonts w:ascii="Times New Roman" w:hAnsi="Times New Roman" w:cs="Times New Roman"/>
          <w:sz w:val="24"/>
          <w:szCs w:val="24"/>
        </w:rPr>
        <w:t xml:space="preserve"> </w:t>
      </w:r>
      <w:r w:rsidR="00FC094A" w:rsidRPr="00CD704D">
        <w:rPr>
          <w:rFonts w:ascii="Times New Roman" w:hAnsi="Times New Roman" w:cs="Times New Roman"/>
          <w:sz w:val="24"/>
          <w:szCs w:val="24"/>
        </w:rPr>
        <w:t>80</w:t>
      </w:r>
      <w:r w:rsidR="0069066A" w:rsidRPr="00CD704D">
        <w:rPr>
          <w:rFonts w:ascii="Times New Roman" w:hAnsi="Times New Roman" w:cs="Times New Roman"/>
          <w:sz w:val="24"/>
          <w:szCs w:val="24"/>
        </w:rPr>
        <w:t xml:space="preserve"> percent</w:t>
      </w:r>
      <w:r w:rsidR="00FC094A" w:rsidRPr="00CD704D">
        <w:rPr>
          <w:rFonts w:ascii="Times New Roman" w:hAnsi="Times New Roman" w:cs="Times New Roman"/>
          <w:sz w:val="24"/>
          <w:szCs w:val="24"/>
        </w:rPr>
        <w:t xml:space="preserve"> of Ghana’s exports </w:t>
      </w:r>
      <w:r w:rsidR="0093043C" w:rsidRPr="00CD704D">
        <w:rPr>
          <w:rFonts w:ascii="Times New Roman" w:hAnsi="Times New Roman" w:cs="Times New Roman"/>
          <w:sz w:val="24"/>
          <w:szCs w:val="24"/>
        </w:rPr>
        <w:t>while</w:t>
      </w:r>
      <w:r w:rsidR="005D7177" w:rsidRPr="00CD704D">
        <w:rPr>
          <w:rFonts w:ascii="Times New Roman" w:hAnsi="Times New Roman" w:cs="Times New Roman"/>
          <w:sz w:val="24"/>
          <w:szCs w:val="24"/>
        </w:rPr>
        <w:t xml:space="preserve"> </w:t>
      </w:r>
      <w:r w:rsidR="00EE066D" w:rsidRPr="00CD704D">
        <w:rPr>
          <w:rFonts w:ascii="Times New Roman" w:hAnsi="Times New Roman" w:cs="Times New Roman"/>
          <w:sz w:val="24"/>
          <w:szCs w:val="24"/>
        </w:rPr>
        <w:t>manufacturing growth</w:t>
      </w:r>
      <w:r w:rsidR="005D7177" w:rsidRPr="00CD704D">
        <w:rPr>
          <w:rFonts w:ascii="Times New Roman" w:hAnsi="Times New Roman" w:cs="Times New Roman"/>
          <w:sz w:val="24"/>
          <w:szCs w:val="24"/>
        </w:rPr>
        <w:t xml:space="preserve"> remains stagnant</w:t>
      </w:r>
      <w:r w:rsidR="00FC094A" w:rsidRPr="00CD704D">
        <w:rPr>
          <w:rFonts w:ascii="Times New Roman" w:hAnsi="Times New Roman" w:cs="Times New Roman"/>
          <w:sz w:val="24"/>
          <w:szCs w:val="24"/>
        </w:rPr>
        <w:t xml:space="preserve"> (</w:t>
      </w:r>
      <w:proofErr w:type="spellStart"/>
      <w:r w:rsidR="00FC094A" w:rsidRPr="00CD704D">
        <w:rPr>
          <w:rFonts w:ascii="Times New Roman" w:hAnsi="Times New Roman" w:cs="Times New Roman"/>
          <w:sz w:val="24"/>
          <w:szCs w:val="24"/>
        </w:rPr>
        <w:t>Aryeteey</w:t>
      </w:r>
      <w:proofErr w:type="spellEnd"/>
      <w:r w:rsidR="00FC094A" w:rsidRPr="00CD704D">
        <w:rPr>
          <w:rFonts w:ascii="Times New Roman" w:hAnsi="Times New Roman" w:cs="Times New Roman"/>
          <w:sz w:val="24"/>
          <w:szCs w:val="24"/>
        </w:rPr>
        <w:t xml:space="preserve"> and </w:t>
      </w:r>
      <w:proofErr w:type="spellStart"/>
      <w:r w:rsidR="00FC094A" w:rsidRPr="00CD704D">
        <w:rPr>
          <w:rFonts w:ascii="Times New Roman" w:hAnsi="Times New Roman" w:cs="Times New Roman"/>
          <w:sz w:val="24"/>
          <w:szCs w:val="24"/>
        </w:rPr>
        <w:t>Baah-Boateng</w:t>
      </w:r>
      <w:proofErr w:type="spellEnd"/>
      <w:r w:rsidR="00FC094A" w:rsidRPr="00CD704D">
        <w:rPr>
          <w:rFonts w:ascii="Times New Roman" w:hAnsi="Times New Roman" w:cs="Times New Roman"/>
          <w:sz w:val="24"/>
          <w:szCs w:val="24"/>
        </w:rPr>
        <w:t xml:space="preserve"> 2015). Urbanization without industrialization </w:t>
      </w:r>
      <w:r w:rsidR="00624D51" w:rsidRPr="00CD704D">
        <w:rPr>
          <w:rFonts w:ascii="Times New Roman" w:hAnsi="Times New Roman" w:cs="Times New Roman"/>
          <w:sz w:val="24"/>
          <w:szCs w:val="24"/>
        </w:rPr>
        <w:t xml:space="preserve">has led to </w:t>
      </w:r>
      <w:r w:rsidR="00FC094A" w:rsidRPr="00CD704D">
        <w:rPr>
          <w:rFonts w:ascii="Times New Roman" w:hAnsi="Times New Roman" w:cs="Times New Roman"/>
          <w:sz w:val="24"/>
          <w:szCs w:val="24"/>
        </w:rPr>
        <w:t>the rise of “consumption cities” dominated by employment in non-tradable services (</w:t>
      </w:r>
      <w:proofErr w:type="spellStart"/>
      <w:r w:rsidR="00FC094A" w:rsidRPr="00CD704D">
        <w:rPr>
          <w:rFonts w:ascii="Times New Roman" w:hAnsi="Times New Roman" w:cs="Times New Roman"/>
          <w:sz w:val="24"/>
          <w:szCs w:val="24"/>
        </w:rPr>
        <w:t>Gollin</w:t>
      </w:r>
      <w:proofErr w:type="spellEnd"/>
      <w:r w:rsidR="00FC094A" w:rsidRPr="00CD704D">
        <w:rPr>
          <w:rFonts w:ascii="Times New Roman" w:hAnsi="Times New Roman" w:cs="Times New Roman"/>
          <w:sz w:val="24"/>
          <w:szCs w:val="24"/>
        </w:rPr>
        <w:t xml:space="preserve">, </w:t>
      </w:r>
      <w:proofErr w:type="spellStart"/>
      <w:r w:rsidR="00FC094A" w:rsidRPr="00CD704D">
        <w:rPr>
          <w:rFonts w:ascii="Times New Roman" w:hAnsi="Times New Roman" w:cs="Times New Roman"/>
          <w:sz w:val="24"/>
          <w:szCs w:val="24"/>
        </w:rPr>
        <w:t>Jedwab</w:t>
      </w:r>
      <w:proofErr w:type="spellEnd"/>
      <w:r w:rsidR="00FC094A" w:rsidRPr="00CD704D">
        <w:rPr>
          <w:rFonts w:ascii="Times New Roman" w:hAnsi="Times New Roman" w:cs="Times New Roman"/>
          <w:sz w:val="24"/>
          <w:szCs w:val="24"/>
        </w:rPr>
        <w:t xml:space="preserve"> and </w:t>
      </w:r>
      <w:proofErr w:type="spellStart"/>
      <w:r w:rsidR="00FC094A" w:rsidRPr="00CD704D">
        <w:rPr>
          <w:rFonts w:ascii="Times New Roman" w:hAnsi="Times New Roman" w:cs="Times New Roman"/>
          <w:sz w:val="24"/>
          <w:szCs w:val="24"/>
        </w:rPr>
        <w:t>Vollrath</w:t>
      </w:r>
      <w:proofErr w:type="spellEnd"/>
      <w:r w:rsidR="00624D51" w:rsidRPr="00CD704D">
        <w:rPr>
          <w:rFonts w:ascii="Times New Roman" w:hAnsi="Times New Roman" w:cs="Times New Roman"/>
          <w:sz w:val="24"/>
          <w:szCs w:val="24"/>
        </w:rPr>
        <w:t>,</w:t>
      </w:r>
      <w:r w:rsidR="00FC094A" w:rsidRPr="00CD704D">
        <w:rPr>
          <w:rFonts w:ascii="Times New Roman" w:hAnsi="Times New Roman" w:cs="Times New Roman"/>
          <w:sz w:val="24"/>
          <w:szCs w:val="24"/>
        </w:rPr>
        <w:t xml:space="preserve"> 2013).</w:t>
      </w:r>
      <w:r w:rsidR="00EE066D" w:rsidRPr="00CD704D">
        <w:rPr>
          <w:rFonts w:ascii="Times New Roman" w:hAnsi="Times New Roman" w:cs="Times New Roman"/>
          <w:sz w:val="24"/>
          <w:szCs w:val="24"/>
        </w:rPr>
        <w:t xml:space="preserve">  </w:t>
      </w:r>
      <w:r w:rsidR="0093043C" w:rsidRPr="00CD704D">
        <w:rPr>
          <w:rFonts w:ascii="Times New Roman" w:hAnsi="Times New Roman" w:cs="Times New Roman"/>
          <w:sz w:val="24"/>
          <w:szCs w:val="24"/>
        </w:rPr>
        <w:t xml:space="preserve">One </w:t>
      </w:r>
      <w:r w:rsidR="00EE066D" w:rsidRPr="00CD704D">
        <w:rPr>
          <w:rFonts w:ascii="Times New Roman" w:hAnsi="Times New Roman" w:cs="Times New Roman"/>
          <w:sz w:val="24"/>
          <w:szCs w:val="24"/>
        </w:rPr>
        <w:t xml:space="preserve">consequence of </w:t>
      </w:r>
      <w:r w:rsidR="004829F2" w:rsidRPr="00CD704D">
        <w:rPr>
          <w:rFonts w:ascii="Times New Roman" w:hAnsi="Times New Roman" w:cs="Times New Roman"/>
          <w:sz w:val="24"/>
          <w:szCs w:val="24"/>
        </w:rPr>
        <w:t xml:space="preserve">this </w:t>
      </w:r>
      <w:r w:rsidR="00EE066D" w:rsidRPr="00CD704D">
        <w:rPr>
          <w:rFonts w:ascii="Times New Roman" w:hAnsi="Times New Roman" w:cs="Times New Roman"/>
          <w:sz w:val="24"/>
          <w:szCs w:val="24"/>
        </w:rPr>
        <w:t xml:space="preserve">type of urbanization is that the economy </w:t>
      </w:r>
      <w:r w:rsidR="0093043C" w:rsidRPr="00CD704D">
        <w:rPr>
          <w:rFonts w:ascii="Times New Roman" w:hAnsi="Times New Roman" w:cs="Times New Roman"/>
          <w:sz w:val="24"/>
          <w:szCs w:val="24"/>
        </w:rPr>
        <w:t xml:space="preserve">is bypassing </w:t>
      </w:r>
      <w:r w:rsidR="00EE066D" w:rsidRPr="00CD704D">
        <w:rPr>
          <w:rFonts w:ascii="Times New Roman" w:hAnsi="Times New Roman" w:cs="Times New Roman"/>
          <w:sz w:val="24"/>
          <w:szCs w:val="24"/>
        </w:rPr>
        <w:t>a stage of abundant low-wage agricultural labor</w:t>
      </w:r>
      <w:r w:rsidR="0069066A" w:rsidRPr="00CD704D">
        <w:rPr>
          <w:rFonts w:ascii="Times New Roman" w:hAnsi="Times New Roman" w:cs="Times New Roman"/>
          <w:sz w:val="24"/>
          <w:szCs w:val="24"/>
        </w:rPr>
        <w:t>, which i</w:t>
      </w:r>
      <w:r w:rsidR="002C71F6">
        <w:rPr>
          <w:rFonts w:ascii="Times New Roman" w:hAnsi="Times New Roman" w:cs="Times New Roman"/>
          <w:sz w:val="24"/>
          <w:szCs w:val="24"/>
        </w:rPr>
        <w:t xml:space="preserve">n Asia was </w:t>
      </w:r>
      <w:r w:rsidR="0069066A" w:rsidRPr="00CD704D">
        <w:rPr>
          <w:rFonts w:ascii="Times New Roman" w:hAnsi="Times New Roman" w:cs="Times New Roman"/>
          <w:sz w:val="24"/>
          <w:szCs w:val="24"/>
        </w:rPr>
        <w:t xml:space="preserve">key to driving </w:t>
      </w:r>
      <w:r w:rsidR="005D7177" w:rsidRPr="00CD704D">
        <w:rPr>
          <w:rFonts w:ascii="Times New Roman" w:hAnsi="Times New Roman" w:cs="Times New Roman"/>
          <w:sz w:val="24"/>
          <w:szCs w:val="24"/>
        </w:rPr>
        <w:t>agricultural intensification (</w:t>
      </w:r>
      <w:r w:rsidR="0093043C" w:rsidRPr="00CD704D">
        <w:rPr>
          <w:rFonts w:ascii="Times New Roman" w:hAnsi="Times New Roman" w:cs="Times New Roman"/>
          <w:sz w:val="24"/>
          <w:szCs w:val="24"/>
        </w:rPr>
        <w:t>Nin-Pratt and McBride</w:t>
      </w:r>
      <w:r w:rsidR="002C71F6">
        <w:rPr>
          <w:rFonts w:ascii="Times New Roman" w:hAnsi="Times New Roman" w:cs="Times New Roman"/>
          <w:sz w:val="24"/>
          <w:szCs w:val="24"/>
        </w:rPr>
        <w:t>,</w:t>
      </w:r>
      <w:r w:rsidR="0093043C" w:rsidRPr="00CD704D">
        <w:rPr>
          <w:rFonts w:ascii="Times New Roman" w:hAnsi="Times New Roman" w:cs="Times New Roman"/>
          <w:sz w:val="24"/>
          <w:szCs w:val="24"/>
        </w:rPr>
        <w:t xml:space="preserve"> 2014</w:t>
      </w:r>
      <w:r w:rsidR="002C71F6">
        <w:rPr>
          <w:rFonts w:ascii="Times New Roman" w:hAnsi="Times New Roman" w:cs="Times New Roman"/>
          <w:sz w:val="24"/>
          <w:szCs w:val="24"/>
        </w:rPr>
        <w:t>)</w:t>
      </w:r>
      <w:r w:rsidR="0093043C" w:rsidRPr="00CD704D">
        <w:rPr>
          <w:rFonts w:ascii="Times New Roman" w:hAnsi="Times New Roman" w:cs="Times New Roman"/>
          <w:sz w:val="24"/>
          <w:szCs w:val="24"/>
        </w:rPr>
        <w:t>.</w:t>
      </w:r>
      <w:r w:rsidR="00EE066D" w:rsidRPr="00CD704D">
        <w:rPr>
          <w:rFonts w:ascii="Times New Roman" w:hAnsi="Times New Roman" w:cs="Times New Roman"/>
          <w:sz w:val="24"/>
          <w:szCs w:val="24"/>
        </w:rPr>
        <w:t xml:space="preserve"> Instead, high population-density rural areas </w:t>
      </w:r>
      <w:r w:rsidR="0093043C" w:rsidRPr="00CD704D">
        <w:rPr>
          <w:rFonts w:ascii="Times New Roman" w:hAnsi="Times New Roman" w:cs="Times New Roman"/>
          <w:sz w:val="24"/>
          <w:szCs w:val="24"/>
        </w:rPr>
        <w:t xml:space="preserve">are </w:t>
      </w:r>
      <w:r w:rsidR="00EE066D" w:rsidRPr="00CD704D">
        <w:rPr>
          <w:rFonts w:ascii="Times New Roman" w:hAnsi="Times New Roman" w:cs="Times New Roman"/>
          <w:sz w:val="24"/>
          <w:szCs w:val="24"/>
        </w:rPr>
        <w:t>emerg</w:t>
      </w:r>
      <w:r w:rsidR="0093043C" w:rsidRPr="00CD704D">
        <w:rPr>
          <w:rFonts w:ascii="Times New Roman" w:hAnsi="Times New Roman" w:cs="Times New Roman"/>
          <w:sz w:val="24"/>
          <w:szCs w:val="24"/>
        </w:rPr>
        <w:t>ing</w:t>
      </w:r>
      <w:r w:rsidR="00EE066D" w:rsidRPr="00CD704D">
        <w:rPr>
          <w:rFonts w:ascii="Times New Roman" w:hAnsi="Times New Roman" w:cs="Times New Roman"/>
          <w:sz w:val="24"/>
          <w:szCs w:val="24"/>
        </w:rPr>
        <w:t xml:space="preserve"> around consumption cities</w:t>
      </w:r>
      <w:r w:rsidR="0093043C" w:rsidRPr="00CD704D">
        <w:rPr>
          <w:rFonts w:ascii="Times New Roman" w:hAnsi="Times New Roman" w:cs="Times New Roman"/>
          <w:sz w:val="24"/>
          <w:szCs w:val="24"/>
        </w:rPr>
        <w:t xml:space="preserve"> where</w:t>
      </w:r>
      <w:r w:rsidR="004829F2" w:rsidRPr="00CD704D">
        <w:rPr>
          <w:rFonts w:ascii="Times New Roman" w:hAnsi="Times New Roman" w:cs="Times New Roman"/>
          <w:sz w:val="24"/>
          <w:szCs w:val="24"/>
        </w:rPr>
        <w:t xml:space="preserve"> </w:t>
      </w:r>
      <w:r w:rsidR="00EE066D" w:rsidRPr="00CD704D">
        <w:rPr>
          <w:rFonts w:ascii="Times New Roman" w:hAnsi="Times New Roman" w:cs="Times New Roman"/>
          <w:sz w:val="24"/>
          <w:szCs w:val="24"/>
        </w:rPr>
        <w:t xml:space="preserve">households </w:t>
      </w:r>
      <w:r w:rsidR="0093043C" w:rsidRPr="00CD704D">
        <w:rPr>
          <w:rFonts w:ascii="Times New Roman" w:hAnsi="Times New Roman" w:cs="Times New Roman"/>
          <w:sz w:val="24"/>
          <w:szCs w:val="24"/>
        </w:rPr>
        <w:t xml:space="preserve">are </w:t>
      </w:r>
      <w:r w:rsidR="00EE066D" w:rsidRPr="00CD704D">
        <w:rPr>
          <w:rFonts w:ascii="Times New Roman" w:hAnsi="Times New Roman" w:cs="Times New Roman"/>
          <w:sz w:val="24"/>
          <w:szCs w:val="24"/>
        </w:rPr>
        <w:t>diversify</w:t>
      </w:r>
      <w:r w:rsidR="0093043C" w:rsidRPr="00CD704D">
        <w:rPr>
          <w:rFonts w:ascii="Times New Roman" w:hAnsi="Times New Roman" w:cs="Times New Roman"/>
          <w:sz w:val="24"/>
          <w:szCs w:val="24"/>
        </w:rPr>
        <w:t>ing their livelihoods</w:t>
      </w:r>
      <w:r w:rsidR="00EE066D" w:rsidRPr="00CD704D">
        <w:rPr>
          <w:rFonts w:ascii="Times New Roman" w:hAnsi="Times New Roman" w:cs="Times New Roman"/>
          <w:sz w:val="24"/>
          <w:szCs w:val="24"/>
        </w:rPr>
        <w:t xml:space="preserve"> </w:t>
      </w:r>
      <w:r w:rsidR="0069066A" w:rsidRPr="00CD704D">
        <w:rPr>
          <w:rFonts w:ascii="Times New Roman" w:hAnsi="Times New Roman" w:cs="Times New Roman"/>
          <w:sz w:val="24"/>
          <w:szCs w:val="24"/>
        </w:rPr>
        <w:t>into</w:t>
      </w:r>
      <w:r w:rsidR="00EE066D" w:rsidRPr="00CD704D">
        <w:rPr>
          <w:rFonts w:ascii="Times New Roman" w:hAnsi="Times New Roman" w:cs="Times New Roman"/>
          <w:sz w:val="24"/>
          <w:szCs w:val="24"/>
        </w:rPr>
        <w:t xml:space="preserve"> the rural nonfarm economy</w:t>
      </w:r>
      <w:r w:rsidR="00497732">
        <w:rPr>
          <w:rFonts w:ascii="Times New Roman" w:hAnsi="Times New Roman" w:cs="Times New Roman"/>
          <w:sz w:val="24"/>
          <w:szCs w:val="24"/>
        </w:rPr>
        <w:t xml:space="preserve"> rather than pursuing agricultural intensification</w:t>
      </w:r>
      <w:r w:rsidR="00EE066D" w:rsidRPr="00CD704D">
        <w:rPr>
          <w:rFonts w:ascii="Times New Roman" w:hAnsi="Times New Roman" w:cs="Times New Roman"/>
          <w:sz w:val="24"/>
          <w:szCs w:val="24"/>
        </w:rPr>
        <w:t xml:space="preserve">. </w:t>
      </w:r>
    </w:p>
    <w:p w14:paraId="3F2956E6" w14:textId="37176F87" w:rsidR="00EE066D" w:rsidRPr="00CD704D" w:rsidRDefault="00EE066D"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Another important factor preventing a Green Revolution in Ghana </w:t>
      </w:r>
      <w:r w:rsidR="005D7177" w:rsidRPr="00CD704D">
        <w:rPr>
          <w:rFonts w:ascii="Times New Roman" w:hAnsi="Times New Roman" w:cs="Times New Roman"/>
          <w:sz w:val="24"/>
          <w:szCs w:val="24"/>
        </w:rPr>
        <w:t xml:space="preserve">has been </w:t>
      </w:r>
      <w:r w:rsidRPr="00CD704D">
        <w:rPr>
          <w:rFonts w:ascii="Times New Roman" w:hAnsi="Times New Roman" w:cs="Times New Roman"/>
          <w:sz w:val="24"/>
          <w:szCs w:val="24"/>
        </w:rPr>
        <w:t xml:space="preserve">the </w:t>
      </w:r>
      <w:r w:rsidR="004374A7" w:rsidRPr="00CD704D">
        <w:rPr>
          <w:rFonts w:ascii="Times New Roman" w:hAnsi="Times New Roman" w:cs="Times New Roman"/>
          <w:sz w:val="24"/>
          <w:szCs w:val="24"/>
        </w:rPr>
        <w:t>relative abundan</w:t>
      </w:r>
      <w:r w:rsidR="005D7177" w:rsidRPr="00CD704D">
        <w:rPr>
          <w:rFonts w:ascii="Times New Roman" w:hAnsi="Times New Roman" w:cs="Times New Roman"/>
          <w:sz w:val="24"/>
          <w:szCs w:val="24"/>
        </w:rPr>
        <w:t xml:space="preserve">ce of </w:t>
      </w:r>
      <w:r w:rsidR="004374A7" w:rsidRPr="00CD704D">
        <w:rPr>
          <w:rFonts w:ascii="Times New Roman" w:hAnsi="Times New Roman" w:cs="Times New Roman"/>
          <w:sz w:val="24"/>
          <w:szCs w:val="24"/>
        </w:rPr>
        <w:t xml:space="preserve">land </w:t>
      </w:r>
      <w:r w:rsidR="005D7177" w:rsidRPr="00CD704D">
        <w:rPr>
          <w:rFonts w:ascii="Times New Roman" w:hAnsi="Times New Roman" w:cs="Times New Roman"/>
          <w:sz w:val="24"/>
          <w:szCs w:val="24"/>
        </w:rPr>
        <w:t xml:space="preserve">in the main agricultural areas (Chapter </w:t>
      </w:r>
      <w:r w:rsidR="0069066A" w:rsidRPr="00CD704D">
        <w:rPr>
          <w:rFonts w:ascii="Times New Roman" w:hAnsi="Times New Roman" w:cs="Times New Roman"/>
          <w:sz w:val="24"/>
          <w:szCs w:val="24"/>
        </w:rPr>
        <w:t>4</w:t>
      </w:r>
      <w:r w:rsidR="005D7177" w:rsidRPr="00CD704D">
        <w:rPr>
          <w:rFonts w:ascii="Times New Roman" w:hAnsi="Times New Roman" w:cs="Times New Roman"/>
          <w:sz w:val="24"/>
          <w:szCs w:val="24"/>
        </w:rPr>
        <w:t xml:space="preserve">). </w:t>
      </w:r>
      <w:r w:rsidR="00624D51" w:rsidRPr="00CD704D">
        <w:rPr>
          <w:rFonts w:ascii="Times New Roman" w:hAnsi="Times New Roman" w:cs="Times New Roman"/>
          <w:sz w:val="24"/>
          <w:szCs w:val="24"/>
        </w:rPr>
        <w:t xml:space="preserve">Given high </w:t>
      </w:r>
      <w:r w:rsidR="00624D51" w:rsidRPr="00CD704D">
        <w:rPr>
          <w:rFonts w:ascii="Times New Roman" w:hAnsi="Times New Roman" w:cs="Times New Roman"/>
          <w:sz w:val="24"/>
          <w:szCs w:val="24"/>
        </w:rPr>
        <w:lastRenderedPageBreak/>
        <w:t>labor costs, farmers are spurning</w:t>
      </w:r>
      <w:r w:rsidR="0069066A" w:rsidRPr="00CD704D">
        <w:rPr>
          <w:rFonts w:ascii="Times New Roman" w:hAnsi="Times New Roman" w:cs="Times New Roman"/>
          <w:sz w:val="24"/>
          <w:szCs w:val="24"/>
        </w:rPr>
        <w:t xml:space="preserve"> </w:t>
      </w:r>
      <w:r w:rsidR="00624D51" w:rsidRPr="00CD704D">
        <w:rPr>
          <w:rFonts w:ascii="Times New Roman" w:hAnsi="Times New Roman" w:cs="Times New Roman"/>
          <w:sz w:val="24"/>
          <w:szCs w:val="24"/>
        </w:rPr>
        <w:t xml:space="preserve">the </w:t>
      </w:r>
      <w:r w:rsidR="0069066A" w:rsidRPr="00CD704D">
        <w:rPr>
          <w:rFonts w:ascii="Times New Roman" w:hAnsi="Times New Roman" w:cs="Times New Roman"/>
          <w:sz w:val="24"/>
          <w:szCs w:val="24"/>
        </w:rPr>
        <w:t>labor intensive and yield increasing technologies</w:t>
      </w:r>
      <w:r w:rsidR="00624D51" w:rsidRPr="00CD704D">
        <w:rPr>
          <w:rFonts w:ascii="Times New Roman" w:hAnsi="Times New Roman" w:cs="Times New Roman"/>
          <w:sz w:val="24"/>
          <w:szCs w:val="24"/>
        </w:rPr>
        <w:t xml:space="preserve"> of the </w:t>
      </w:r>
      <w:r w:rsidR="002C71F6">
        <w:rPr>
          <w:rFonts w:ascii="Times New Roman" w:hAnsi="Times New Roman" w:cs="Times New Roman"/>
          <w:sz w:val="24"/>
          <w:szCs w:val="24"/>
        </w:rPr>
        <w:t>G</w:t>
      </w:r>
      <w:r w:rsidR="00624D51" w:rsidRPr="00CD704D">
        <w:rPr>
          <w:rFonts w:ascii="Times New Roman" w:hAnsi="Times New Roman" w:cs="Times New Roman"/>
          <w:sz w:val="24"/>
          <w:szCs w:val="24"/>
        </w:rPr>
        <w:t xml:space="preserve">reen </w:t>
      </w:r>
      <w:r w:rsidR="002C71F6">
        <w:rPr>
          <w:rFonts w:ascii="Times New Roman" w:hAnsi="Times New Roman" w:cs="Times New Roman"/>
          <w:sz w:val="24"/>
          <w:szCs w:val="24"/>
        </w:rPr>
        <w:t>R</w:t>
      </w:r>
      <w:r w:rsidR="00624D51" w:rsidRPr="00CD704D">
        <w:rPr>
          <w:rFonts w:ascii="Times New Roman" w:hAnsi="Times New Roman" w:cs="Times New Roman"/>
          <w:sz w:val="24"/>
          <w:szCs w:val="24"/>
        </w:rPr>
        <w:t>evolution</w:t>
      </w:r>
      <w:r w:rsidR="0069066A" w:rsidRPr="00CD704D">
        <w:rPr>
          <w:rFonts w:ascii="Times New Roman" w:hAnsi="Times New Roman" w:cs="Times New Roman"/>
          <w:sz w:val="24"/>
          <w:szCs w:val="24"/>
        </w:rPr>
        <w:t xml:space="preserve">, </w:t>
      </w:r>
      <w:r w:rsidR="00624D51" w:rsidRPr="00CD704D">
        <w:rPr>
          <w:rFonts w:ascii="Times New Roman" w:hAnsi="Times New Roman" w:cs="Times New Roman"/>
          <w:sz w:val="24"/>
          <w:szCs w:val="24"/>
        </w:rPr>
        <w:t xml:space="preserve">and </w:t>
      </w:r>
      <w:r w:rsidR="0069066A" w:rsidRPr="00CD704D">
        <w:rPr>
          <w:rFonts w:ascii="Times New Roman" w:hAnsi="Times New Roman" w:cs="Times New Roman"/>
          <w:sz w:val="24"/>
          <w:szCs w:val="24"/>
        </w:rPr>
        <w:t xml:space="preserve">instead </w:t>
      </w:r>
      <w:r w:rsidR="00D95439">
        <w:rPr>
          <w:rFonts w:ascii="Times New Roman" w:hAnsi="Times New Roman" w:cs="Times New Roman"/>
          <w:sz w:val="24"/>
          <w:szCs w:val="24"/>
        </w:rPr>
        <w:t xml:space="preserve">are </w:t>
      </w:r>
      <w:r w:rsidR="0069066A" w:rsidRPr="00CD704D">
        <w:rPr>
          <w:rFonts w:ascii="Times New Roman" w:hAnsi="Times New Roman" w:cs="Times New Roman"/>
          <w:sz w:val="24"/>
          <w:szCs w:val="24"/>
        </w:rPr>
        <w:t xml:space="preserve">opting to expand their cultivated area by clearing new land or shortening traditional slash-and-burn fallows, and </w:t>
      </w:r>
      <w:r w:rsidR="00D95439">
        <w:rPr>
          <w:rFonts w:ascii="Times New Roman" w:hAnsi="Times New Roman" w:cs="Times New Roman"/>
          <w:sz w:val="24"/>
          <w:szCs w:val="24"/>
        </w:rPr>
        <w:t xml:space="preserve">adopting </w:t>
      </w:r>
      <w:r w:rsidR="0069066A" w:rsidRPr="00CD704D">
        <w:rPr>
          <w:rFonts w:ascii="Times New Roman" w:hAnsi="Times New Roman" w:cs="Times New Roman"/>
          <w:sz w:val="24"/>
          <w:szCs w:val="24"/>
        </w:rPr>
        <w:t>labor saving technologies</w:t>
      </w:r>
      <w:r w:rsidRPr="00CD704D">
        <w:rPr>
          <w:rFonts w:ascii="Times New Roman" w:hAnsi="Times New Roman" w:cs="Times New Roman"/>
          <w:sz w:val="24"/>
          <w:szCs w:val="24"/>
        </w:rPr>
        <w:t xml:space="preserve"> (Nin-Pratt and McBride</w:t>
      </w:r>
      <w:r w:rsidR="00624D51" w:rsidRPr="00CD704D">
        <w:rPr>
          <w:rFonts w:ascii="Times New Roman" w:hAnsi="Times New Roman" w:cs="Times New Roman"/>
          <w:sz w:val="24"/>
          <w:szCs w:val="24"/>
        </w:rPr>
        <w:t>,</w:t>
      </w:r>
      <w:r w:rsidRPr="00CD704D">
        <w:rPr>
          <w:rFonts w:ascii="Times New Roman" w:hAnsi="Times New Roman" w:cs="Times New Roman"/>
          <w:sz w:val="24"/>
          <w:szCs w:val="24"/>
        </w:rPr>
        <w:t xml:space="preserve"> 2014</w:t>
      </w:r>
      <w:r w:rsidR="00624D51" w:rsidRPr="00CD704D">
        <w:rPr>
          <w:rFonts w:ascii="Times New Roman" w:hAnsi="Times New Roman" w:cs="Times New Roman"/>
          <w:sz w:val="24"/>
          <w:szCs w:val="24"/>
        </w:rPr>
        <w:t xml:space="preserve">; </w:t>
      </w:r>
      <w:r w:rsidR="001E358D">
        <w:rPr>
          <w:rFonts w:ascii="Times New Roman" w:hAnsi="Times New Roman" w:cs="Times New Roman"/>
          <w:sz w:val="24"/>
          <w:szCs w:val="24"/>
        </w:rPr>
        <w:t>C</w:t>
      </w:r>
      <w:r w:rsidR="00624D51" w:rsidRPr="00CD704D">
        <w:rPr>
          <w:rFonts w:ascii="Times New Roman" w:hAnsi="Times New Roman" w:cs="Times New Roman"/>
          <w:sz w:val="24"/>
          <w:szCs w:val="24"/>
        </w:rPr>
        <w:t xml:space="preserve">hapters 4 and </w:t>
      </w:r>
      <w:r w:rsidR="00D52F18">
        <w:rPr>
          <w:rFonts w:ascii="Times New Roman" w:hAnsi="Times New Roman" w:cs="Times New Roman"/>
          <w:sz w:val="24"/>
          <w:szCs w:val="24"/>
        </w:rPr>
        <w:t>7</w:t>
      </w:r>
      <w:r w:rsidRPr="00CD704D">
        <w:rPr>
          <w:rFonts w:ascii="Times New Roman" w:hAnsi="Times New Roman" w:cs="Times New Roman"/>
          <w:sz w:val="24"/>
          <w:szCs w:val="24"/>
        </w:rPr>
        <w:t xml:space="preserve">). </w:t>
      </w:r>
    </w:p>
    <w:p w14:paraId="164F92BF" w14:textId="07FDECED" w:rsidR="00F35A72" w:rsidRPr="00CD704D" w:rsidRDefault="001857A1"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T</w:t>
      </w:r>
      <w:r w:rsidR="00D03966" w:rsidRPr="00CD704D">
        <w:rPr>
          <w:rFonts w:ascii="Times New Roman" w:hAnsi="Times New Roman" w:cs="Times New Roman"/>
          <w:sz w:val="24"/>
          <w:szCs w:val="24"/>
        </w:rPr>
        <w:t xml:space="preserve">his chapter </w:t>
      </w:r>
      <w:r w:rsidR="00624D51" w:rsidRPr="00CD704D">
        <w:rPr>
          <w:rFonts w:ascii="Times New Roman" w:hAnsi="Times New Roman" w:cs="Times New Roman"/>
          <w:sz w:val="24"/>
          <w:szCs w:val="24"/>
        </w:rPr>
        <w:t xml:space="preserve">explores how </w:t>
      </w:r>
      <w:r w:rsidR="00F171F8" w:rsidRPr="00CD704D">
        <w:rPr>
          <w:rFonts w:ascii="Times New Roman" w:hAnsi="Times New Roman" w:cs="Times New Roman"/>
          <w:sz w:val="24"/>
          <w:szCs w:val="24"/>
        </w:rPr>
        <w:t xml:space="preserve">urbanization </w:t>
      </w:r>
      <w:r w:rsidR="00624D51" w:rsidRPr="00CD704D">
        <w:rPr>
          <w:rFonts w:ascii="Times New Roman" w:hAnsi="Times New Roman" w:cs="Times New Roman"/>
          <w:sz w:val="24"/>
          <w:szCs w:val="24"/>
        </w:rPr>
        <w:t xml:space="preserve">in Ghana </w:t>
      </w:r>
      <w:r w:rsidR="00F171F8" w:rsidRPr="00CD704D">
        <w:rPr>
          <w:rFonts w:ascii="Times New Roman" w:hAnsi="Times New Roman" w:cs="Times New Roman"/>
          <w:sz w:val="24"/>
          <w:szCs w:val="24"/>
        </w:rPr>
        <w:t>has affected</w:t>
      </w:r>
      <w:r w:rsidR="009E7972" w:rsidRPr="00CD704D">
        <w:rPr>
          <w:rFonts w:ascii="Times New Roman" w:hAnsi="Times New Roman" w:cs="Times New Roman"/>
          <w:sz w:val="24"/>
          <w:szCs w:val="24"/>
        </w:rPr>
        <w:t xml:space="preserve"> agricultural </w:t>
      </w:r>
      <w:r w:rsidR="004B472C" w:rsidRPr="00CD704D">
        <w:rPr>
          <w:rFonts w:ascii="Times New Roman" w:hAnsi="Times New Roman" w:cs="Times New Roman"/>
          <w:sz w:val="24"/>
          <w:szCs w:val="24"/>
        </w:rPr>
        <w:t xml:space="preserve">development in terms of rural </w:t>
      </w:r>
      <w:r w:rsidR="002D00AA" w:rsidRPr="00CD704D">
        <w:rPr>
          <w:rFonts w:ascii="Times New Roman" w:hAnsi="Times New Roman" w:cs="Times New Roman"/>
          <w:sz w:val="24"/>
          <w:szCs w:val="24"/>
        </w:rPr>
        <w:t xml:space="preserve">employment, </w:t>
      </w:r>
      <w:r w:rsidR="004B472C" w:rsidRPr="00CD704D">
        <w:rPr>
          <w:rFonts w:ascii="Times New Roman" w:hAnsi="Times New Roman" w:cs="Times New Roman"/>
          <w:sz w:val="24"/>
          <w:szCs w:val="24"/>
        </w:rPr>
        <w:t xml:space="preserve">the </w:t>
      </w:r>
      <w:r w:rsidR="002D00AA" w:rsidRPr="00CD704D">
        <w:rPr>
          <w:rFonts w:ascii="Times New Roman" w:hAnsi="Times New Roman" w:cs="Times New Roman"/>
          <w:sz w:val="24"/>
          <w:szCs w:val="24"/>
        </w:rPr>
        <w:t>farm size</w:t>
      </w:r>
      <w:r w:rsidR="004B472C" w:rsidRPr="00CD704D">
        <w:rPr>
          <w:rFonts w:ascii="Times New Roman" w:hAnsi="Times New Roman" w:cs="Times New Roman"/>
          <w:sz w:val="24"/>
          <w:szCs w:val="24"/>
        </w:rPr>
        <w:t xml:space="preserve"> distribution</w:t>
      </w:r>
      <w:r w:rsidR="002D00AA" w:rsidRPr="00CD704D">
        <w:rPr>
          <w:rFonts w:ascii="Times New Roman" w:hAnsi="Times New Roman" w:cs="Times New Roman"/>
          <w:sz w:val="24"/>
          <w:szCs w:val="24"/>
        </w:rPr>
        <w:t xml:space="preserve">, </w:t>
      </w:r>
      <w:r w:rsidR="00934F14">
        <w:rPr>
          <w:rFonts w:ascii="Times New Roman" w:hAnsi="Times New Roman" w:cs="Times New Roman"/>
          <w:sz w:val="24"/>
          <w:szCs w:val="24"/>
        </w:rPr>
        <w:t xml:space="preserve">and </w:t>
      </w:r>
      <w:r w:rsidR="004B472C" w:rsidRPr="00CD704D">
        <w:rPr>
          <w:rFonts w:ascii="Times New Roman" w:hAnsi="Times New Roman" w:cs="Times New Roman"/>
          <w:sz w:val="24"/>
          <w:szCs w:val="24"/>
        </w:rPr>
        <w:t xml:space="preserve">use of modern </w:t>
      </w:r>
      <w:r w:rsidR="002D00AA" w:rsidRPr="00CD704D">
        <w:rPr>
          <w:rFonts w:ascii="Times New Roman" w:hAnsi="Times New Roman" w:cs="Times New Roman"/>
          <w:sz w:val="24"/>
          <w:szCs w:val="24"/>
        </w:rPr>
        <w:t>input</w:t>
      </w:r>
      <w:r w:rsidR="004B472C" w:rsidRPr="00CD704D">
        <w:rPr>
          <w:rFonts w:ascii="Times New Roman" w:hAnsi="Times New Roman" w:cs="Times New Roman"/>
          <w:sz w:val="24"/>
          <w:szCs w:val="24"/>
        </w:rPr>
        <w:t>s</w:t>
      </w:r>
      <w:r w:rsidR="002D00AA" w:rsidRPr="00CD704D">
        <w:rPr>
          <w:rFonts w:ascii="Times New Roman" w:hAnsi="Times New Roman" w:cs="Times New Roman"/>
          <w:sz w:val="24"/>
          <w:szCs w:val="24"/>
        </w:rPr>
        <w:t xml:space="preserve">. </w:t>
      </w:r>
      <w:r w:rsidR="004B472C" w:rsidRPr="00CD704D">
        <w:rPr>
          <w:rFonts w:ascii="Times New Roman" w:hAnsi="Times New Roman" w:cs="Times New Roman"/>
          <w:sz w:val="24"/>
          <w:szCs w:val="24"/>
        </w:rPr>
        <w:t xml:space="preserve">In examining these relationships, we recognize that there have been distinct spatial patterns of urbanization in Ghana, and urbanization has not affected agriculture equally throughout the country.  </w:t>
      </w:r>
      <w:r w:rsidR="001E358D">
        <w:rPr>
          <w:rFonts w:ascii="Times New Roman" w:hAnsi="Times New Roman" w:cs="Times New Roman"/>
          <w:sz w:val="24"/>
          <w:szCs w:val="24"/>
        </w:rPr>
        <w:t>Therefore,</w:t>
      </w:r>
      <w:r w:rsidR="001E358D" w:rsidRPr="00CD704D">
        <w:rPr>
          <w:rFonts w:ascii="Times New Roman" w:hAnsi="Times New Roman" w:cs="Times New Roman"/>
          <w:sz w:val="24"/>
          <w:szCs w:val="24"/>
        </w:rPr>
        <w:t xml:space="preserve"> </w:t>
      </w:r>
      <w:r w:rsidR="004B472C" w:rsidRPr="00CD704D">
        <w:rPr>
          <w:rFonts w:ascii="Times New Roman" w:hAnsi="Times New Roman" w:cs="Times New Roman"/>
          <w:sz w:val="24"/>
          <w:szCs w:val="24"/>
        </w:rPr>
        <w:t xml:space="preserve">we go beyond the usual </w:t>
      </w:r>
      <w:proofErr w:type="spellStart"/>
      <w:r w:rsidR="004B472C" w:rsidRPr="00CD704D">
        <w:rPr>
          <w:rFonts w:ascii="Times New Roman" w:hAnsi="Times New Roman" w:cs="Times New Roman"/>
          <w:sz w:val="24"/>
          <w:szCs w:val="24"/>
        </w:rPr>
        <w:t>agroecological</w:t>
      </w:r>
      <w:proofErr w:type="spellEnd"/>
      <w:r w:rsidR="004B472C" w:rsidRPr="00CD704D">
        <w:rPr>
          <w:rFonts w:ascii="Times New Roman" w:hAnsi="Times New Roman" w:cs="Times New Roman"/>
          <w:sz w:val="24"/>
          <w:szCs w:val="24"/>
        </w:rPr>
        <w:t xml:space="preserve"> breakdown (Chapter 4) and develop a spatial typology of rural areas based on work by </w:t>
      </w:r>
      <w:proofErr w:type="spellStart"/>
      <w:r w:rsidR="00F35A72" w:rsidRPr="00CD704D">
        <w:rPr>
          <w:rFonts w:ascii="Times New Roman" w:hAnsi="Times New Roman" w:cs="Times New Roman"/>
          <w:sz w:val="24"/>
          <w:szCs w:val="24"/>
        </w:rPr>
        <w:t>Berdegue</w:t>
      </w:r>
      <w:proofErr w:type="spellEnd"/>
      <w:r w:rsidR="00F35A72" w:rsidRPr="00CD704D">
        <w:rPr>
          <w:rFonts w:ascii="Times New Roman" w:hAnsi="Times New Roman" w:cs="Times New Roman"/>
          <w:sz w:val="24"/>
          <w:szCs w:val="24"/>
        </w:rPr>
        <w:t xml:space="preserve"> et al (2015) </w:t>
      </w:r>
      <w:r w:rsidR="00A13EB4">
        <w:rPr>
          <w:rFonts w:ascii="Times New Roman" w:hAnsi="Times New Roman" w:cs="Times New Roman"/>
          <w:sz w:val="24"/>
          <w:szCs w:val="24"/>
        </w:rPr>
        <w:t xml:space="preserve">and others </w:t>
      </w:r>
      <w:r w:rsidR="00F35A72" w:rsidRPr="00CD704D">
        <w:rPr>
          <w:rFonts w:ascii="Times New Roman" w:hAnsi="Times New Roman" w:cs="Times New Roman"/>
          <w:sz w:val="24"/>
          <w:szCs w:val="24"/>
        </w:rPr>
        <w:t>in Latin America</w:t>
      </w:r>
      <w:r w:rsidR="004B472C" w:rsidRPr="00CD704D">
        <w:rPr>
          <w:rFonts w:ascii="Times New Roman" w:hAnsi="Times New Roman" w:cs="Times New Roman"/>
          <w:sz w:val="24"/>
          <w:szCs w:val="24"/>
        </w:rPr>
        <w:t xml:space="preserve">. </w:t>
      </w:r>
    </w:p>
    <w:p w14:paraId="05BD6F4C" w14:textId="0D0429F2" w:rsidR="00F35A72" w:rsidRPr="00CD704D" w:rsidRDefault="00F35A72"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The chapter is structured as follows: Section 2 provides </w:t>
      </w:r>
      <w:r w:rsidR="00894338">
        <w:rPr>
          <w:rFonts w:ascii="Times New Roman" w:hAnsi="Times New Roman" w:cs="Times New Roman"/>
          <w:sz w:val="24"/>
          <w:szCs w:val="24"/>
        </w:rPr>
        <w:t xml:space="preserve">additional background information about </w:t>
      </w:r>
      <w:r w:rsidRPr="00CD704D">
        <w:rPr>
          <w:rFonts w:ascii="Times New Roman" w:hAnsi="Times New Roman" w:cs="Times New Roman"/>
          <w:sz w:val="24"/>
          <w:szCs w:val="24"/>
        </w:rPr>
        <w:t xml:space="preserve">recent urbanization </w:t>
      </w:r>
      <w:r w:rsidR="00894338">
        <w:rPr>
          <w:rFonts w:ascii="Times New Roman" w:hAnsi="Times New Roman" w:cs="Times New Roman"/>
          <w:sz w:val="24"/>
          <w:szCs w:val="24"/>
        </w:rPr>
        <w:t xml:space="preserve">trends </w:t>
      </w:r>
      <w:r w:rsidRPr="00CD704D">
        <w:rPr>
          <w:rFonts w:ascii="Times New Roman" w:hAnsi="Times New Roman" w:cs="Times New Roman"/>
          <w:sz w:val="24"/>
          <w:szCs w:val="24"/>
        </w:rPr>
        <w:t>in Ghana</w:t>
      </w:r>
      <w:r w:rsidR="00894338">
        <w:rPr>
          <w:rFonts w:ascii="Times New Roman" w:hAnsi="Times New Roman" w:cs="Times New Roman"/>
          <w:sz w:val="24"/>
          <w:szCs w:val="24"/>
        </w:rPr>
        <w:t>, and describes our typology o</w:t>
      </w:r>
      <w:r w:rsidR="00BC29F8">
        <w:rPr>
          <w:rFonts w:ascii="Times New Roman" w:hAnsi="Times New Roman" w:cs="Times New Roman"/>
          <w:sz w:val="24"/>
          <w:szCs w:val="24"/>
        </w:rPr>
        <w:t>f</w:t>
      </w:r>
      <w:r w:rsidR="00894338">
        <w:rPr>
          <w:rFonts w:ascii="Times New Roman" w:hAnsi="Times New Roman" w:cs="Times New Roman"/>
          <w:sz w:val="24"/>
          <w:szCs w:val="24"/>
        </w:rPr>
        <w:t xml:space="preserve"> rural </w:t>
      </w:r>
      <w:r w:rsidR="00D95439">
        <w:rPr>
          <w:rFonts w:ascii="Times New Roman" w:hAnsi="Times New Roman" w:cs="Times New Roman"/>
          <w:sz w:val="24"/>
          <w:szCs w:val="24"/>
        </w:rPr>
        <w:t>areas</w:t>
      </w:r>
      <w:r w:rsidRPr="00CD704D">
        <w:rPr>
          <w:rFonts w:ascii="Times New Roman" w:hAnsi="Times New Roman" w:cs="Times New Roman"/>
          <w:sz w:val="24"/>
          <w:szCs w:val="24"/>
        </w:rPr>
        <w:t xml:space="preserve">. </w:t>
      </w:r>
      <w:r w:rsidRPr="00BC29F8">
        <w:rPr>
          <w:rFonts w:ascii="Times New Roman" w:hAnsi="Times New Roman" w:cs="Times New Roman"/>
          <w:sz w:val="24"/>
          <w:szCs w:val="24"/>
        </w:rPr>
        <w:t>Section 3 discusses the association betw</w:t>
      </w:r>
      <w:r w:rsidR="00BC29F8">
        <w:rPr>
          <w:rFonts w:ascii="Times New Roman" w:hAnsi="Times New Roman" w:cs="Times New Roman"/>
          <w:sz w:val="24"/>
          <w:szCs w:val="24"/>
        </w:rPr>
        <w:t xml:space="preserve">een urbanization and changes in the structure of rural employment. </w:t>
      </w:r>
      <w:r w:rsidRPr="00CD704D">
        <w:rPr>
          <w:rFonts w:ascii="Times New Roman" w:hAnsi="Times New Roman" w:cs="Times New Roman"/>
          <w:sz w:val="24"/>
          <w:szCs w:val="24"/>
        </w:rPr>
        <w:t xml:space="preserve">Section 4 </w:t>
      </w:r>
      <w:r w:rsidR="00BC29F8">
        <w:rPr>
          <w:rFonts w:ascii="Times New Roman" w:hAnsi="Times New Roman" w:cs="Times New Roman"/>
          <w:sz w:val="24"/>
          <w:szCs w:val="24"/>
        </w:rPr>
        <w:t>examines the relationship between urbanization</w:t>
      </w:r>
      <w:r w:rsidR="00486435">
        <w:rPr>
          <w:rFonts w:ascii="Times New Roman" w:hAnsi="Times New Roman" w:cs="Times New Roman"/>
          <w:sz w:val="24"/>
          <w:szCs w:val="24"/>
        </w:rPr>
        <w:t>, farm</w:t>
      </w:r>
      <w:r w:rsidR="00BC29F8">
        <w:rPr>
          <w:rFonts w:ascii="Times New Roman" w:hAnsi="Times New Roman" w:cs="Times New Roman"/>
          <w:sz w:val="24"/>
          <w:szCs w:val="24"/>
        </w:rPr>
        <w:t xml:space="preserve"> </w:t>
      </w:r>
      <w:r w:rsidR="00486435">
        <w:rPr>
          <w:rFonts w:ascii="Times New Roman" w:hAnsi="Times New Roman" w:cs="Times New Roman"/>
          <w:sz w:val="24"/>
          <w:szCs w:val="24"/>
        </w:rPr>
        <w:t xml:space="preserve">size, </w:t>
      </w:r>
      <w:r w:rsidR="00BC29F8">
        <w:rPr>
          <w:rFonts w:ascii="Times New Roman" w:hAnsi="Times New Roman" w:cs="Times New Roman"/>
          <w:sz w:val="24"/>
          <w:szCs w:val="24"/>
        </w:rPr>
        <w:t xml:space="preserve">and modern input use, </w:t>
      </w:r>
      <w:r w:rsidR="008F04A2" w:rsidRPr="00CD704D">
        <w:rPr>
          <w:rFonts w:ascii="Times New Roman" w:hAnsi="Times New Roman" w:cs="Times New Roman"/>
          <w:sz w:val="24"/>
          <w:szCs w:val="24"/>
        </w:rPr>
        <w:t xml:space="preserve">and </w:t>
      </w:r>
      <w:r w:rsidR="000634A9" w:rsidRPr="00CD704D">
        <w:rPr>
          <w:rFonts w:ascii="Times New Roman" w:hAnsi="Times New Roman" w:cs="Times New Roman"/>
          <w:sz w:val="24"/>
          <w:szCs w:val="24"/>
        </w:rPr>
        <w:t>Section 5</w:t>
      </w:r>
      <w:r w:rsidRPr="00CD704D">
        <w:rPr>
          <w:rFonts w:ascii="Times New Roman" w:hAnsi="Times New Roman" w:cs="Times New Roman"/>
          <w:sz w:val="24"/>
          <w:szCs w:val="24"/>
        </w:rPr>
        <w:t xml:space="preserve"> conclu</w:t>
      </w:r>
      <w:r w:rsidR="008B5FC1">
        <w:rPr>
          <w:rFonts w:ascii="Times New Roman" w:hAnsi="Times New Roman" w:cs="Times New Roman"/>
          <w:sz w:val="24"/>
          <w:szCs w:val="24"/>
        </w:rPr>
        <w:t>des</w:t>
      </w:r>
      <w:r w:rsidRPr="00CD704D">
        <w:rPr>
          <w:rFonts w:ascii="Times New Roman" w:hAnsi="Times New Roman" w:cs="Times New Roman"/>
          <w:sz w:val="24"/>
          <w:szCs w:val="24"/>
        </w:rPr>
        <w:t>.</w:t>
      </w:r>
    </w:p>
    <w:p w14:paraId="2480F008" w14:textId="0D5A6A2E" w:rsidR="007415D2" w:rsidRPr="000C2FA0" w:rsidRDefault="0087669A" w:rsidP="000C2FA0">
      <w:pPr>
        <w:pStyle w:val="ListParagraph"/>
        <w:numPr>
          <w:ilvl w:val="1"/>
          <w:numId w:val="9"/>
        </w:numPr>
        <w:spacing w:before="240"/>
        <w:jc w:val="both"/>
        <w:rPr>
          <w:rFonts w:ascii="Times New Roman" w:hAnsi="Times New Roman" w:cs="Times New Roman"/>
          <w:sz w:val="24"/>
          <w:szCs w:val="24"/>
        </w:rPr>
      </w:pPr>
      <w:r w:rsidRPr="000C2FA0">
        <w:rPr>
          <w:rFonts w:ascii="Times New Roman" w:hAnsi="Times New Roman" w:cs="Times New Roman"/>
          <w:sz w:val="24"/>
          <w:szCs w:val="24"/>
        </w:rPr>
        <w:t>URBANIZATION</w:t>
      </w:r>
      <w:r w:rsidR="002D4974" w:rsidRPr="000C2FA0">
        <w:rPr>
          <w:rFonts w:ascii="Times New Roman" w:hAnsi="Times New Roman" w:cs="Times New Roman"/>
          <w:sz w:val="24"/>
          <w:szCs w:val="24"/>
        </w:rPr>
        <w:t xml:space="preserve"> </w:t>
      </w:r>
      <w:r w:rsidR="00894338" w:rsidRPr="000C2FA0">
        <w:rPr>
          <w:rFonts w:ascii="Times New Roman" w:hAnsi="Times New Roman" w:cs="Times New Roman"/>
          <w:sz w:val="24"/>
          <w:szCs w:val="24"/>
        </w:rPr>
        <w:t xml:space="preserve">TRENDS </w:t>
      </w:r>
      <w:r w:rsidRPr="000C2FA0">
        <w:rPr>
          <w:rFonts w:ascii="Times New Roman" w:hAnsi="Times New Roman" w:cs="Times New Roman"/>
          <w:sz w:val="24"/>
          <w:szCs w:val="24"/>
        </w:rPr>
        <w:t>IN GHANA</w:t>
      </w:r>
      <w:r w:rsidR="002D4974" w:rsidRPr="000C2FA0">
        <w:rPr>
          <w:rFonts w:ascii="Times New Roman" w:hAnsi="Times New Roman" w:cs="Times New Roman"/>
          <w:sz w:val="24"/>
          <w:szCs w:val="24"/>
        </w:rPr>
        <w:t xml:space="preserve"> </w:t>
      </w:r>
    </w:p>
    <w:p w14:paraId="7FFC2C7F" w14:textId="00734F5C" w:rsidR="00711816" w:rsidRDefault="004B6624" w:rsidP="00BD5863">
      <w:pPr>
        <w:spacing w:line="360" w:lineRule="auto"/>
        <w:jc w:val="both"/>
        <w:rPr>
          <w:rFonts w:ascii="Times New Roman" w:eastAsiaTheme="minorEastAsia" w:hAnsi="Times New Roman" w:cs="Times New Roman"/>
          <w:sz w:val="24"/>
          <w:szCs w:val="24"/>
          <w:lang w:eastAsia="zh-CN"/>
        </w:rPr>
      </w:pPr>
      <w:r w:rsidRPr="00CD704D">
        <w:rPr>
          <w:rFonts w:ascii="Times New Roman" w:hAnsi="Times New Roman" w:cs="Times New Roman"/>
          <w:sz w:val="24"/>
          <w:szCs w:val="24"/>
        </w:rPr>
        <w:t>Ghana has always been relatively urbanized compared to other African countries. This is partially due to the post-independence expansion of the cocoa sector (</w:t>
      </w:r>
      <w:proofErr w:type="spellStart"/>
      <w:r w:rsidRPr="00CD704D">
        <w:rPr>
          <w:rFonts w:ascii="Times New Roman" w:hAnsi="Times New Roman" w:cs="Times New Roman"/>
          <w:sz w:val="24"/>
          <w:szCs w:val="24"/>
        </w:rPr>
        <w:t>Jedwab</w:t>
      </w:r>
      <w:proofErr w:type="spellEnd"/>
      <w:r w:rsidR="00894338">
        <w:rPr>
          <w:rFonts w:ascii="Times New Roman" w:hAnsi="Times New Roman" w:cs="Times New Roman"/>
          <w:sz w:val="24"/>
          <w:szCs w:val="24"/>
        </w:rPr>
        <w:t>,</w:t>
      </w:r>
      <w:r w:rsidRPr="00CD704D">
        <w:rPr>
          <w:rFonts w:ascii="Times New Roman" w:hAnsi="Times New Roman" w:cs="Times New Roman"/>
          <w:sz w:val="24"/>
          <w:szCs w:val="24"/>
        </w:rPr>
        <w:t xml:space="preserve"> 2013)</w:t>
      </w:r>
      <w:r w:rsidR="009F7E2A">
        <w:rPr>
          <w:rFonts w:ascii="Times New Roman" w:hAnsi="Times New Roman" w:cs="Times New Roman"/>
          <w:sz w:val="24"/>
          <w:szCs w:val="24"/>
        </w:rPr>
        <w:t>,</w:t>
      </w:r>
      <w:r w:rsidRPr="00CD704D">
        <w:rPr>
          <w:rFonts w:ascii="Times New Roman" w:hAnsi="Times New Roman" w:cs="Times New Roman"/>
          <w:sz w:val="24"/>
          <w:szCs w:val="24"/>
        </w:rPr>
        <w:t xml:space="preserve"> and the promotion of state-owned industr</w:t>
      </w:r>
      <w:r w:rsidR="00894338">
        <w:rPr>
          <w:rFonts w:ascii="Times New Roman" w:hAnsi="Times New Roman" w:cs="Times New Roman"/>
          <w:sz w:val="24"/>
          <w:szCs w:val="24"/>
        </w:rPr>
        <w:t>ies</w:t>
      </w:r>
      <w:r w:rsidRPr="00CD704D">
        <w:rPr>
          <w:rFonts w:ascii="Times New Roman" w:hAnsi="Times New Roman" w:cs="Times New Roman"/>
          <w:sz w:val="24"/>
          <w:szCs w:val="24"/>
        </w:rPr>
        <w:t xml:space="preserve"> in the late 1960s and early 1970s (</w:t>
      </w:r>
      <w:proofErr w:type="spellStart"/>
      <w:r w:rsidRPr="00CD704D">
        <w:rPr>
          <w:rFonts w:ascii="Times New Roman" w:hAnsi="Times New Roman" w:cs="Times New Roman"/>
          <w:sz w:val="24"/>
          <w:szCs w:val="24"/>
        </w:rPr>
        <w:t>Ackah</w:t>
      </w:r>
      <w:proofErr w:type="spellEnd"/>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Adjasi</w:t>
      </w:r>
      <w:proofErr w:type="spellEnd"/>
      <w:r w:rsidRPr="00CD704D">
        <w:rPr>
          <w:rFonts w:ascii="Times New Roman" w:hAnsi="Times New Roman" w:cs="Times New Roman"/>
          <w:sz w:val="24"/>
          <w:szCs w:val="24"/>
        </w:rPr>
        <w:t xml:space="preserve">, and </w:t>
      </w:r>
      <w:proofErr w:type="spellStart"/>
      <w:r w:rsidRPr="00CD704D">
        <w:rPr>
          <w:rFonts w:ascii="Times New Roman" w:hAnsi="Times New Roman" w:cs="Times New Roman"/>
          <w:sz w:val="24"/>
          <w:szCs w:val="24"/>
        </w:rPr>
        <w:t>Turkson</w:t>
      </w:r>
      <w:proofErr w:type="spellEnd"/>
      <w:r w:rsidR="00894338">
        <w:rPr>
          <w:rFonts w:ascii="Times New Roman" w:hAnsi="Times New Roman" w:cs="Times New Roman"/>
          <w:sz w:val="24"/>
          <w:szCs w:val="24"/>
        </w:rPr>
        <w:t>,</w:t>
      </w:r>
      <w:r w:rsidRPr="00CD704D">
        <w:rPr>
          <w:rFonts w:ascii="Times New Roman" w:hAnsi="Times New Roman" w:cs="Times New Roman"/>
          <w:sz w:val="24"/>
          <w:szCs w:val="24"/>
        </w:rPr>
        <w:t xml:space="preserve"> 2013). However, urbanization has been especially rapid in the past two decades, as shown in Figure </w:t>
      </w:r>
      <w:r w:rsidR="00D52F18">
        <w:rPr>
          <w:rFonts w:ascii="Times New Roman" w:hAnsi="Times New Roman" w:cs="Times New Roman"/>
          <w:sz w:val="24"/>
          <w:szCs w:val="24"/>
        </w:rPr>
        <w:t>9</w:t>
      </w:r>
      <w:r w:rsidR="00894338">
        <w:rPr>
          <w:rFonts w:ascii="Times New Roman" w:hAnsi="Times New Roman" w:cs="Times New Roman"/>
          <w:sz w:val="24"/>
          <w:szCs w:val="24"/>
        </w:rPr>
        <w:t>.</w:t>
      </w:r>
      <w:r w:rsidRPr="00CD704D">
        <w:rPr>
          <w:rFonts w:ascii="Times New Roman" w:hAnsi="Times New Roman" w:cs="Times New Roman"/>
          <w:sz w:val="24"/>
          <w:szCs w:val="24"/>
        </w:rPr>
        <w:t>1. By 2010, Ghana’s urban population – defined as people living in settlements of more than 5,000 people – surpassed 50</w:t>
      </w:r>
      <w:r w:rsidR="00894338">
        <w:rPr>
          <w:rFonts w:ascii="Times New Roman" w:hAnsi="Times New Roman" w:cs="Times New Roman"/>
          <w:sz w:val="24"/>
          <w:szCs w:val="24"/>
        </w:rPr>
        <w:t xml:space="preserve"> percent</w:t>
      </w:r>
      <w:r w:rsidRPr="00CD704D">
        <w:rPr>
          <w:rFonts w:ascii="Times New Roman" w:hAnsi="Times New Roman" w:cs="Times New Roman"/>
          <w:sz w:val="24"/>
          <w:szCs w:val="24"/>
        </w:rPr>
        <w:t xml:space="preserve"> of </w:t>
      </w:r>
      <w:r w:rsidR="00894338">
        <w:rPr>
          <w:rFonts w:ascii="Times New Roman" w:hAnsi="Times New Roman" w:cs="Times New Roman"/>
          <w:sz w:val="24"/>
          <w:szCs w:val="24"/>
        </w:rPr>
        <w:t xml:space="preserve">the </w:t>
      </w:r>
      <w:r w:rsidRPr="00CD704D">
        <w:rPr>
          <w:rFonts w:ascii="Times New Roman" w:hAnsi="Times New Roman" w:cs="Times New Roman"/>
          <w:sz w:val="24"/>
          <w:szCs w:val="24"/>
        </w:rPr>
        <w:t xml:space="preserve">total population for the first time (GSS 2013). Urbanization has </w:t>
      </w:r>
      <w:r w:rsidR="002C71F6">
        <w:rPr>
          <w:rFonts w:ascii="Times New Roman" w:hAnsi="Times New Roman" w:cs="Times New Roman"/>
          <w:sz w:val="24"/>
          <w:szCs w:val="24"/>
        </w:rPr>
        <w:t xml:space="preserve">involved </w:t>
      </w:r>
      <w:r w:rsidR="001E358D">
        <w:rPr>
          <w:rFonts w:ascii="Times New Roman" w:hAnsi="Times New Roman" w:cs="Times New Roman"/>
          <w:sz w:val="24"/>
          <w:szCs w:val="24"/>
        </w:rPr>
        <w:t xml:space="preserve">the </w:t>
      </w:r>
      <w:r w:rsidR="008B7D26">
        <w:rPr>
          <w:rFonts w:ascii="Times New Roman" w:hAnsi="Times New Roman" w:cs="Times New Roman"/>
          <w:sz w:val="24"/>
          <w:szCs w:val="24"/>
        </w:rPr>
        <w:t xml:space="preserve">growth of </w:t>
      </w:r>
      <w:r w:rsidRPr="00CD704D">
        <w:rPr>
          <w:rFonts w:ascii="Times New Roman" w:hAnsi="Times New Roman" w:cs="Times New Roman"/>
          <w:sz w:val="24"/>
          <w:szCs w:val="24"/>
        </w:rPr>
        <w:t>large cities</w:t>
      </w:r>
      <w:r w:rsidR="00D95439">
        <w:rPr>
          <w:rFonts w:ascii="Times New Roman" w:hAnsi="Times New Roman" w:cs="Times New Roman"/>
          <w:sz w:val="24"/>
          <w:szCs w:val="24"/>
        </w:rPr>
        <w:t xml:space="preserve">, but more so </w:t>
      </w:r>
      <w:r w:rsidRPr="00CD704D">
        <w:rPr>
          <w:rFonts w:ascii="Times New Roman" w:hAnsi="Times New Roman" w:cs="Times New Roman"/>
          <w:sz w:val="24"/>
          <w:szCs w:val="24"/>
        </w:rPr>
        <w:t>the development of small cities and towns throughout the country</w:t>
      </w:r>
      <w:r w:rsidR="00D95439">
        <w:rPr>
          <w:rFonts w:ascii="Times New Roman" w:hAnsi="Times New Roman" w:cs="Times New Roman"/>
          <w:sz w:val="24"/>
          <w:szCs w:val="24"/>
        </w:rPr>
        <w:t xml:space="preserve">. There has been </w:t>
      </w:r>
      <w:r w:rsidR="008B7D26">
        <w:rPr>
          <w:rFonts w:ascii="Times New Roman" w:hAnsi="Times New Roman" w:cs="Times New Roman"/>
          <w:sz w:val="24"/>
          <w:szCs w:val="24"/>
        </w:rPr>
        <w:t xml:space="preserve">substantial migration of workers from rural to urban </w:t>
      </w:r>
      <w:r w:rsidR="001E358D">
        <w:rPr>
          <w:rFonts w:ascii="Times New Roman" w:hAnsi="Times New Roman" w:cs="Times New Roman"/>
          <w:sz w:val="24"/>
          <w:szCs w:val="24"/>
        </w:rPr>
        <w:t xml:space="preserve">areas, alongside substantial employment growth in the </w:t>
      </w:r>
      <w:r w:rsidR="00D95439">
        <w:rPr>
          <w:rFonts w:ascii="Times New Roman" w:hAnsi="Times New Roman" w:cs="Times New Roman"/>
          <w:sz w:val="24"/>
          <w:szCs w:val="24"/>
        </w:rPr>
        <w:t>rural nonfarm economy, leading to</w:t>
      </w:r>
      <w:r w:rsidR="00633B66">
        <w:rPr>
          <w:rFonts w:ascii="Times New Roman" w:hAnsi="Times New Roman" w:cs="Times New Roman"/>
          <w:sz w:val="24"/>
          <w:szCs w:val="24"/>
        </w:rPr>
        <w:t xml:space="preserve"> </w:t>
      </w:r>
      <w:r w:rsidR="009F7E2A">
        <w:rPr>
          <w:rFonts w:ascii="Times New Roman" w:hAnsi="Times New Roman" w:cs="Times New Roman"/>
          <w:sz w:val="24"/>
          <w:szCs w:val="24"/>
        </w:rPr>
        <w:t>a decli</w:t>
      </w:r>
      <w:r w:rsidR="00633B66">
        <w:rPr>
          <w:rFonts w:ascii="Times New Roman" w:hAnsi="Times New Roman" w:cs="Times New Roman"/>
          <w:sz w:val="24"/>
          <w:szCs w:val="24"/>
        </w:rPr>
        <w:t xml:space="preserve">ne in the share of </w:t>
      </w:r>
      <w:r w:rsidR="009F7E2A">
        <w:rPr>
          <w:rFonts w:ascii="Times New Roman" w:hAnsi="Times New Roman" w:cs="Times New Roman"/>
          <w:sz w:val="24"/>
          <w:szCs w:val="24"/>
        </w:rPr>
        <w:t xml:space="preserve">workers remaining in agriculture (Figure </w:t>
      </w:r>
      <w:r w:rsidR="00D52F18">
        <w:rPr>
          <w:rFonts w:ascii="Times New Roman" w:hAnsi="Times New Roman" w:cs="Times New Roman"/>
          <w:sz w:val="24"/>
          <w:szCs w:val="24"/>
        </w:rPr>
        <w:t>9</w:t>
      </w:r>
      <w:r w:rsidR="009F7E2A">
        <w:rPr>
          <w:rFonts w:ascii="Times New Roman" w:hAnsi="Times New Roman" w:cs="Times New Roman"/>
          <w:sz w:val="24"/>
          <w:szCs w:val="24"/>
        </w:rPr>
        <w:t>.</w:t>
      </w:r>
      <w:r w:rsidR="00D52F18">
        <w:rPr>
          <w:rFonts w:ascii="Times New Roman" w:hAnsi="Times New Roman" w:cs="Times New Roman"/>
          <w:sz w:val="24"/>
          <w:szCs w:val="24"/>
        </w:rPr>
        <w:t>2</w:t>
      </w:r>
      <w:r w:rsidR="009F7E2A">
        <w:rPr>
          <w:rFonts w:ascii="Times New Roman" w:hAnsi="Times New Roman" w:cs="Times New Roman"/>
          <w:sz w:val="24"/>
          <w:szCs w:val="24"/>
        </w:rPr>
        <w:t>)</w:t>
      </w:r>
      <w:r w:rsidR="00633B66">
        <w:rPr>
          <w:rFonts w:ascii="Times New Roman" w:hAnsi="Times New Roman" w:cs="Times New Roman"/>
          <w:sz w:val="24"/>
          <w:szCs w:val="24"/>
        </w:rPr>
        <w:t xml:space="preserve">. </w:t>
      </w:r>
    </w:p>
    <w:p w14:paraId="20F8FEE6" w14:textId="62B822B5" w:rsidR="00E44D07" w:rsidRPr="00FC1B5D" w:rsidRDefault="00E44D07" w:rsidP="00EF7FD9">
      <w:pPr>
        <w:pStyle w:val="ListParagraph"/>
        <w:ind w:left="0"/>
        <w:jc w:val="both"/>
        <w:rPr>
          <w:rFonts w:ascii="Times New Roman" w:hAnsi="Times New Roman" w:cs="Times New Roman"/>
          <w:sz w:val="24"/>
          <w:szCs w:val="24"/>
        </w:rPr>
      </w:pPr>
      <w:r w:rsidRPr="00FC1B5D">
        <w:rPr>
          <w:rFonts w:ascii="Times New Roman" w:hAnsi="Times New Roman" w:cs="Times New Roman"/>
          <w:sz w:val="24"/>
          <w:szCs w:val="24"/>
        </w:rPr>
        <w:t xml:space="preserve">Figure </w:t>
      </w:r>
      <w:r w:rsidR="00D52F18">
        <w:rPr>
          <w:rFonts w:ascii="Times New Roman" w:hAnsi="Times New Roman" w:cs="Times New Roman"/>
          <w:sz w:val="24"/>
          <w:szCs w:val="24"/>
        </w:rPr>
        <w:t>9</w:t>
      </w:r>
      <w:r w:rsidR="00894338" w:rsidRPr="00FC1B5D">
        <w:rPr>
          <w:rFonts w:ascii="Times New Roman" w:hAnsi="Times New Roman" w:cs="Times New Roman"/>
          <w:sz w:val="24"/>
          <w:szCs w:val="24"/>
        </w:rPr>
        <w:t>.</w:t>
      </w:r>
      <w:r w:rsidRPr="00FC1B5D">
        <w:rPr>
          <w:rFonts w:ascii="Times New Roman" w:hAnsi="Times New Roman" w:cs="Times New Roman"/>
          <w:sz w:val="24"/>
          <w:szCs w:val="24"/>
        </w:rPr>
        <w:t>1</w:t>
      </w:r>
      <w:r w:rsidR="00D60D59" w:rsidRPr="00FC1B5D">
        <w:rPr>
          <w:rFonts w:ascii="Times New Roman" w:hAnsi="Times New Roman" w:cs="Times New Roman"/>
          <w:sz w:val="24"/>
          <w:szCs w:val="24"/>
        </w:rPr>
        <w:t xml:space="preserve">: Annual growth rate in </w:t>
      </w:r>
      <w:r w:rsidR="00D95439">
        <w:rPr>
          <w:rFonts w:ascii="Times New Roman" w:hAnsi="Times New Roman" w:cs="Times New Roman"/>
          <w:sz w:val="24"/>
          <w:szCs w:val="24"/>
        </w:rPr>
        <w:t xml:space="preserve">the </w:t>
      </w:r>
      <w:r w:rsidR="00D60D59" w:rsidRPr="00FC1B5D">
        <w:rPr>
          <w:rFonts w:ascii="Times New Roman" w:hAnsi="Times New Roman" w:cs="Times New Roman"/>
          <w:sz w:val="24"/>
          <w:szCs w:val="24"/>
        </w:rPr>
        <w:t>population between census years</w:t>
      </w:r>
      <w:r w:rsidR="00D95439">
        <w:rPr>
          <w:rFonts w:ascii="Times New Roman" w:hAnsi="Times New Roman" w:cs="Times New Roman"/>
          <w:sz w:val="24"/>
          <w:szCs w:val="24"/>
        </w:rPr>
        <w:t>,</w:t>
      </w:r>
      <w:r w:rsidRPr="00FC1B5D">
        <w:rPr>
          <w:rFonts w:ascii="Times New Roman" w:hAnsi="Times New Roman" w:cs="Times New Roman"/>
          <w:sz w:val="24"/>
          <w:szCs w:val="24"/>
        </w:rPr>
        <w:t xml:space="preserve"> and urban population share in census years</w:t>
      </w:r>
      <w:r w:rsidR="00D95439">
        <w:rPr>
          <w:rFonts w:ascii="Times New Roman" w:hAnsi="Times New Roman" w:cs="Times New Roman"/>
          <w:sz w:val="24"/>
          <w:szCs w:val="24"/>
        </w:rPr>
        <w:t>, 1960-2010.</w:t>
      </w:r>
    </w:p>
    <w:p w14:paraId="0B5784AA" w14:textId="77777777" w:rsidR="00E44D07" w:rsidRPr="00CD704D" w:rsidRDefault="00E44D07" w:rsidP="00EA0E39">
      <w:pPr>
        <w:pStyle w:val="ListParagraph"/>
        <w:ind w:left="0"/>
        <w:jc w:val="center"/>
        <w:rPr>
          <w:rFonts w:ascii="Times New Roman" w:hAnsi="Times New Roman" w:cs="Times New Roman"/>
          <w:sz w:val="24"/>
          <w:szCs w:val="24"/>
        </w:rPr>
      </w:pPr>
      <w:r w:rsidRPr="00CD704D">
        <w:rPr>
          <w:rFonts w:ascii="Times New Roman" w:hAnsi="Times New Roman" w:cs="Times New Roman"/>
          <w:noProof/>
          <w:sz w:val="24"/>
          <w:szCs w:val="24"/>
          <w:lang w:eastAsia="en-US"/>
        </w:rPr>
        <w:lastRenderedPageBreak/>
        <w:drawing>
          <wp:inline distT="0" distB="0" distL="0" distR="0" wp14:anchorId="52B588A7" wp14:editId="7C019EBD">
            <wp:extent cx="4558145" cy="2445327"/>
            <wp:effectExtent l="0" t="0" r="1397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1361FD" w14:textId="7B38D94D" w:rsidR="00B548CC" w:rsidRPr="00894338" w:rsidRDefault="00E44D07" w:rsidP="00EF7FD9">
      <w:pPr>
        <w:pStyle w:val="ListParagraph"/>
        <w:ind w:left="0"/>
        <w:jc w:val="both"/>
        <w:rPr>
          <w:rFonts w:ascii="Times New Roman" w:hAnsi="Times New Roman" w:cs="Times New Roman"/>
        </w:rPr>
      </w:pPr>
      <w:r w:rsidRPr="00894338">
        <w:rPr>
          <w:rFonts w:ascii="Times New Roman" w:hAnsi="Times New Roman" w:cs="Times New Roman"/>
        </w:rPr>
        <w:t xml:space="preserve">Note: Urban population share is for the census years, which is the ending year of each period </w:t>
      </w:r>
      <w:r w:rsidR="00D60D59">
        <w:rPr>
          <w:rFonts w:ascii="Times New Roman" w:hAnsi="Times New Roman" w:cs="Times New Roman"/>
        </w:rPr>
        <w:t xml:space="preserve">along </w:t>
      </w:r>
      <w:r w:rsidR="00794916">
        <w:rPr>
          <w:rFonts w:ascii="Times New Roman" w:hAnsi="Times New Roman" w:cs="Times New Roman"/>
        </w:rPr>
        <w:t xml:space="preserve">the </w:t>
      </w:r>
      <w:r w:rsidRPr="00894338">
        <w:rPr>
          <w:rFonts w:ascii="Times New Roman" w:hAnsi="Times New Roman" w:cs="Times New Roman"/>
        </w:rPr>
        <w:t>x-axis</w:t>
      </w:r>
      <w:r w:rsidR="00794916">
        <w:rPr>
          <w:rFonts w:ascii="Times New Roman" w:hAnsi="Times New Roman" w:cs="Times New Roman"/>
        </w:rPr>
        <w:t>.</w:t>
      </w:r>
      <w:r w:rsidR="00F171F8" w:rsidRPr="00894338">
        <w:rPr>
          <w:rFonts w:ascii="Times New Roman" w:hAnsi="Times New Roman" w:cs="Times New Roman"/>
        </w:rPr>
        <w:t xml:space="preserve"> </w:t>
      </w:r>
    </w:p>
    <w:p w14:paraId="48E2C5E2" w14:textId="52C386AB" w:rsidR="00F35A72" w:rsidRDefault="00F171F8" w:rsidP="00EF7FD9">
      <w:pPr>
        <w:pStyle w:val="ListParagraph"/>
        <w:ind w:left="0"/>
        <w:jc w:val="both"/>
        <w:rPr>
          <w:rFonts w:ascii="Times New Roman" w:hAnsi="Times New Roman" w:cs="Times New Roman"/>
        </w:rPr>
      </w:pPr>
      <w:r w:rsidRPr="00894338">
        <w:rPr>
          <w:rFonts w:ascii="Times New Roman" w:hAnsi="Times New Roman" w:cs="Times New Roman"/>
        </w:rPr>
        <w:t>Source: Authors’ calculation using data from the five rounds of censuses (GSS 2013)</w:t>
      </w:r>
      <w:r w:rsidR="00794916">
        <w:rPr>
          <w:rFonts w:ascii="Times New Roman" w:hAnsi="Times New Roman" w:cs="Times New Roman"/>
        </w:rPr>
        <w:t>.</w:t>
      </w:r>
    </w:p>
    <w:p w14:paraId="32123752" w14:textId="77777777" w:rsidR="00D748CB" w:rsidRPr="00CD704D" w:rsidRDefault="00D748CB" w:rsidP="00EF7FD9">
      <w:pPr>
        <w:pStyle w:val="ListParagraph"/>
        <w:ind w:left="0"/>
        <w:jc w:val="both"/>
        <w:rPr>
          <w:rFonts w:ascii="Times New Roman" w:hAnsi="Times New Roman" w:cs="Times New Roman"/>
          <w:sz w:val="24"/>
          <w:szCs w:val="24"/>
        </w:rPr>
      </w:pPr>
    </w:p>
    <w:p w14:paraId="152D3018" w14:textId="4D1872FD" w:rsidR="00A54870" w:rsidRDefault="00E44D07" w:rsidP="005776ED">
      <w:r w:rsidRPr="00FC1B5D">
        <w:t xml:space="preserve">Figure </w:t>
      </w:r>
      <w:r w:rsidR="00D52F18">
        <w:t>9</w:t>
      </w:r>
      <w:r w:rsidR="00D748CB" w:rsidRPr="00FC1B5D">
        <w:t>.2:</w:t>
      </w:r>
      <w:r w:rsidRPr="00FC1B5D">
        <w:t xml:space="preserve"> </w:t>
      </w:r>
      <w:r w:rsidR="00D748CB" w:rsidRPr="00FC1B5D">
        <w:t>A</w:t>
      </w:r>
      <w:r w:rsidRPr="00FC1B5D">
        <w:t xml:space="preserve">nnual growth rate </w:t>
      </w:r>
      <w:r w:rsidR="00D60D59" w:rsidRPr="00FC1B5D">
        <w:t xml:space="preserve">in employment between census years </w:t>
      </w:r>
      <w:r w:rsidRPr="00FC1B5D">
        <w:t>and agricultural share of total employment in census years</w:t>
      </w:r>
      <w:r w:rsidR="00EA0E39">
        <w:t>, 1960-2010</w:t>
      </w:r>
    </w:p>
    <w:p w14:paraId="1BE7A769" w14:textId="019AB3F5" w:rsidR="00EA0E39" w:rsidRDefault="00F171F8" w:rsidP="00A54870">
      <w:pPr>
        <w:pStyle w:val="ListParagraph"/>
        <w:ind w:left="0"/>
        <w:jc w:val="center"/>
        <w:rPr>
          <w:rFonts w:ascii="Times New Roman" w:hAnsi="Times New Roman" w:cs="Times New Roman"/>
        </w:rPr>
      </w:pPr>
      <w:r w:rsidRPr="00CD704D">
        <w:rPr>
          <w:rFonts w:ascii="Times New Roman" w:hAnsi="Times New Roman" w:cs="Times New Roman"/>
          <w:noProof/>
          <w:sz w:val="24"/>
          <w:szCs w:val="24"/>
          <w:lang w:eastAsia="en-US"/>
        </w:rPr>
        <w:drawing>
          <wp:inline distT="0" distB="0" distL="0" distR="0" wp14:anchorId="0DA8895A" wp14:editId="26F66A10">
            <wp:extent cx="4627418" cy="2701636"/>
            <wp:effectExtent l="0" t="0" r="1905"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44D07" w:rsidRPr="00CD704D">
        <w:rPr>
          <w:rFonts w:ascii="Times New Roman" w:hAnsi="Times New Roman" w:cs="Times New Roman"/>
          <w:sz w:val="24"/>
          <w:szCs w:val="24"/>
        </w:rPr>
        <w:br w:type="textWrapping" w:clear="all"/>
      </w:r>
    </w:p>
    <w:p w14:paraId="6208E4EA" w14:textId="210E29E8" w:rsidR="00E44D07" w:rsidRPr="00D748CB" w:rsidRDefault="00E44D07" w:rsidP="00EA0E39">
      <w:pPr>
        <w:pStyle w:val="ListParagraph"/>
        <w:spacing w:after="0"/>
        <w:ind w:left="0"/>
        <w:rPr>
          <w:rFonts w:ascii="Times New Roman" w:hAnsi="Times New Roman" w:cs="Times New Roman"/>
        </w:rPr>
      </w:pPr>
      <w:r w:rsidRPr="00D748CB">
        <w:rPr>
          <w:rFonts w:ascii="Times New Roman" w:hAnsi="Times New Roman" w:cs="Times New Roman"/>
        </w:rPr>
        <w:t xml:space="preserve">Note: </w:t>
      </w:r>
      <w:r w:rsidR="009F7E2A">
        <w:rPr>
          <w:rFonts w:ascii="Times New Roman" w:hAnsi="Times New Roman" w:cs="Times New Roman"/>
        </w:rPr>
        <w:t>Agricultural employment share</w:t>
      </w:r>
      <w:r w:rsidRPr="00D748CB">
        <w:rPr>
          <w:rFonts w:ascii="Times New Roman" w:hAnsi="Times New Roman" w:cs="Times New Roman"/>
        </w:rPr>
        <w:t xml:space="preserve"> is for the census years, which is the ending year of each period </w:t>
      </w:r>
      <w:r w:rsidR="00D748CB">
        <w:rPr>
          <w:rFonts w:ascii="Times New Roman" w:hAnsi="Times New Roman" w:cs="Times New Roman"/>
        </w:rPr>
        <w:t xml:space="preserve">along the </w:t>
      </w:r>
      <w:r w:rsidRPr="00D748CB">
        <w:rPr>
          <w:rFonts w:ascii="Times New Roman" w:hAnsi="Times New Roman" w:cs="Times New Roman"/>
        </w:rPr>
        <w:t>x-axis</w:t>
      </w:r>
      <w:r w:rsidR="00D748CB">
        <w:rPr>
          <w:rFonts w:ascii="Times New Roman" w:hAnsi="Times New Roman" w:cs="Times New Roman"/>
        </w:rPr>
        <w:t>.</w:t>
      </w:r>
    </w:p>
    <w:p w14:paraId="59110682" w14:textId="5DB039DC" w:rsidR="00F72034" w:rsidRPr="00EA0E39" w:rsidRDefault="00E44D07" w:rsidP="00EA0E39">
      <w:pPr>
        <w:rPr>
          <w:rFonts w:ascii="Times New Roman" w:hAnsi="Times New Roman" w:cs="Times New Roman"/>
          <w:sz w:val="24"/>
          <w:szCs w:val="24"/>
        </w:rPr>
      </w:pPr>
      <w:r w:rsidRPr="00EA0E39">
        <w:rPr>
          <w:rFonts w:ascii="Times New Roman" w:hAnsi="Times New Roman" w:cs="Times New Roman"/>
        </w:rPr>
        <w:t>Source: Authors’ calculation using data from the five rounds of censuses (GSS 2013)</w:t>
      </w:r>
      <w:r w:rsidR="00D748CB" w:rsidRPr="00EA0E39">
        <w:rPr>
          <w:rFonts w:ascii="Times New Roman" w:hAnsi="Times New Roman" w:cs="Times New Roman"/>
        </w:rPr>
        <w:t>.</w:t>
      </w:r>
    </w:p>
    <w:p w14:paraId="4CA8900D" w14:textId="77777777" w:rsidR="006354CF" w:rsidRDefault="006354CF" w:rsidP="00EF7FD9">
      <w:pPr>
        <w:spacing w:after="240"/>
        <w:ind w:firstLine="360"/>
        <w:jc w:val="both"/>
        <w:rPr>
          <w:rFonts w:ascii="Times New Roman" w:hAnsi="Times New Roman" w:cs="Times New Roman"/>
          <w:sz w:val="24"/>
          <w:szCs w:val="24"/>
          <w:u w:val="single"/>
        </w:rPr>
      </w:pPr>
    </w:p>
    <w:p w14:paraId="3916E52B" w14:textId="3E00352B" w:rsidR="00F72034" w:rsidRPr="007415D2" w:rsidRDefault="00D52F18" w:rsidP="00EF7FD9">
      <w:pPr>
        <w:spacing w:after="240"/>
        <w:jc w:val="both"/>
        <w:rPr>
          <w:rFonts w:ascii="Times New Roman" w:hAnsi="Times New Roman" w:cs="Times New Roman"/>
          <w:b/>
          <w:i/>
          <w:sz w:val="24"/>
          <w:szCs w:val="24"/>
        </w:rPr>
      </w:pPr>
      <w:r>
        <w:rPr>
          <w:rFonts w:ascii="Times New Roman" w:hAnsi="Times New Roman" w:cs="Times New Roman"/>
          <w:b/>
          <w:i/>
          <w:sz w:val="24"/>
          <w:szCs w:val="24"/>
        </w:rPr>
        <w:t>9</w:t>
      </w:r>
      <w:r w:rsidR="007415D2">
        <w:rPr>
          <w:rFonts w:ascii="Times New Roman" w:hAnsi="Times New Roman" w:cs="Times New Roman"/>
          <w:b/>
          <w:i/>
          <w:sz w:val="24"/>
          <w:szCs w:val="24"/>
        </w:rPr>
        <w:t xml:space="preserve">.2.1 </w:t>
      </w:r>
      <w:r w:rsidR="00F72034" w:rsidRPr="007415D2">
        <w:rPr>
          <w:rFonts w:ascii="Times New Roman" w:hAnsi="Times New Roman" w:cs="Times New Roman"/>
          <w:b/>
          <w:i/>
          <w:sz w:val="24"/>
          <w:szCs w:val="24"/>
        </w:rPr>
        <w:t>A Spatial Typology</w:t>
      </w:r>
      <w:r w:rsidR="000E21A2" w:rsidRPr="007415D2">
        <w:rPr>
          <w:rFonts w:ascii="Times New Roman" w:hAnsi="Times New Roman" w:cs="Times New Roman"/>
          <w:b/>
          <w:i/>
          <w:sz w:val="24"/>
          <w:szCs w:val="24"/>
        </w:rPr>
        <w:t xml:space="preserve"> of Rural </w:t>
      </w:r>
      <w:r w:rsidR="00D95439">
        <w:rPr>
          <w:rFonts w:ascii="Times New Roman" w:hAnsi="Times New Roman" w:cs="Times New Roman"/>
          <w:b/>
          <w:i/>
          <w:sz w:val="24"/>
          <w:szCs w:val="24"/>
        </w:rPr>
        <w:t>Areas</w:t>
      </w:r>
    </w:p>
    <w:p w14:paraId="2EE68B6E" w14:textId="735022BE" w:rsidR="00BB79B3" w:rsidRDefault="00BB79B3" w:rsidP="00A5487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N</w:t>
      </w:r>
      <w:r w:rsidRPr="00CD704D">
        <w:rPr>
          <w:rFonts w:ascii="Times New Roman" w:hAnsi="Times New Roman" w:cs="Times New Roman"/>
          <w:sz w:val="24"/>
          <w:szCs w:val="24"/>
        </w:rPr>
        <w:t>ational</w:t>
      </w:r>
      <w:r w:rsidR="00934F14">
        <w:rPr>
          <w:rFonts w:ascii="Times New Roman" w:hAnsi="Times New Roman" w:cs="Times New Roman"/>
          <w:sz w:val="24"/>
          <w:szCs w:val="24"/>
        </w:rPr>
        <w:t xml:space="preserve"> </w:t>
      </w:r>
      <w:r w:rsidRPr="00CD704D">
        <w:rPr>
          <w:rFonts w:ascii="Times New Roman" w:hAnsi="Times New Roman" w:cs="Times New Roman"/>
          <w:sz w:val="24"/>
          <w:szCs w:val="24"/>
        </w:rPr>
        <w:t>level statistics mask considerable spatial heterogeneity</w:t>
      </w:r>
      <w:r>
        <w:rPr>
          <w:rFonts w:ascii="Times New Roman" w:hAnsi="Times New Roman" w:cs="Times New Roman"/>
          <w:sz w:val="24"/>
          <w:szCs w:val="24"/>
        </w:rPr>
        <w:t xml:space="preserve"> within Ghana, which we capture through use of a </w:t>
      </w:r>
      <w:r w:rsidRPr="00CD704D">
        <w:rPr>
          <w:rFonts w:ascii="Times New Roman" w:hAnsi="Times New Roman" w:cs="Times New Roman"/>
          <w:sz w:val="24"/>
          <w:szCs w:val="24"/>
        </w:rPr>
        <w:t>spatial typology of rural areas.</w:t>
      </w:r>
      <w:r>
        <w:rPr>
          <w:rFonts w:ascii="Times New Roman" w:hAnsi="Times New Roman" w:cs="Times New Roman"/>
          <w:sz w:val="24"/>
          <w:szCs w:val="24"/>
        </w:rPr>
        <w:t xml:space="preserve"> </w:t>
      </w:r>
      <w:r w:rsidRPr="00CD704D">
        <w:rPr>
          <w:rFonts w:ascii="Times New Roman" w:hAnsi="Times New Roman" w:cs="Times New Roman"/>
          <w:sz w:val="24"/>
          <w:szCs w:val="24"/>
        </w:rPr>
        <w:t xml:space="preserve">Specifically, we take districts as our primary spatial unit, and classify </w:t>
      </w:r>
      <w:r w:rsidR="00D95439">
        <w:rPr>
          <w:rFonts w:ascii="Times New Roman" w:hAnsi="Times New Roman" w:cs="Times New Roman"/>
          <w:sz w:val="24"/>
          <w:szCs w:val="24"/>
        </w:rPr>
        <w:t>districts</w:t>
      </w:r>
      <w:r w:rsidRPr="00CD704D">
        <w:rPr>
          <w:rFonts w:ascii="Times New Roman" w:hAnsi="Times New Roman" w:cs="Times New Roman"/>
          <w:sz w:val="24"/>
          <w:szCs w:val="24"/>
        </w:rPr>
        <w:t xml:space="preserve"> by the size of their largest city. Similar studies have </w:t>
      </w:r>
      <w:r w:rsidR="008612CE">
        <w:rPr>
          <w:rFonts w:ascii="Times New Roman" w:hAnsi="Times New Roman" w:cs="Times New Roman"/>
          <w:sz w:val="24"/>
          <w:szCs w:val="24"/>
        </w:rPr>
        <w:t xml:space="preserve">found correlations between the size of a city and its impact </w:t>
      </w:r>
      <w:r w:rsidR="008612CE">
        <w:rPr>
          <w:rFonts w:ascii="Times New Roman" w:hAnsi="Times New Roman" w:cs="Times New Roman"/>
          <w:sz w:val="24"/>
          <w:szCs w:val="24"/>
        </w:rPr>
        <w:lastRenderedPageBreak/>
        <w:t>on the surrounding rural areas</w:t>
      </w:r>
      <w:r w:rsidRPr="00CD704D">
        <w:rPr>
          <w:rFonts w:ascii="Times New Roman" w:hAnsi="Times New Roman" w:cs="Times New Roman"/>
          <w:sz w:val="24"/>
          <w:szCs w:val="24"/>
        </w:rPr>
        <w:t xml:space="preserve"> (e.g., </w:t>
      </w:r>
      <w:proofErr w:type="spellStart"/>
      <w:r w:rsidRPr="00CD704D">
        <w:rPr>
          <w:rFonts w:ascii="Times New Roman" w:hAnsi="Times New Roman" w:cs="Times New Roman"/>
          <w:sz w:val="24"/>
          <w:szCs w:val="24"/>
        </w:rPr>
        <w:t>Berdegue</w:t>
      </w:r>
      <w:proofErr w:type="spellEnd"/>
      <w:r w:rsidRPr="00CD704D">
        <w:rPr>
          <w:rFonts w:ascii="Times New Roman" w:hAnsi="Times New Roman" w:cs="Times New Roman"/>
          <w:sz w:val="24"/>
          <w:szCs w:val="24"/>
        </w:rPr>
        <w:t xml:space="preserve"> et al 2015; </w:t>
      </w:r>
      <w:proofErr w:type="spellStart"/>
      <w:r w:rsidRPr="00CD704D">
        <w:rPr>
          <w:rFonts w:ascii="Times New Roman" w:hAnsi="Times New Roman" w:cs="Times New Roman"/>
          <w:sz w:val="24"/>
          <w:szCs w:val="24"/>
        </w:rPr>
        <w:t>Deichmann</w:t>
      </w:r>
      <w:proofErr w:type="spellEnd"/>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Shilpi</w:t>
      </w:r>
      <w:proofErr w:type="spellEnd"/>
      <w:r w:rsidRPr="00CD704D">
        <w:rPr>
          <w:rFonts w:ascii="Times New Roman" w:hAnsi="Times New Roman" w:cs="Times New Roman"/>
          <w:sz w:val="24"/>
          <w:szCs w:val="24"/>
        </w:rPr>
        <w:t xml:space="preserve"> and </w:t>
      </w:r>
      <w:proofErr w:type="spellStart"/>
      <w:r w:rsidRPr="00CD704D">
        <w:rPr>
          <w:rFonts w:ascii="Times New Roman" w:hAnsi="Times New Roman" w:cs="Times New Roman"/>
          <w:sz w:val="24"/>
          <w:szCs w:val="24"/>
        </w:rPr>
        <w:t>Vakis</w:t>
      </w:r>
      <w:proofErr w:type="spellEnd"/>
      <w:r w:rsidRPr="00CD704D">
        <w:rPr>
          <w:rFonts w:ascii="Times New Roman" w:hAnsi="Times New Roman" w:cs="Times New Roman"/>
          <w:sz w:val="24"/>
          <w:szCs w:val="24"/>
        </w:rPr>
        <w:t xml:space="preserve"> 2008). An alternative approach would be to capture the effect of proximity to cities using a gravity model</w:t>
      </w:r>
      <w:r w:rsidR="008612CE">
        <w:rPr>
          <w:rFonts w:ascii="Times New Roman" w:hAnsi="Times New Roman" w:cs="Times New Roman"/>
          <w:sz w:val="24"/>
          <w:szCs w:val="24"/>
        </w:rPr>
        <w:t xml:space="preserve"> as done by </w:t>
      </w:r>
      <w:r w:rsidRPr="00CD704D">
        <w:rPr>
          <w:rFonts w:ascii="Times New Roman" w:hAnsi="Times New Roman" w:cs="Times New Roman"/>
          <w:sz w:val="24"/>
          <w:szCs w:val="24"/>
        </w:rPr>
        <w:t>Binswanger-</w:t>
      </w:r>
      <w:proofErr w:type="spellStart"/>
      <w:r w:rsidRPr="00CD704D">
        <w:rPr>
          <w:rFonts w:ascii="Times New Roman" w:hAnsi="Times New Roman" w:cs="Times New Roman"/>
          <w:sz w:val="24"/>
          <w:szCs w:val="24"/>
        </w:rPr>
        <w:t>Mkhiz</w:t>
      </w:r>
      <w:r w:rsidR="008612CE">
        <w:rPr>
          <w:rFonts w:ascii="Times New Roman" w:hAnsi="Times New Roman" w:cs="Times New Roman"/>
          <w:sz w:val="24"/>
          <w:szCs w:val="24"/>
        </w:rPr>
        <w:t>e</w:t>
      </w:r>
      <w:proofErr w:type="spellEnd"/>
      <w:r w:rsidRPr="00CD704D">
        <w:rPr>
          <w:rFonts w:ascii="Times New Roman" w:hAnsi="Times New Roman" w:cs="Times New Roman"/>
          <w:sz w:val="24"/>
          <w:szCs w:val="24"/>
        </w:rPr>
        <w:t xml:space="preserve"> et al (2016)</w:t>
      </w:r>
      <w:r w:rsidR="008612CE">
        <w:rPr>
          <w:rFonts w:ascii="Times New Roman" w:hAnsi="Times New Roman" w:cs="Times New Roman"/>
          <w:sz w:val="24"/>
          <w:szCs w:val="24"/>
        </w:rPr>
        <w:t>,</w:t>
      </w:r>
      <w:r w:rsidRPr="00CD704D">
        <w:rPr>
          <w:rFonts w:ascii="Times New Roman" w:hAnsi="Times New Roman" w:cs="Times New Roman"/>
          <w:sz w:val="24"/>
          <w:szCs w:val="24"/>
        </w:rPr>
        <w:t xml:space="preserve"> who measure urban gravity </w:t>
      </w:r>
      <w:r>
        <w:rPr>
          <w:rFonts w:ascii="Times New Roman" w:hAnsi="Times New Roman" w:cs="Times New Roman"/>
          <w:sz w:val="24"/>
          <w:szCs w:val="24"/>
        </w:rPr>
        <w:t xml:space="preserve">in Kenya using satellite images of the </w:t>
      </w:r>
      <w:r w:rsidRPr="00CD704D">
        <w:rPr>
          <w:rFonts w:ascii="Times New Roman" w:hAnsi="Times New Roman" w:cs="Times New Roman"/>
          <w:sz w:val="24"/>
          <w:szCs w:val="24"/>
        </w:rPr>
        <w:t xml:space="preserve">light intensity emanating from urban areas into </w:t>
      </w:r>
      <w:r>
        <w:rPr>
          <w:rFonts w:ascii="Times New Roman" w:hAnsi="Times New Roman" w:cs="Times New Roman"/>
          <w:sz w:val="24"/>
          <w:szCs w:val="24"/>
        </w:rPr>
        <w:t>surrounding rural villages</w:t>
      </w:r>
      <w:r w:rsidRPr="00CD704D">
        <w:rPr>
          <w:rFonts w:ascii="Times New Roman" w:hAnsi="Times New Roman" w:cs="Times New Roman"/>
          <w:sz w:val="24"/>
          <w:szCs w:val="24"/>
        </w:rPr>
        <w:t>.</w:t>
      </w:r>
      <w:r>
        <w:rPr>
          <w:rFonts w:ascii="Times New Roman" w:hAnsi="Times New Roman" w:cs="Times New Roman"/>
          <w:sz w:val="24"/>
          <w:szCs w:val="24"/>
        </w:rPr>
        <w:t xml:space="preserve"> </w:t>
      </w:r>
      <w:r w:rsidR="008612CE">
        <w:rPr>
          <w:rFonts w:ascii="Times New Roman" w:hAnsi="Times New Roman" w:cs="Times New Roman"/>
          <w:sz w:val="24"/>
          <w:szCs w:val="24"/>
        </w:rPr>
        <w:t xml:space="preserve">However, </w:t>
      </w:r>
      <w:r>
        <w:rPr>
          <w:rFonts w:ascii="Times New Roman" w:hAnsi="Times New Roman" w:cs="Times New Roman"/>
          <w:sz w:val="24"/>
          <w:szCs w:val="24"/>
        </w:rPr>
        <w:t xml:space="preserve">this approach </w:t>
      </w:r>
      <w:r w:rsidR="00934F14">
        <w:rPr>
          <w:rFonts w:ascii="Times New Roman" w:hAnsi="Times New Roman" w:cs="Times New Roman"/>
          <w:sz w:val="24"/>
          <w:szCs w:val="24"/>
        </w:rPr>
        <w:t>requires data that is not available</w:t>
      </w:r>
      <w:r w:rsidR="008612CE">
        <w:rPr>
          <w:rFonts w:ascii="Times New Roman" w:hAnsi="Times New Roman" w:cs="Times New Roman"/>
          <w:sz w:val="24"/>
          <w:szCs w:val="24"/>
        </w:rPr>
        <w:t xml:space="preserve"> for</w:t>
      </w:r>
      <w:r w:rsidR="00934F14">
        <w:rPr>
          <w:rFonts w:ascii="Times New Roman" w:hAnsi="Times New Roman" w:cs="Times New Roman"/>
          <w:sz w:val="24"/>
          <w:szCs w:val="24"/>
        </w:rPr>
        <w:t xml:space="preserve"> Ghana</w:t>
      </w:r>
      <w:r>
        <w:rPr>
          <w:rFonts w:ascii="Times New Roman" w:hAnsi="Times New Roman" w:cs="Times New Roman"/>
          <w:sz w:val="24"/>
          <w:szCs w:val="24"/>
        </w:rPr>
        <w:t>.</w:t>
      </w:r>
    </w:p>
    <w:p w14:paraId="771856B9" w14:textId="2DD7A064" w:rsidR="00F163DD" w:rsidRPr="00CD704D" w:rsidRDefault="008F04A2"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Ghana </w:t>
      </w:r>
      <w:r w:rsidR="006354CF">
        <w:rPr>
          <w:rFonts w:ascii="Times New Roman" w:hAnsi="Times New Roman" w:cs="Times New Roman"/>
          <w:sz w:val="24"/>
          <w:szCs w:val="24"/>
        </w:rPr>
        <w:t xml:space="preserve">has a </w:t>
      </w:r>
      <w:r w:rsidRPr="00CD704D">
        <w:rPr>
          <w:rFonts w:ascii="Times New Roman" w:hAnsi="Times New Roman" w:cs="Times New Roman"/>
          <w:sz w:val="24"/>
          <w:szCs w:val="24"/>
        </w:rPr>
        <w:t>well</w:t>
      </w:r>
      <w:r w:rsidR="00BB79B3">
        <w:rPr>
          <w:rFonts w:ascii="Times New Roman" w:hAnsi="Times New Roman" w:cs="Times New Roman"/>
          <w:sz w:val="24"/>
          <w:szCs w:val="24"/>
        </w:rPr>
        <w:t>-</w:t>
      </w:r>
      <w:r w:rsidR="008B7D26">
        <w:rPr>
          <w:rFonts w:ascii="Times New Roman" w:hAnsi="Times New Roman" w:cs="Times New Roman"/>
          <w:sz w:val="24"/>
          <w:szCs w:val="24"/>
        </w:rPr>
        <w:t xml:space="preserve">defined </w:t>
      </w:r>
      <w:r w:rsidRPr="00CD704D">
        <w:rPr>
          <w:rFonts w:ascii="Times New Roman" w:hAnsi="Times New Roman" w:cs="Times New Roman"/>
          <w:sz w:val="24"/>
          <w:szCs w:val="24"/>
        </w:rPr>
        <w:t>south-north divide</w:t>
      </w:r>
      <w:r w:rsidR="00F72034">
        <w:rPr>
          <w:rFonts w:ascii="Times New Roman" w:hAnsi="Times New Roman" w:cs="Times New Roman"/>
          <w:sz w:val="24"/>
          <w:szCs w:val="24"/>
        </w:rPr>
        <w:t>,</w:t>
      </w:r>
      <w:r w:rsidRPr="00CD704D">
        <w:rPr>
          <w:rFonts w:ascii="Times New Roman" w:hAnsi="Times New Roman" w:cs="Times New Roman"/>
          <w:sz w:val="24"/>
          <w:szCs w:val="24"/>
        </w:rPr>
        <w:t xml:space="preserve"> </w:t>
      </w:r>
      <w:r w:rsidR="00E1023D">
        <w:rPr>
          <w:rFonts w:ascii="Times New Roman" w:hAnsi="Times New Roman" w:cs="Times New Roman"/>
          <w:sz w:val="24"/>
          <w:szCs w:val="24"/>
        </w:rPr>
        <w:t xml:space="preserve">which, amongst other things, reflects spatial differences in </w:t>
      </w:r>
      <w:proofErr w:type="spellStart"/>
      <w:r w:rsidR="00E1023D">
        <w:rPr>
          <w:rFonts w:ascii="Times New Roman" w:hAnsi="Times New Roman" w:cs="Times New Roman"/>
          <w:sz w:val="24"/>
          <w:szCs w:val="24"/>
        </w:rPr>
        <w:t>agro</w:t>
      </w:r>
      <w:r w:rsidR="00287138">
        <w:rPr>
          <w:rFonts w:ascii="Times New Roman" w:hAnsi="Times New Roman" w:cs="Times New Roman"/>
          <w:sz w:val="24"/>
          <w:szCs w:val="24"/>
        </w:rPr>
        <w:t>e</w:t>
      </w:r>
      <w:r w:rsidR="00E1023D">
        <w:rPr>
          <w:rFonts w:ascii="Times New Roman" w:hAnsi="Times New Roman" w:cs="Times New Roman"/>
          <w:sz w:val="24"/>
          <w:szCs w:val="24"/>
        </w:rPr>
        <w:t>cological</w:t>
      </w:r>
      <w:proofErr w:type="spellEnd"/>
      <w:r w:rsidR="00E1023D">
        <w:rPr>
          <w:rFonts w:ascii="Times New Roman" w:hAnsi="Times New Roman" w:cs="Times New Roman"/>
          <w:sz w:val="24"/>
          <w:szCs w:val="24"/>
        </w:rPr>
        <w:t xml:space="preserve"> conditions, population density</w:t>
      </w:r>
      <w:r w:rsidR="00014E14">
        <w:rPr>
          <w:rFonts w:ascii="Times New Roman" w:hAnsi="Times New Roman" w:cs="Times New Roman"/>
          <w:sz w:val="24"/>
          <w:szCs w:val="24"/>
        </w:rPr>
        <w:t xml:space="preserve">, </w:t>
      </w:r>
      <w:r w:rsidR="00E1023D">
        <w:rPr>
          <w:rFonts w:ascii="Times New Roman" w:hAnsi="Times New Roman" w:cs="Times New Roman"/>
          <w:sz w:val="24"/>
          <w:szCs w:val="24"/>
        </w:rPr>
        <w:t>rural infrastructure</w:t>
      </w:r>
      <w:r w:rsidR="00014E14">
        <w:rPr>
          <w:rFonts w:ascii="Times New Roman" w:hAnsi="Times New Roman" w:cs="Times New Roman"/>
          <w:sz w:val="24"/>
          <w:szCs w:val="24"/>
        </w:rPr>
        <w:t>, and levels of urbanization</w:t>
      </w:r>
      <w:r w:rsidR="00E1023D">
        <w:rPr>
          <w:rFonts w:ascii="Times New Roman" w:hAnsi="Times New Roman" w:cs="Times New Roman"/>
          <w:sz w:val="24"/>
          <w:szCs w:val="24"/>
        </w:rPr>
        <w:t>. As a first step in our typology, we therefore differentiate between two major regions</w:t>
      </w:r>
      <w:r w:rsidR="00014E14">
        <w:rPr>
          <w:rFonts w:ascii="Times New Roman" w:hAnsi="Times New Roman" w:cs="Times New Roman"/>
          <w:sz w:val="24"/>
          <w:szCs w:val="24"/>
        </w:rPr>
        <w:t xml:space="preserve"> based on </w:t>
      </w:r>
      <w:r w:rsidR="00287138">
        <w:rPr>
          <w:rFonts w:ascii="Times New Roman" w:hAnsi="Times New Roman" w:cs="Times New Roman"/>
          <w:sz w:val="24"/>
          <w:szCs w:val="24"/>
        </w:rPr>
        <w:t>both the</w:t>
      </w:r>
      <w:r w:rsidR="00014E14">
        <w:rPr>
          <w:rFonts w:ascii="Times New Roman" w:hAnsi="Times New Roman" w:cs="Times New Roman"/>
          <w:sz w:val="24"/>
          <w:szCs w:val="24"/>
        </w:rPr>
        <w:t xml:space="preserve"> north-south divide</w:t>
      </w:r>
      <w:r w:rsidR="00287138">
        <w:rPr>
          <w:rFonts w:ascii="Times New Roman" w:hAnsi="Times New Roman" w:cs="Times New Roman"/>
          <w:sz w:val="24"/>
          <w:szCs w:val="24"/>
        </w:rPr>
        <w:t xml:space="preserve"> and </w:t>
      </w:r>
      <w:proofErr w:type="spellStart"/>
      <w:r w:rsidR="00287138">
        <w:rPr>
          <w:rFonts w:ascii="Times New Roman" w:hAnsi="Times New Roman" w:cs="Times New Roman"/>
          <w:sz w:val="24"/>
          <w:szCs w:val="24"/>
        </w:rPr>
        <w:t>agroecological</w:t>
      </w:r>
      <w:proofErr w:type="spellEnd"/>
      <w:r w:rsidR="00287138">
        <w:rPr>
          <w:rFonts w:ascii="Times New Roman" w:hAnsi="Times New Roman" w:cs="Times New Roman"/>
          <w:sz w:val="24"/>
          <w:szCs w:val="24"/>
        </w:rPr>
        <w:t xml:space="preserve"> conditions</w:t>
      </w:r>
      <w:r w:rsidR="00014E14">
        <w:rPr>
          <w:rFonts w:ascii="Times New Roman" w:hAnsi="Times New Roman" w:cs="Times New Roman"/>
          <w:sz w:val="24"/>
          <w:szCs w:val="24"/>
        </w:rPr>
        <w:t xml:space="preserve">. </w:t>
      </w:r>
      <w:r w:rsidR="00F72034">
        <w:rPr>
          <w:rFonts w:ascii="Times New Roman" w:hAnsi="Times New Roman" w:cs="Times New Roman"/>
          <w:sz w:val="24"/>
          <w:szCs w:val="24"/>
        </w:rPr>
        <w:t xml:space="preserve">We distinguish between </w:t>
      </w:r>
      <w:r w:rsidR="00E1023D">
        <w:rPr>
          <w:rFonts w:ascii="Times New Roman" w:hAnsi="Times New Roman" w:cs="Times New Roman"/>
          <w:sz w:val="24"/>
          <w:szCs w:val="24"/>
        </w:rPr>
        <w:t>the agriculturally dominant north</w:t>
      </w:r>
      <w:r w:rsidR="00F72034">
        <w:rPr>
          <w:rFonts w:ascii="Times New Roman" w:hAnsi="Times New Roman" w:cs="Times New Roman"/>
          <w:sz w:val="24"/>
          <w:szCs w:val="24"/>
        </w:rPr>
        <w:t>,</w:t>
      </w:r>
      <w:r w:rsidR="00014E14">
        <w:rPr>
          <w:rFonts w:ascii="Times New Roman" w:hAnsi="Times New Roman" w:cs="Times New Roman"/>
          <w:sz w:val="24"/>
          <w:szCs w:val="24"/>
        </w:rPr>
        <w:t xml:space="preserve"> </w:t>
      </w:r>
      <w:r w:rsidR="00E1023D">
        <w:rPr>
          <w:rFonts w:ascii="Times New Roman" w:hAnsi="Times New Roman" w:cs="Times New Roman"/>
          <w:sz w:val="24"/>
          <w:szCs w:val="24"/>
        </w:rPr>
        <w:t xml:space="preserve">comprising the </w:t>
      </w:r>
      <w:r w:rsidR="002C7F63">
        <w:rPr>
          <w:rFonts w:ascii="Times New Roman" w:hAnsi="Times New Roman" w:cs="Times New Roman"/>
          <w:sz w:val="24"/>
          <w:szCs w:val="24"/>
        </w:rPr>
        <w:t xml:space="preserve">regions </w:t>
      </w:r>
      <w:r w:rsidR="00014E14">
        <w:rPr>
          <w:rFonts w:ascii="Times New Roman" w:hAnsi="Times New Roman" w:cs="Times New Roman"/>
          <w:sz w:val="24"/>
          <w:szCs w:val="24"/>
        </w:rPr>
        <w:t xml:space="preserve">of </w:t>
      </w:r>
      <w:proofErr w:type="spellStart"/>
      <w:r w:rsidR="002D00AA" w:rsidRPr="00CD704D">
        <w:rPr>
          <w:rFonts w:ascii="Times New Roman" w:hAnsi="Times New Roman" w:cs="Times New Roman"/>
          <w:sz w:val="24"/>
          <w:szCs w:val="24"/>
        </w:rPr>
        <w:t>Brong</w:t>
      </w:r>
      <w:proofErr w:type="spellEnd"/>
      <w:r w:rsidR="002D00AA" w:rsidRPr="00CD704D">
        <w:rPr>
          <w:rFonts w:ascii="Times New Roman" w:hAnsi="Times New Roman" w:cs="Times New Roman"/>
          <w:sz w:val="24"/>
          <w:szCs w:val="24"/>
        </w:rPr>
        <w:t xml:space="preserve"> </w:t>
      </w:r>
      <w:proofErr w:type="spellStart"/>
      <w:r w:rsidR="002D00AA" w:rsidRPr="00CD704D">
        <w:rPr>
          <w:rFonts w:ascii="Times New Roman" w:hAnsi="Times New Roman" w:cs="Times New Roman"/>
          <w:sz w:val="24"/>
          <w:szCs w:val="24"/>
        </w:rPr>
        <w:t>Ahafo</w:t>
      </w:r>
      <w:proofErr w:type="spellEnd"/>
      <w:r w:rsidR="002D00AA" w:rsidRPr="00CD704D">
        <w:rPr>
          <w:rFonts w:ascii="Times New Roman" w:hAnsi="Times New Roman" w:cs="Times New Roman"/>
          <w:sz w:val="24"/>
          <w:szCs w:val="24"/>
        </w:rPr>
        <w:t>, Northern, Upper East and Upper West</w:t>
      </w:r>
      <w:r w:rsidR="002C7F63">
        <w:rPr>
          <w:rFonts w:ascii="Times New Roman" w:hAnsi="Times New Roman" w:cs="Times New Roman"/>
          <w:sz w:val="24"/>
          <w:szCs w:val="24"/>
        </w:rPr>
        <w:t xml:space="preserve">, which </w:t>
      </w:r>
      <w:r w:rsidR="00F72034">
        <w:rPr>
          <w:rFonts w:ascii="Times New Roman" w:hAnsi="Times New Roman" w:cs="Times New Roman"/>
          <w:sz w:val="24"/>
          <w:szCs w:val="24"/>
        </w:rPr>
        <w:t>we call</w:t>
      </w:r>
      <w:r w:rsidR="008612CE">
        <w:rPr>
          <w:rFonts w:ascii="Times New Roman" w:hAnsi="Times New Roman" w:cs="Times New Roman"/>
          <w:sz w:val="24"/>
          <w:szCs w:val="24"/>
        </w:rPr>
        <w:t xml:space="preserve"> the</w:t>
      </w:r>
      <w:r w:rsidR="00F72034">
        <w:rPr>
          <w:rFonts w:ascii="Times New Roman" w:hAnsi="Times New Roman" w:cs="Times New Roman"/>
          <w:sz w:val="24"/>
          <w:szCs w:val="24"/>
        </w:rPr>
        <w:t xml:space="preserve"> </w:t>
      </w:r>
      <w:r w:rsidR="00F57E10" w:rsidRPr="008D54D6">
        <w:rPr>
          <w:rFonts w:ascii="Times New Roman" w:hAnsi="Times New Roman" w:cs="Times New Roman"/>
          <w:b/>
          <w:sz w:val="24"/>
          <w:szCs w:val="24"/>
        </w:rPr>
        <w:t>North</w:t>
      </w:r>
      <w:r w:rsidR="006E5897">
        <w:rPr>
          <w:rFonts w:ascii="Times New Roman" w:hAnsi="Times New Roman" w:cs="Times New Roman"/>
          <w:sz w:val="24"/>
          <w:szCs w:val="24"/>
        </w:rPr>
        <w:t>.</w:t>
      </w:r>
      <w:r w:rsidR="00F72034">
        <w:rPr>
          <w:rFonts w:ascii="Times New Roman" w:hAnsi="Times New Roman" w:cs="Times New Roman"/>
          <w:sz w:val="24"/>
          <w:szCs w:val="24"/>
        </w:rPr>
        <w:t xml:space="preserve"> </w:t>
      </w:r>
      <w:r w:rsidR="002C7F63">
        <w:rPr>
          <w:rFonts w:ascii="Times New Roman" w:hAnsi="Times New Roman" w:cs="Times New Roman"/>
          <w:sz w:val="24"/>
          <w:szCs w:val="24"/>
        </w:rPr>
        <w:t>The North</w:t>
      </w:r>
      <w:r w:rsidR="00F72034">
        <w:rPr>
          <w:rFonts w:ascii="Times New Roman" w:hAnsi="Times New Roman" w:cs="Times New Roman"/>
          <w:sz w:val="24"/>
          <w:szCs w:val="24"/>
        </w:rPr>
        <w:t xml:space="preserve"> has a</w:t>
      </w:r>
      <w:r w:rsidR="00354575" w:rsidRPr="00CD704D">
        <w:rPr>
          <w:rFonts w:ascii="Times New Roman" w:hAnsi="Times New Roman" w:cs="Times New Roman"/>
          <w:sz w:val="24"/>
          <w:szCs w:val="24"/>
        </w:rPr>
        <w:t xml:space="preserve"> </w:t>
      </w:r>
      <w:r w:rsidR="00F163DD" w:rsidRPr="00CD704D">
        <w:rPr>
          <w:rFonts w:ascii="Times New Roman" w:hAnsi="Times New Roman" w:cs="Times New Roman"/>
          <w:sz w:val="24"/>
          <w:szCs w:val="24"/>
        </w:rPr>
        <w:t>low population density</w:t>
      </w:r>
      <w:r w:rsidR="00443F95" w:rsidRPr="00CD704D">
        <w:rPr>
          <w:rFonts w:ascii="Times New Roman" w:hAnsi="Times New Roman" w:cs="Times New Roman"/>
          <w:sz w:val="24"/>
          <w:szCs w:val="24"/>
        </w:rPr>
        <w:t>,</w:t>
      </w:r>
      <w:r w:rsidR="00F72034">
        <w:rPr>
          <w:rFonts w:ascii="Times New Roman" w:hAnsi="Times New Roman" w:cs="Times New Roman"/>
          <w:sz w:val="24"/>
          <w:szCs w:val="24"/>
        </w:rPr>
        <w:t xml:space="preserve"> is</w:t>
      </w:r>
      <w:r w:rsidR="00443F95" w:rsidRPr="00CD704D">
        <w:rPr>
          <w:rFonts w:ascii="Times New Roman" w:hAnsi="Times New Roman" w:cs="Times New Roman"/>
          <w:sz w:val="24"/>
          <w:szCs w:val="24"/>
        </w:rPr>
        <w:t xml:space="preserve"> relatively far from </w:t>
      </w:r>
      <w:r w:rsidR="008612CE">
        <w:rPr>
          <w:rFonts w:ascii="Times New Roman" w:hAnsi="Times New Roman" w:cs="Times New Roman"/>
          <w:sz w:val="24"/>
          <w:szCs w:val="24"/>
        </w:rPr>
        <w:t xml:space="preserve">most </w:t>
      </w:r>
      <w:r w:rsidR="00443F95" w:rsidRPr="00CD704D">
        <w:rPr>
          <w:rFonts w:ascii="Times New Roman" w:hAnsi="Times New Roman" w:cs="Times New Roman"/>
          <w:sz w:val="24"/>
          <w:szCs w:val="24"/>
        </w:rPr>
        <w:t>large cit</w:t>
      </w:r>
      <w:r w:rsidR="00354575" w:rsidRPr="00CD704D">
        <w:rPr>
          <w:rFonts w:ascii="Times New Roman" w:hAnsi="Times New Roman" w:cs="Times New Roman"/>
          <w:sz w:val="24"/>
          <w:szCs w:val="24"/>
        </w:rPr>
        <w:t>ies</w:t>
      </w:r>
      <w:r w:rsidR="00F163DD" w:rsidRPr="00CD704D">
        <w:rPr>
          <w:rFonts w:ascii="Times New Roman" w:hAnsi="Times New Roman" w:cs="Times New Roman"/>
          <w:sz w:val="24"/>
          <w:szCs w:val="24"/>
        </w:rPr>
        <w:t xml:space="preserve">, and most </w:t>
      </w:r>
      <w:r w:rsidR="00224428">
        <w:rPr>
          <w:rFonts w:ascii="Times New Roman" w:hAnsi="Times New Roman" w:cs="Times New Roman"/>
          <w:sz w:val="24"/>
          <w:szCs w:val="24"/>
        </w:rPr>
        <w:t xml:space="preserve">of its </w:t>
      </w:r>
      <w:r w:rsidR="00F163DD" w:rsidRPr="00CD704D">
        <w:rPr>
          <w:rFonts w:ascii="Times New Roman" w:hAnsi="Times New Roman" w:cs="Times New Roman"/>
          <w:sz w:val="24"/>
          <w:szCs w:val="24"/>
        </w:rPr>
        <w:t xml:space="preserve">rural households are </w:t>
      </w:r>
      <w:r w:rsidR="00354575" w:rsidRPr="00CD704D">
        <w:rPr>
          <w:rFonts w:ascii="Times New Roman" w:hAnsi="Times New Roman" w:cs="Times New Roman"/>
          <w:sz w:val="24"/>
          <w:szCs w:val="24"/>
        </w:rPr>
        <w:t xml:space="preserve">predominantly </w:t>
      </w:r>
      <w:r w:rsidR="00F163DD" w:rsidRPr="00CD704D">
        <w:rPr>
          <w:rFonts w:ascii="Times New Roman" w:hAnsi="Times New Roman" w:cs="Times New Roman"/>
          <w:sz w:val="24"/>
          <w:szCs w:val="24"/>
        </w:rPr>
        <w:t xml:space="preserve">engaged in farming. </w:t>
      </w:r>
      <w:r w:rsidR="008612CE">
        <w:rPr>
          <w:rFonts w:ascii="Times New Roman" w:hAnsi="Times New Roman" w:cs="Times New Roman"/>
          <w:sz w:val="24"/>
          <w:szCs w:val="24"/>
        </w:rPr>
        <w:t xml:space="preserve">The </w:t>
      </w:r>
      <w:r w:rsidR="004F64B7">
        <w:rPr>
          <w:rFonts w:ascii="Times New Roman" w:hAnsi="Times New Roman" w:cs="Times New Roman"/>
          <w:sz w:val="24"/>
          <w:szCs w:val="24"/>
        </w:rPr>
        <w:t xml:space="preserve">North </w:t>
      </w:r>
      <w:r w:rsidR="00224428">
        <w:rPr>
          <w:rFonts w:ascii="Times New Roman" w:hAnsi="Times New Roman" w:cs="Times New Roman"/>
          <w:sz w:val="24"/>
          <w:szCs w:val="24"/>
        </w:rPr>
        <w:t xml:space="preserve">also </w:t>
      </w:r>
      <w:r w:rsidR="00F163DD" w:rsidRPr="00CD704D">
        <w:rPr>
          <w:rFonts w:ascii="Times New Roman" w:hAnsi="Times New Roman" w:cs="Times New Roman"/>
          <w:sz w:val="24"/>
          <w:szCs w:val="24"/>
        </w:rPr>
        <w:t>correspond</w:t>
      </w:r>
      <w:r w:rsidR="00224428">
        <w:rPr>
          <w:rFonts w:ascii="Times New Roman" w:hAnsi="Times New Roman" w:cs="Times New Roman"/>
          <w:sz w:val="24"/>
          <w:szCs w:val="24"/>
        </w:rPr>
        <w:t>s</w:t>
      </w:r>
      <w:r w:rsidR="00F163DD" w:rsidRPr="00CD704D">
        <w:rPr>
          <w:rFonts w:ascii="Times New Roman" w:hAnsi="Times New Roman" w:cs="Times New Roman"/>
          <w:sz w:val="24"/>
          <w:szCs w:val="24"/>
        </w:rPr>
        <w:t xml:space="preserve"> closely to the Savanna </w:t>
      </w:r>
      <w:r w:rsidR="00224428">
        <w:rPr>
          <w:rFonts w:ascii="Times New Roman" w:hAnsi="Times New Roman" w:cs="Times New Roman"/>
          <w:sz w:val="24"/>
          <w:szCs w:val="24"/>
        </w:rPr>
        <w:t xml:space="preserve">and </w:t>
      </w:r>
      <w:r w:rsidR="00F163DD" w:rsidRPr="00CD704D">
        <w:rPr>
          <w:rFonts w:ascii="Times New Roman" w:hAnsi="Times New Roman" w:cs="Times New Roman"/>
          <w:sz w:val="24"/>
          <w:szCs w:val="24"/>
        </w:rPr>
        <w:t xml:space="preserve">Transition </w:t>
      </w:r>
      <w:proofErr w:type="spellStart"/>
      <w:r w:rsidR="00F163DD" w:rsidRPr="00CD704D">
        <w:rPr>
          <w:rFonts w:ascii="Times New Roman" w:hAnsi="Times New Roman" w:cs="Times New Roman"/>
          <w:sz w:val="24"/>
          <w:szCs w:val="24"/>
        </w:rPr>
        <w:t>agro</w:t>
      </w:r>
      <w:r w:rsidR="00443F95" w:rsidRPr="00CD704D">
        <w:rPr>
          <w:rFonts w:ascii="Times New Roman" w:hAnsi="Times New Roman" w:cs="Times New Roman"/>
          <w:sz w:val="24"/>
          <w:szCs w:val="24"/>
        </w:rPr>
        <w:t>ecological</w:t>
      </w:r>
      <w:proofErr w:type="spellEnd"/>
      <w:r w:rsidR="00443F95" w:rsidRPr="00CD704D">
        <w:rPr>
          <w:rFonts w:ascii="Times New Roman" w:hAnsi="Times New Roman" w:cs="Times New Roman"/>
          <w:sz w:val="24"/>
          <w:szCs w:val="24"/>
        </w:rPr>
        <w:t xml:space="preserve"> zones</w:t>
      </w:r>
      <w:r w:rsidR="008B7D26">
        <w:rPr>
          <w:rFonts w:ascii="Times New Roman" w:hAnsi="Times New Roman" w:cs="Times New Roman"/>
          <w:sz w:val="24"/>
          <w:szCs w:val="24"/>
        </w:rPr>
        <w:t>, and hence has its own well-defined farming systems (</w:t>
      </w:r>
      <w:r w:rsidR="00224428">
        <w:rPr>
          <w:rFonts w:ascii="Times New Roman" w:hAnsi="Times New Roman" w:cs="Times New Roman"/>
          <w:sz w:val="24"/>
          <w:szCs w:val="24"/>
        </w:rPr>
        <w:t>Chapter 4)</w:t>
      </w:r>
      <w:r w:rsidR="00443F95" w:rsidRPr="00CD704D">
        <w:rPr>
          <w:rFonts w:ascii="Times New Roman" w:hAnsi="Times New Roman" w:cs="Times New Roman"/>
          <w:sz w:val="24"/>
          <w:szCs w:val="24"/>
        </w:rPr>
        <w:t xml:space="preserve">. </w:t>
      </w:r>
      <w:r w:rsidR="00224428">
        <w:rPr>
          <w:rFonts w:ascii="Times New Roman" w:hAnsi="Times New Roman" w:cs="Times New Roman"/>
          <w:sz w:val="24"/>
          <w:szCs w:val="24"/>
        </w:rPr>
        <w:t xml:space="preserve">The remaining </w:t>
      </w:r>
      <w:r w:rsidR="0017358A">
        <w:rPr>
          <w:rFonts w:ascii="Times New Roman" w:hAnsi="Times New Roman" w:cs="Times New Roman"/>
          <w:sz w:val="24"/>
          <w:szCs w:val="24"/>
        </w:rPr>
        <w:t>regions</w:t>
      </w:r>
      <w:r w:rsidR="00224428">
        <w:rPr>
          <w:rFonts w:ascii="Times New Roman" w:hAnsi="Times New Roman" w:cs="Times New Roman"/>
          <w:sz w:val="24"/>
          <w:szCs w:val="24"/>
        </w:rPr>
        <w:t xml:space="preserve">: </w:t>
      </w:r>
      <w:r w:rsidR="0017358A" w:rsidRPr="00CD704D">
        <w:rPr>
          <w:rFonts w:ascii="Times New Roman" w:hAnsi="Times New Roman" w:cs="Times New Roman"/>
          <w:sz w:val="24"/>
          <w:szCs w:val="24"/>
        </w:rPr>
        <w:t>Ashanti</w:t>
      </w:r>
      <w:r w:rsidR="0017358A">
        <w:rPr>
          <w:rFonts w:ascii="Times New Roman" w:hAnsi="Times New Roman" w:cs="Times New Roman"/>
          <w:sz w:val="24"/>
          <w:szCs w:val="24"/>
        </w:rPr>
        <w:t>,</w:t>
      </w:r>
      <w:r w:rsidR="0017358A" w:rsidRPr="002C7F63">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Central, </w:t>
      </w:r>
      <w:r w:rsidR="0017358A" w:rsidRPr="00CD704D">
        <w:rPr>
          <w:rFonts w:ascii="Times New Roman" w:hAnsi="Times New Roman" w:cs="Times New Roman"/>
          <w:sz w:val="24"/>
          <w:szCs w:val="24"/>
        </w:rPr>
        <w:t>Eastern</w:t>
      </w:r>
      <w:r w:rsidR="0017358A">
        <w:rPr>
          <w:rFonts w:ascii="Times New Roman" w:hAnsi="Times New Roman" w:cs="Times New Roman"/>
          <w:sz w:val="24"/>
          <w:szCs w:val="24"/>
        </w:rPr>
        <w:t>,</w:t>
      </w:r>
      <w:r w:rsidR="0017358A" w:rsidRPr="00CD704D">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Greater Accra, Volta </w:t>
      </w:r>
      <w:r w:rsidR="0017358A">
        <w:rPr>
          <w:rFonts w:ascii="Times New Roman" w:hAnsi="Times New Roman" w:cs="Times New Roman"/>
          <w:sz w:val="24"/>
          <w:szCs w:val="24"/>
        </w:rPr>
        <w:t xml:space="preserve">and </w:t>
      </w:r>
      <w:r w:rsidR="0017358A" w:rsidRPr="002C7F63">
        <w:rPr>
          <w:rFonts w:ascii="Times New Roman" w:hAnsi="Times New Roman" w:cs="Times New Roman"/>
          <w:sz w:val="24"/>
          <w:szCs w:val="24"/>
        </w:rPr>
        <w:t>Western</w:t>
      </w:r>
      <w:r w:rsidR="0017358A">
        <w:rPr>
          <w:rFonts w:ascii="Times New Roman" w:hAnsi="Times New Roman" w:cs="Times New Roman"/>
          <w:sz w:val="24"/>
          <w:szCs w:val="24"/>
        </w:rPr>
        <w:t>,</w:t>
      </w:r>
      <w:r w:rsidR="00F163DD" w:rsidRPr="00CD704D">
        <w:rPr>
          <w:rFonts w:ascii="Times New Roman" w:hAnsi="Times New Roman" w:cs="Times New Roman"/>
          <w:sz w:val="24"/>
          <w:szCs w:val="24"/>
        </w:rPr>
        <w:t xml:space="preserve"> </w:t>
      </w:r>
      <w:r w:rsidR="00224428">
        <w:rPr>
          <w:rFonts w:ascii="Times New Roman" w:hAnsi="Times New Roman" w:cs="Times New Roman"/>
          <w:sz w:val="24"/>
          <w:szCs w:val="24"/>
        </w:rPr>
        <w:t xml:space="preserve">are then grouped into </w:t>
      </w:r>
      <w:r w:rsidR="008612CE">
        <w:rPr>
          <w:rFonts w:ascii="Times New Roman" w:hAnsi="Times New Roman" w:cs="Times New Roman"/>
          <w:sz w:val="24"/>
          <w:szCs w:val="24"/>
        </w:rPr>
        <w:t xml:space="preserve">the </w:t>
      </w:r>
      <w:r w:rsidR="002C7F63">
        <w:rPr>
          <w:rFonts w:ascii="Times New Roman" w:hAnsi="Times New Roman" w:cs="Times New Roman"/>
          <w:b/>
          <w:sz w:val="24"/>
          <w:szCs w:val="24"/>
        </w:rPr>
        <w:t>South</w:t>
      </w:r>
      <w:r w:rsidR="00224428">
        <w:rPr>
          <w:rFonts w:ascii="Times New Roman" w:hAnsi="Times New Roman" w:cs="Times New Roman"/>
          <w:sz w:val="24"/>
          <w:szCs w:val="24"/>
        </w:rPr>
        <w:t xml:space="preserve">, which is less </w:t>
      </w:r>
      <w:r w:rsidR="008612CE">
        <w:rPr>
          <w:rFonts w:ascii="Times New Roman" w:hAnsi="Times New Roman" w:cs="Times New Roman"/>
          <w:sz w:val="24"/>
          <w:szCs w:val="24"/>
        </w:rPr>
        <w:t>dependent on agriculture</w:t>
      </w:r>
      <w:r w:rsidR="008B7D26">
        <w:rPr>
          <w:rFonts w:ascii="Times New Roman" w:hAnsi="Times New Roman" w:cs="Times New Roman"/>
          <w:sz w:val="24"/>
          <w:szCs w:val="24"/>
        </w:rPr>
        <w:t>, is</w:t>
      </w:r>
      <w:r w:rsidR="008612CE">
        <w:rPr>
          <w:rFonts w:ascii="Times New Roman" w:hAnsi="Times New Roman" w:cs="Times New Roman"/>
          <w:sz w:val="24"/>
          <w:szCs w:val="24"/>
        </w:rPr>
        <w:t xml:space="preserve"> </w:t>
      </w:r>
      <w:r w:rsidR="008B7D26">
        <w:rPr>
          <w:rFonts w:ascii="Times New Roman" w:hAnsi="Times New Roman" w:cs="Times New Roman"/>
          <w:sz w:val="24"/>
          <w:szCs w:val="24"/>
        </w:rPr>
        <w:t>more urbanized</w:t>
      </w:r>
      <w:r w:rsidR="008612CE">
        <w:rPr>
          <w:rFonts w:ascii="Times New Roman" w:hAnsi="Times New Roman" w:cs="Times New Roman"/>
          <w:sz w:val="24"/>
          <w:szCs w:val="24"/>
        </w:rPr>
        <w:t xml:space="preserve"> and densely populated</w:t>
      </w:r>
      <w:r w:rsidR="00443F95" w:rsidRPr="00CD704D">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and </w:t>
      </w:r>
      <w:r w:rsidR="008612CE">
        <w:rPr>
          <w:rFonts w:ascii="Times New Roman" w:hAnsi="Times New Roman" w:cs="Times New Roman"/>
          <w:sz w:val="24"/>
          <w:szCs w:val="24"/>
        </w:rPr>
        <w:t xml:space="preserve">has </w:t>
      </w:r>
      <w:r w:rsidR="002A603E">
        <w:rPr>
          <w:rFonts w:ascii="Times New Roman" w:hAnsi="Times New Roman" w:cs="Times New Roman"/>
          <w:sz w:val="24"/>
          <w:szCs w:val="24"/>
        </w:rPr>
        <w:t>a well</w:t>
      </w:r>
      <w:r w:rsidR="002C7F63">
        <w:rPr>
          <w:rFonts w:ascii="Times New Roman" w:hAnsi="Times New Roman" w:cs="Times New Roman"/>
          <w:sz w:val="24"/>
          <w:szCs w:val="24"/>
        </w:rPr>
        <w:t>-</w:t>
      </w:r>
      <w:r w:rsidR="002A603E">
        <w:rPr>
          <w:rFonts w:ascii="Times New Roman" w:hAnsi="Times New Roman" w:cs="Times New Roman"/>
          <w:sz w:val="24"/>
          <w:szCs w:val="24"/>
        </w:rPr>
        <w:t>developed rural nonfarm economy</w:t>
      </w:r>
      <w:r w:rsidR="00F163DD" w:rsidRPr="00CD704D">
        <w:rPr>
          <w:rFonts w:ascii="Times New Roman" w:hAnsi="Times New Roman" w:cs="Times New Roman"/>
          <w:sz w:val="24"/>
          <w:szCs w:val="24"/>
        </w:rPr>
        <w:t>. The</w:t>
      </w:r>
      <w:r w:rsidR="00224428">
        <w:rPr>
          <w:rFonts w:ascii="Times New Roman" w:hAnsi="Times New Roman" w:cs="Times New Roman"/>
          <w:sz w:val="24"/>
          <w:szCs w:val="24"/>
        </w:rPr>
        <w:t xml:space="preserve"> </w:t>
      </w:r>
      <w:r w:rsidR="002C7F63">
        <w:rPr>
          <w:rFonts w:ascii="Times New Roman" w:hAnsi="Times New Roman" w:cs="Times New Roman"/>
          <w:sz w:val="24"/>
          <w:szCs w:val="24"/>
        </w:rPr>
        <w:t>South</w:t>
      </w:r>
      <w:r w:rsidR="00224428">
        <w:rPr>
          <w:rFonts w:ascii="Times New Roman" w:hAnsi="Times New Roman" w:cs="Times New Roman"/>
          <w:sz w:val="24"/>
          <w:szCs w:val="24"/>
        </w:rPr>
        <w:t xml:space="preserve"> </w:t>
      </w:r>
      <w:r w:rsidR="00F163DD" w:rsidRPr="00CD704D">
        <w:rPr>
          <w:rFonts w:ascii="Times New Roman" w:hAnsi="Times New Roman" w:cs="Times New Roman"/>
          <w:sz w:val="24"/>
          <w:szCs w:val="24"/>
        </w:rPr>
        <w:t>correspond</w:t>
      </w:r>
      <w:r w:rsidR="00224428">
        <w:rPr>
          <w:rFonts w:ascii="Times New Roman" w:hAnsi="Times New Roman" w:cs="Times New Roman"/>
          <w:sz w:val="24"/>
          <w:szCs w:val="24"/>
        </w:rPr>
        <w:t>s</w:t>
      </w:r>
      <w:r w:rsidR="00F163DD" w:rsidRPr="00CD704D">
        <w:rPr>
          <w:rFonts w:ascii="Times New Roman" w:hAnsi="Times New Roman" w:cs="Times New Roman"/>
          <w:sz w:val="24"/>
          <w:szCs w:val="24"/>
        </w:rPr>
        <w:t xml:space="preserve"> closely to the Forest and Coastal </w:t>
      </w:r>
      <w:proofErr w:type="spellStart"/>
      <w:r w:rsidR="00F163DD" w:rsidRPr="00CD704D">
        <w:rPr>
          <w:rFonts w:ascii="Times New Roman" w:hAnsi="Times New Roman" w:cs="Times New Roman"/>
          <w:sz w:val="24"/>
          <w:szCs w:val="24"/>
        </w:rPr>
        <w:t>agroecological</w:t>
      </w:r>
      <w:proofErr w:type="spellEnd"/>
      <w:r w:rsidR="00F163DD" w:rsidRPr="00CD704D">
        <w:rPr>
          <w:rFonts w:ascii="Times New Roman" w:hAnsi="Times New Roman" w:cs="Times New Roman"/>
          <w:sz w:val="24"/>
          <w:szCs w:val="24"/>
        </w:rPr>
        <w:t xml:space="preserve"> zones</w:t>
      </w:r>
      <w:r w:rsidR="008B7D26">
        <w:rPr>
          <w:rFonts w:ascii="Times New Roman" w:hAnsi="Times New Roman" w:cs="Times New Roman"/>
          <w:sz w:val="24"/>
          <w:szCs w:val="24"/>
        </w:rPr>
        <w:t>, which also have their own well</w:t>
      </w:r>
      <w:r w:rsidR="004F64B7">
        <w:rPr>
          <w:rFonts w:ascii="Times New Roman" w:hAnsi="Times New Roman" w:cs="Times New Roman"/>
          <w:sz w:val="24"/>
          <w:szCs w:val="24"/>
        </w:rPr>
        <w:t>-</w:t>
      </w:r>
      <w:r w:rsidR="008B7D26">
        <w:rPr>
          <w:rFonts w:ascii="Times New Roman" w:hAnsi="Times New Roman" w:cs="Times New Roman"/>
          <w:sz w:val="24"/>
          <w:szCs w:val="24"/>
        </w:rPr>
        <w:t>defined farming systems (Chapter 4)</w:t>
      </w:r>
      <w:r w:rsidR="00F163DD" w:rsidRPr="00CD704D">
        <w:rPr>
          <w:rFonts w:ascii="Times New Roman" w:hAnsi="Times New Roman" w:cs="Times New Roman"/>
          <w:sz w:val="24"/>
          <w:szCs w:val="24"/>
        </w:rPr>
        <w:t>.</w:t>
      </w:r>
    </w:p>
    <w:p w14:paraId="2872E368" w14:textId="2904839F" w:rsidR="005E1E64" w:rsidRPr="00CD704D" w:rsidRDefault="006354CF" w:rsidP="00EF7FD9">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Taking districts as our primary spatial unit</w:t>
      </w:r>
      <w:r w:rsidR="008612CE">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224428">
        <w:rPr>
          <w:rFonts w:ascii="Times New Roman" w:hAnsi="Times New Roman" w:cs="Times New Roman"/>
          <w:sz w:val="24"/>
          <w:szCs w:val="24"/>
        </w:rPr>
        <w:t xml:space="preserve">2010 </w:t>
      </w:r>
      <w:r>
        <w:rPr>
          <w:rFonts w:ascii="Times New Roman" w:hAnsi="Times New Roman" w:cs="Times New Roman"/>
          <w:sz w:val="24"/>
          <w:szCs w:val="24"/>
        </w:rPr>
        <w:t>census data,</w:t>
      </w:r>
      <w:r w:rsidR="00443F95" w:rsidRPr="00CD704D">
        <w:rPr>
          <w:rFonts w:ascii="Times New Roman" w:hAnsi="Times New Roman" w:cs="Times New Roman"/>
          <w:sz w:val="24"/>
          <w:szCs w:val="24"/>
        </w:rPr>
        <w:t xml:space="preserve"> each</w:t>
      </w:r>
      <w:r w:rsidR="00354575" w:rsidRPr="00CD704D">
        <w:rPr>
          <w:rFonts w:ascii="Times New Roman" w:hAnsi="Times New Roman" w:cs="Times New Roman"/>
          <w:sz w:val="24"/>
          <w:szCs w:val="24"/>
        </w:rPr>
        <w:t xml:space="preserve"> of the two</w:t>
      </w:r>
      <w:r w:rsidR="00443F95" w:rsidRPr="00CD704D">
        <w:rPr>
          <w:rFonts w:ascii="Times New Roman" w:hAnsi="Times New Roman" w:cs="Times New Roman"/>
          <w:sz w:val="24"/>
          <w:szCs w:val="24"/>
        </w:rPr>
        <w:t xml:space="preserve"> </w:t>
      </w:r>
      <w:r w:rsidR="00354575" w:rsidRPr="00CD704D">
        <w:rPr>
          <w:rFonts w:ascii="Times New Roman" w:hAnsi="Times New Roman" w:cs="Times New Roman"/>
          <w:sz w:val="24"/>
          <w:szCs w:val="24"/>
        </w:rPr>
        <w:t>regions</w:t>
      </w:r>
      <w:r>
        <w:rPr>
          <w:rFonts w:ascii="Times New Roman" w:hAnsi="Times New Roman" w:cs="Times New Roman"/>
          <w:sz w:val="24"/>
          <w:szCs w:val="24"/>
        </w:rPr>
        <w:t xml:space="preserve"> </w:t>
      </w:r>
      <w:r w:rsidR="008612CE">
        <w:rPr>
          <w:rFonts w:ascii="Times New Roman" w:hAnsi="Times New Roman" w:cs="Times New Roman"/>
          <w:sz w:val="24"/>
          <w:szCs w:val="24"/>
        </w:rPr>
        <w:t xml:space="preserve">is </w:t>
      </w:r>
      <w:r>
        <w:rPr>
          <w:rFonts w:ascii="Times New Roman" w:hAnsi="Times New Roman" w:cs="Times New Roman"/>
          <w:sz w:val="24"/>
          <w:szCs w:val="24"/>
        </w:rPr>
        <w:t xml:space="preserve">subdivided into </w:t>
      </w:r>
      <w:r w:rsidR="00F163DD" w:rsidRPr="00CD704D">
        <w:rPr>
          <w:rFonts w:ascii="Times New Roman" w:hAnsi="Times New Roman" w:cs="Times New Roman"/>
          <w:sz w:val="24"/>
          <w:szCs w:val="24"/>
        </w:rPr>
        <w:t>four groups</w:t>
      </w:r>
      <w:r>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based on </w:t>
      </w:r>
      <w:r>
        <w:rPr>
          <w:rFonts w:ascii="Times New Roman" w:hAnsi="Times New Roman" w:cs="Times New Roman"/>
          <w:sz w:val="24"/>
          <w:szCs w:val="24"/>
        </w:rPr>
        <w:t xml:space="preserve">the </w:t>
      </w:r>
      <w:r w:rsidR="00F163DD" w:rsidRPr="00CD704D">
        <w:rPr>
          <w:rFonts w:ascii="Times New Roman" w:hAnsi="Times New Roman" w:cs="Times New Roman"/>
          <w:sz w:val="24"/>
          <w:szCs w:val="24"/>
        </w:rPr>
        <w:t xml:space="preserve">proximity </w:t>
      </w:r>
      <w:r>
        <w:rPr>
          <w:rFonts w:ascii="Times New Roman" w:hAnsi="Times New Roman" w:cs="Times New Roman"/>
          <w:sz w:val="24"/>
          <w:szCs w:val="24"/>
        </w:rPr>
        <w:t xml:space="preserve">of each district </w:t>
      </w:r>
      <w:r w:rsidR="00F163DD" w:rsidRPr="00CD704D">
        <w:rPr>
          <w:rFonts w:ascii="Times New Roman" w:hAnsi="Times New Roman" w:cs="Times New Roman"/>
          <w:sz w:val="24"/>
          <w:szCs w:val="24"/>
        </w:rPr>
        <w:t xml:space="preserve">to cities of different sizes. </w:t>
      </w:r>
      <w:r w:rsidR="002727B1" w:rsidRPr="008B7D26">
        <w:rPr>
          <w:rFonts w:ascii="Times New Roman" w:hAnsi="Times New Roman" w:cs="Times New Roman"/>
          <w:b/>
          <w:sz w:val="24"/>
          <w:szCs w:val="24"/>
        </w:rPr>
        <w:t>Big city districts</w:t>
      </w:r>
      <w:r w:rsidR="002727B1" w:rsidRPr="00CD704D">
        <w:rPr>
          <w:rFonts w:ascii="Times New Roman" w:hAnsi="Times New Roman" w:cs="Times New Roman"/>
          <w:sz w:val="24"/>
          <w:szCs w:val="24"/>
        </w:rPr>
        <w:t xml:space="preserve"> are those that contain parts of Accra and Kumasi</w:t>
      </w:r>
      <w:r w:rsidR="00400F2D">
        <w:rPr>
          <w:rFonts w:ascii="Times New Roman" w:hAnsi="Times New Roman" w:cs="Times New Roman"/>
          <w:sz w:val="24"/>
          <w:szCs w:val="24"/>
        </w:rPr>
        <w:t>, and hence are only in the South</w:t>
      </w:r>
      <w:r w:rsidR="002727B1" w:rsidRPr="00CD704D">
        <w:rPr>
          <w:rFonts w:ascii="Times New Roman" w:hAnsi="Times New Roman" w:cs="Times New Roman"/>
          <w:sz w:val="24"/>
          <w:szCs w:val="24"/>
        </w:rPr>
        <w:t xml:space="preserve">, </w:t>
      </w:r>
      <w:r w:rsidR="002727B1" w:rsidRPr="008B7D26">
        <w:rPr>
          <w:rFonts w:ascii="Times New Roman" w:hAnsi="Times New Roman" w:cs="Times New Roman"/>
          <w:b/>
          <w:sz w:val="24"/>
          <w:szCs w:val="24"/>
        </w:rPr>
        <w:t>2</w:t>
      </w:r>
      <w:r w:rsidR="002727B1" w:rsidRPr="008B7D26">
        <w:rPr>
          <w:rFonts w:ascii="Times New Roman" w:hAnsi="Times New Roman" w:cs="Times New Roman"/>
          <w:b/>
          <w:sz w:val="24"/>
          <w:szCs w:val="24"/>
          <w:vertAlign w:val="superscript"/>
        </w:rPr>
        <w:t>nd</w:t>
      </w:r>
      <w:r w:rsidR="002727B1" w:rsidRPr="008B7D26">
        <w:rPr>
          <w:rFonts w:ascii="Times New Roman" w:hAnsi="Times New Roman" w:cs="Times New Roman"/>
          <w:b/>
          <w:sz w:val="24"/>
          <w:szCs w:val="24"/>
        </w:rPr>
        <w:t>-tier city districts</w:t>
      </w:r>
      <w:r w:rsidR="002727B1" w:rsidRPr="00CD704D">
        <w:rPr>
          <w:rFonts w:ascii="Times New Roman" w:hAnsi="Times New Roman" w:cs="Times New Roman"/>
          <w:sz w:val="24"/>
          <w:szCs w:val="24"/>
        </w:rPr>
        <w:t xml:space="preserve"> are those with cities of between 100,000 and 500,000 people</w:t>
      </w:r>
      <w:r w:rsidR="00400F2D">
        <w:rPr>
          <w:rFonts w:ascii="Times New Roman" w:hAnsi="Times New Roman" w:cs="Times New Roman"/>
          <w:sz w:val="24"/>
          <w:szCs w:val="24"/>
        </w:rPr>
        <w:t xml:space="preserve">, </w:t>
      </w:r>
      <w:r w:rsidR="008612CE">
        <w:rPr>
          <w:rFonts w:ascii="Times New Roman" w:hAnsi="Times New Roman" w:cs="Times New Roman"/>
          <w:sz w:val="24"/>
          <w:szCs w:val="24"/>
        </w:rPr>
        <w:t>which are located in both the</w:t>
      </w:r>
      <w:r w:rsidR="00400F2D">
        <w:rPr>
          <w:rFonts w:ascii="Times New Roman" w:hAnsi="Times New Roman" w:cs="Times New Roman"/>
          <w:sz w:val="24"/>
          <w:szCs w:val="24"/>
        </w:rPr>
        <w:t xml:space="preserve"> North and South</w:t>
      </w:r>
      <w:r w:rsidR="002727B1" w:rsidRPr="00CD704D">
        <w:rPr>
          <w:rFonts w:ascii="Times New Roman" w:hAnsi="Times New Roman" w:cs="Times New Roman"/>
          <w:sz w:val="24"/>
          <w:szCs w:val="24"/>
        </w:rPr>
        <w:t xml:space="preserve">, </w:t>
      </w:r>
      <w:r w:rsidR="002727B1" w:rsidRPr="008B7D26">
        <w:rPr>
          <w:rFonts w:ascii="Times New Roman" w:hAnsi="Times New Roman" w:cs="Times New Roman"/>
          <w:b/>
          <w:sz w:val="24"/>
          <w:szCs w:val="24"/>
        </w:rPr>
        <w:t>3</w:t>
      </w:r>
      <w:r w:rsidR="002727B1" w:rsidRPr="008B7D26">
        <w:rPr>
          <w:rFonts w:ascii="Times New Roman" w:hAnsi="Times New Roman" w:cs="Times New Roman"/>
          <w:b/>
          <w:sz w:val="24"/>
          <w:szCs w:val="24"/>
          <w:vertAlign w:val="superscript"/>
        </w:rPr>
        <w:t>rd</w:t>
      </w:r>
      <w:r w:rsidR="002727B1" w:rsidRPr="008B7D26">
        <w:rPr>
          <w:rFonts w:ascii="Times New Roman" w:hAnsi="Times New Roman" w:cs="Times New Roman"/>
          <w:b/>
          <w:sz w:val="24"/>
          <w:szCs w:val="24"/>
        </w:rPr>
        <w:t>-tier city districts</w:t>
      </w:r>
      <w:r w:rsidR="002727B1" w:rsidRPr="00CD704D">
        <w:rPr>
          <w:rFonts w:ascii="Times New Roman" w:hAnsi="Times New Roman" w:cs="Times New Roman"/>
          <w:sz w:val="24"/>
          <w:szCs w:val="24"/>
        </w:rPr>
        <w:t xml:space="preserve"> are those with cities containing between 40,000 and 100,000 people</w:t>
      </w:r>
      <w:r>
        <w:rPr>
          <w:rFonts w:ascii="Times New Roman" w:hAnsi="Times New Roman" w:cs="Times New Roman"/>
          <w:sz w:val="24"/>
          <w:szCs w:val="24"/>
        </w:rPr>
        <w:t>,</w:t>
      </w:r>
      <w:r w:rsidR="002727B1" w:rsidRPr="00CD704D">
        <w:rPr>
          <w:rFonts w:ascii="Times New Roman" w:hAnsi="Times New Roman" w:cs="Times New Roman"/>
          <w:sz w:val="24"/>
          <w:szCs w:val="24"/>
        </w:rPr>
        <w:t xml:space="preserve"> and </w:t>
      </w:r>
      <w:r w:rsidR="002727B1" w:rsidRPr="008B7D26">
        <w:rPr>
          <w:rFonts w:ascii="Times New Roman" w:hAnsi="Times New Roman" w:cs="Times New Roman"/>
          <w:b/>
          <w:sz w:val="24"/>
          <w:szCs w:val="24"/>
        </w:rPr>
        <w:t>no city-districts</w:t>
      </w:r>
      <w:r w:rsidR="002727B1" w:rsidRPr="00CD704D">
        <w:rPr>
          <w:rFonts w:ascii="Times New Roman" w:hAnsi="Times New Roman" w:cs="Times New Roman"/>
          <w:sz w:val="24"/>
          <w:szCs w:val="24"/>
        </w:rPr>
        <w:t xml:space="preserve"> are those with no settlement of over 40,000 p</w:t>
      </w:r>
      <w:r w:rsidR="00354575" w:rsidRPr="00CD704D">
        <w:rPr>
          <w:rFonts w:ascii="Times New Roman" w:hAnsi="Times New Roman" w:cs="Times New Roman"/>
          <w:sz w:val="24"/>
          <w:szCs w:val="24"/>
        </w:rPr>
        <w:t xml:space="preserve">eople. </w:t>
      </w:r>
      <w:r w:rsidR="008612CE">
        <w:rPr>
          <w:rFonts w:ascii="Times New Roman" w:hAnsi="Times New Roman" w:cs="Times New Roman"/>
          <w:sz w:val="24"/>
          <w:szCs w:val="24"/>
        </w:rPr>
        <w:t>Th</w:t>
      </w:r>
      <w:r w:rsidR="00BF49BD">
        <w:rPr>
          <w:rFonts w:ascii="Times New Roman" w:hAnsi="Times New Roman" w:cs="Times New Roman"/>
          <w:sz w:val="24"/>
          <w:szCs w:val="24"/>
        </w:rPr>
        <w:t>i</w:t>
      </w:r>
      <w:r w:rsidR="008612CE">
        <w:rPr>
          <w:rFonts w:ascii="Times New Roman" w:hAnsi="Times New Roman" w:cs="Times New Roman"/>
          <w:sz w:val="24"/>
          <w:szCs w:val="24"/>
        </w:rPr>
        <w:t>s l</w:t>
      </w:r>
      <w:r w:rsidR="00400F2D">
        <w:rPr>
          <w:rFonts w:ascii="Times New Roman" w:hAnsi="Times New Roman" w:cs="Times New Roman"/>
          <w:sz w:val="24"/>
          <w:szCs w:val="24"/>
        </w:rPr>
        <w:t>eads</w:t>
      </w:r>
      <w:r w:rsidR="008B7D26">
        <w:rPr>
          <w:rFonts w:ascii="Times New Roman" w:hAnsi="Times New Roman" w:cs="Times New Roman"/>
          <w:sz w:val="24"/>
          <w:szCs w:val="24"/>
        </w:rPr>
        <w:t xml:space="preserve"> to </w:t>
      </w:r>
      <w:r w:rsidR="008612CE">
        <w:rPr>
          <w:rFonts w:ascii="Times New Roman" w:hAnsi="Times New Roman" w:cs="Times New Roman"/>
          <w:sz w:val="24"/>
          <w:szCs w:val="24"/>
        </w:rPr>
        <w:t xml:space="preserve">a total of </w:t>
      </w:r>
      <w:r w:rsidR="00354575" w:rsidRPr="00CD704D">
        <w:rPr>
          <w:rFonts w:ascii="Times New Roman" w:hAnsi="Times New Roman" w:cs="Times New Roman"/>
          <w:sz w:val="24"/>
          <w:szCs w:val="24"/>
        </w:rPr>
        <w:t>seven</w:t>
      </w:r>
      <w:r w:rsidR="002727B1" w:rsidRPr="00CD704D">
        <w:rPr>
          <w:rFonts w:ascii="Times New Roman" w:hAnsi="Times New Roman" w:cs="Times New Roman"/>
          <w:sz w:val="24"/>
          <w:szCs w:val="24"/>
        </w:rPr>
        <w:t xml:space="preserve"> groups of districts</w:t>
      </w:r>
      <w:r w:rsidR="00400F2D">
        <w:rPr>
          <w:rFonts w:ascii="Times New Roman" w:hAnsi="Times New Roman" w:cs="Times New Roman"/>
          <w:sz w:val="24"/>
          <w:szCs w:val="24"/>
        </w:rPr>
        <w:t xml:space="preserve"> in Ghana</w:t>
      </w:r>
      <w:r w:rsidR="002727B1" w:rsidRPr="00CD704D">
        <w:rPr>
          <w:rFonts w:ascii="Times New Roman" w:hAnsi="Times New Roman" w:cs="Times New Roman"/>
          <w:sz w:val="24"/>
          <w:szCs w:val="24"/>
        </w:rPr>
        <w:t xml:space="preserve">, </w:t>
      </w:r>
      <w:r w:rsidR="00443F95" w:rsidRPr="00CD704D">
        <w:rPr>
          <w:rFonts w:ascii="Times New Roman" w:hAnsi="Times New Roman" w:cs="Times New Roman"/>
          <w:sz w:val="24"/>
          <w:szCs w:val="24"/>
        </w:rPr>
        <w:t xml:space="preserve">three in </w:t>
      </w:r>
      <w:r w:rsidR="006F2C34">
        <w:rPr>
          <w:rFonts w:ascii="Times New Roman" w:hAnsi="Times New Roman" w:cs="Times New Roman"/>
          <w:sz w:val="24"/>
          <w:szCs w:val="24"/>
        </w:rPr>
        <w:t xml:space="preserve">the </w:t>
      </w:r>
      <w:r w:rsidR="00400F2D">
        <w:rPr>
          <w:rFonts w:ascii="Times New Roman" w:hAnsi="Times New Roman" w:cs="Times New Roman"/>
          <w:sz w:val="24"/>
          <w:szCs w:val="24"/>
        </w:rPr>
        <w:t xml:space="preserve">North </w:t>
      </w:r>
      <w:r w:rsidR="00443F95" w:rsidRPr="00CD704D">
        <w:rPr>
          <w:rFonts w:ascii="Times New Roman" w:hAnsi="Times New Roman" w:cs="Times New Roman"/>
          <w:sz w:val="24"/>
          <w:szCs w:val="24"/>
        </w:rPr>
        <w:t xml:space="preserve">and four in </w:t>
      </w:r>
      <w:r w:rsidR="006F2C34">
        <w:rPr>
          <w:rFonts w:ascii="Times New Roman" w:hAnsi="Times New Roman" w:cs="Times New Roman"/>
          <w:sz w:val="24"/>
          <w:szCs w:val="24"/>
        </w:rPr>
        <w:t xml:space="preserve">the </w:t>
      </w:r>
      <w:r w:rsidR="00400F2D">
        <w:rPr>
          <w:rFonts w:ascii="Times New Roman" w:hAnsi="Times New Roman" w:cs="Times New Roman"/>
          <w:sz w:val="24"/>
          <w:szCs w:val="24"/>
        </w:rPr>
        <w:t>South</w:t>
      </w:r>
      <w:r w:rsidR="002727B1" w:rsidRPr="00CD704D">
        <w:rPr>
          <w:rFonts w:ascii="Times New Roman" w:hAnsi="Times New Roman" w:cs="Times New Roman"/>
          <w:sz w:val="24"/>
          <w:szCs w:val="24"/>
        </w:rPr>
        <w:t xml:space="preserve">. </w:t>
      </w:r>
      <w:r>
        <w:rPr>
          <w:rFonts w:ascii="Times New Roman" w:hAnsi="Times New Roman" w:cs="Times New Roman"/>
          <w:sz w:val="24"/>
          <w:szCs w:val="24"/>
        </w:rPr>
        <w:t xml:space="preserve">These are mapped in </w:t>
      </w:r>
      <w:r w:rsidR="002727B1" w:rsidRPr="00CD704D">
        <w:rPr>
          <w:rFonts w:ascii="Times New Roman" w:hAnsi="Times New Roman" w:cs="Times New Roman"/>
          <w:sz w:val="24"/>
          <w:szCs w:val="24"/>
        </w:rPr>
        <w:t xml:space="preserve">Figure </w:t>
      </w:r>
      <w:r w:rsidR="00D52F18">
        <w:rPr>
          <w:rFonts w:ascii="Times New Roman" w:hAnsi="Times New Roman" w:cs="Times New Roman"/>
          <w:sz w:val="24"/>
          <w:szCs w:val="24"/>
        </w:rPr>
        <w:t>9</w:t>
      </w:r>
      <w:r>
        <w:rPr>
          <w:rFonts w:ascii="Times New Roman" w:hAnsi="Times New Roman" w:cs="Times New Roman"/>
          <w:sz w:val="24"/>
          <w:szCs w:val="24"/>
        </w:rPr>
        <w:t>.3</w:t>
      </w:r>
      <w:r w:rsidR="002727B1" w:rsidRPr="00CD704D">
        <w:rPr>
          <w:rFonts w:ascii="Times New Roman" w:hAnsi="Times New Roman" w:cs="Times New Roman"/>
          <w:sz w:val="24"/>
          <w:szCs w:val="24"/>
        </w:rPr>
        <w:t xml:space="preserve">. </w:t>
      </w:r>
    </w:p>
    <w:p w14:paraId="5A8ADC6E" w14:textId="31DB924F" w:rsidR="002727B1" w:rsidRPr="00CD704D" w:rsidRDefault="00354575"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Although </w:t>
      </w:r>
      <w:r w:rsidR="008612CE">
        <w:rPr>
          <w:rFonts w:ascii="Times New Roman" w:hAnsi="Times New Roman" w:cs="Times New Roman"/>
          <w:sz w:val="24"/>
          <w:szCs w:val="24"/>
        </w:rPr>
        <w:t xml:space="preserve">the </w:t>
      </w:r>
      <w:r w:rsidR="00BF49BD">
        <w:rPr>
          <w:rFonts w:ascii="Times New Roman" w:hAnsi="Times New Roman" w:cs="Times New Roman"/>
          <w:sz w:val="24"/>
          <w:szCs w:val="24"/>
        </w:rPr>
        <w:t xml:space="preserve">South </w:t>
      </w:r>
      <w:r w:rsidR="002727B1" w:rsidRPr="00CD704D">
        <w:rPr>
          <w:rFonts w:ascii="Times New Roman" w:hAnsi="Times New Roman" w:cs="Times New Roman"/>
          <w:sz w:val="24"/>
          <w:szCs w:val="24"/>
        </w:rPr>
        <w:t>cover</w:t>
      </w:r>
      <w:r w:rsidR="008B7D26">
        <w:rPr>
          <w:rFonts w:ascii="Times New Roman" w:hAnsi="Times New Roman" w:cs="Times New Roman"/>
          <w:sz w:val="24"/>
          <w:szCs w:val="24"/>
        </w:rPr>
        <w:t>s</w:t>
      </w:r>
      <w:r w:rsidR="002727B1" w:rsidRPr="00CD704D">
        <w:rPr>
          <w:rFonts w:ascii="Times New Roman" w:hAnsi="Times New Roman" w:cs="Times New Roman"/>
          <w:sz w:val="24"/>
          <w:szCs w:val="24"/>
        </w:rPr>
        <w:t xml:space="preserve"> a much smaller land area </w:t>
      </w:r>
      <w:r w:rsidRPr="00CD704D">
        <w:rPr>
          <w:rFonts w:ascii="Times New Roman" w:hAnsi="Times New Roman" w:cs="Times New Roman"/>
          <w:sz w:val="24"/>
          <w:szCs w:val="24"/>
        </w:rPr>
        <w:t>than</w:t>
      </w:r>
      <w:r w:rsidR="008612CE">
        <w:rPr>
          <w:rFonts w:ascii="Times New Roman" w:hAnsi="Times New Roman" w:cs="Times New Roman"/>
          <w:sz w:val="24"/>
          <w:szCs w:val="24"/>
        </w:rPr>
        <w:t xml:space="preserve"> the</w:t>
      </w:r>
      <w:r w:rsidRPr="00CD704D">
        <w:rPr>
          <w:rFonts w:ascii="Times New Roman" w:hAnsi="Times New Roman" w:cs="Times New Roman"/>
          <w:sz w:val="24"/>
          <w:szCs w:val="24"/>
        </w:rPr>
        <w:t xml:space="preserve"> </w:t>
      </w:r>
      <w:r w:rsidR="00BF49BD">
        <w:rPr>
          <w:rFonts w:ascii="Times New Roman" w:hAnsi="Times New Roman" w:cs="Times New Roman"/>
          <w:sz w:val="24"/>
          <w:szCs w:val="24"/>
        </w:rPr>
        <w:t>North</w:t>
      </w:r>
      <w:r w:rsidR="002727B1" w:rsidRPr="00CD704D">
        <w:rPr>
          <w:rFonts w:ascii="Times New Roman" w:hAnsi="Times New Roman" w:cs="Times New Roman"/>
          <w:sz w:val="24"/>
          <w:szCs w:val="24"/>
        </w:rPr>
        <w:t xml:space="preserve">, </w:t>
      </w:r>
      <w:r w:rsidR="002D2EA2">
        <w:rPr>
          <w:rFonts w:ascii="Times New Roman" w:hAnsi="Times New Roman" w:cs="Times New Roman"/>
          <w:sz w:val="24"/>
          <w:szCs w:val="24"/>
        </w:rPr>
        <w:t xml:space="preserve">the </w:t>
      </w:r>
      <w:r w:rsidR="002727B1" w:rsidRPr="00CD704D">
        <w:rPr>
          <w:rFonts w:ascii="Times New Roman" w:hAnsi="Times New Roman" w:cs="Times New Roman"/>
          <w:sz w:val="24"/>
          <w:szCs w:val="24"/>
        </w:rPr>
        <w:t>2010 census show</w:t>
      </w:r>
      <w:r w:rsidR="002D2EA2">
        <w:rPr>
          <w:rFonts w:ascii="Times New Roman" w:hAnsi="Times New Roman" w:cs="Times New Roman"/>
          <w:sz w:val="24"/>
          <w:szCs w:val="24"/>
        </w:rPr>
        <w:t>s</w:t>
      </w:r>
      <w:r w:rsidR="002727B1" w:rsidRPr="00CD704D">
        <w:rPr>
          <w:rFonts w:ascii="Times New Roman" w:hAnsi="Times New Roman" w:cs="Times New Roman"/>
          <w:sz w:val="24"/>
          <w:szCs w:val="24"/>
        </w:rPr>
        <w:t xml:space="preserve"> that </w:t>
      </w:r>
      <w:r w:rsidR="00D94F48">
        <w:rPr>
          <w:rFonts w:ascii="Times New Roman" w:hAnsi="Times New Roman" w:cs="Times New Roman"/>
          <w:sz w:val="24"/>
          <w:szCs w:val="24"/>
        </w:rPr>
        <w:t>73</w:t>
      </w:r>
      <w:r w:rsidR="002727B1" w:rsidRPr="00CD704D">
        <w:rPr>
          <w:rFonts w:ascii="Times New Roman" w:hAnsi="Times New Roman" w:cs="Times New Roman"/>
          <w:sz w:val="24"/>
          <w:szCs w:val="24"/>
        </w:rPr>
        <w:t xml:space="preserve">% of the total population and </w:t>
      </w:r>
      <w:r w:rsidR="00D94F48">
        <w:rPr>
          <w:rFonts w:ascii="Times New Roman" w:hAnsi="Times New Roman" w:cs="Times New Roman"/>
          <w:sz w:val="24"/>
          <w:szCs w:val="24"/>
        </w:rPr>
        <w:t>63</w:t>
      </w:r>
      <w:r w:rsidR="002727B1" w:rsidRPr="00CD704D">
        <w:rPr>
          <w:rFonts w:ascii="Times New Roman" w:hAnsi="Times New Roman" w:cs="Times New Roman"/>
          <w:sz w:val="24"/>
          <w:szCs w:val="24"/>
        </w:rPr>
        <w:t>% of</w:t>
      </w:r>
      <w:r w:rsidRPr="00CD704D">
        <w:rPr>
          <w:rFonts w:ascii="Times New Roman" w:hAnsi="Times New Roman" w:cs="Times New Roman"/>
          <w:sz w:val="24"/>
          <w:szCs w:val="24"/>
        </w:rPr>
        <w:t xml:space="preserve"> the rural population liv</w:t>
      </w:r>
      <w:r w:rsidR="006354CF">
        <w:rPr>
          <w:rFonts w:ascii="Times New Roman" w:hAnsi="Times New Roman" w:cs="Times New Roman"/>
          <w:sz w:val="24"/>
          <w:szCs w:val="24"/>
        </w:rPr>
        <w:t>e</w:t>
      </w:r>
      <w:r w:rsidRPr="00CD704D">
        <w:rPr>
          <w:rFonts w:ascii="Times New Roman" w:hAnsi="Times New Roman" w:cs="Times New Roman"/>
          <w:sz w:val="24"/>
          <w:szCs w:val="24"/>
        </w:rPr>
        <w:t xml:space="preserve"> in </w:t>
      </w:r>
      <w:r w:rsidR="002A603E">
        <w:rPr>
          <w:rFonts w:ascii="Times New Roman" w:hAnsi="Times New Roman" w:cs="Times New Roman"/>
          <w:sz w:val="24"/>
          <w:szCs w:val="24"/>
        </w:rPr>
        <w:lastRenderedPageBreak/>
        <w:t>th</w:t>
      </w:r>
      <w:r w:rsidR="006E5897">
        <w:rPr>
          <w:rFonts w:ascii="Times New Roman" w:hAnsi="Times New Roman" w:cs="Times New Roman"/>
          <w:sz w:val="24"/>
          <w:szCs w:val="24"/>
        </w:rPr>
        <w:t xml:space="preserve">e South. </w:t>
      </w:r>
      <w:r w:rsidR="006354CF">
        <w:rPr>
          <w:rFonts w:ascii="Times New Roman" w:hAnsi="Times New Roman" w:cs="Times New Roman"/>
          <w:sz w:val="24"/>
          <w:szCs w:val="24"/>
        </w:rPr>
        <w:t>Moreover</w:t>
      </w:r>
      <w:r w:rsidR="002727B1" w:rsidRPr="00CD704D">
        <w:rPr>
          <w:rFonts w:ascii="Times New Roman" w:hAnsi="Times New Roman" w:cs="Times New Roman"/>
          <w:sz w:val="24"/>
          <w:szCs w:val="24"/>
        </w:rPr>
        <w:t xml:space="preserve">, the majority of the total population lives in districts with cities of </w:t>
      </w:r>
      <w:r w:rsidR="002D2EA2">
        <w:rPr>
          <w:rFonts w:ascii="Times New Roman" w:hAnsi="Times New Roman" w:cs="Times New Roman"/>
          <w:sz w:val="24"/>
          <w:szCs w:val="24"/>
        </w:rPr>
        <w:t xml:space="preserve">at least 40,000 people </w:t>
      </w:r>
      <w:r w:rsidRPr="00CD704D">
        <w:rPr>
          <w:rFonts w:ascii="Times New Roman" w:hAnsi="Times New Roman" w:cs="Times New Roman"/>
          <w:sz w:val="24"/>
          <w:szCs w:val="24"/>
        </w:rPr>
        <w:t xml:space="preserve">in both </w:t>
      </w:r>
      <w:r w:rsidR="002A603E">
        <w:rPr>
          <w:rFonts w:ascii="Times New Roman" w:hAnsi="Times New Roman" w:cs="Times New Roman"/>
          <w:sz w:val="24"/>
          <w:szCs w:val="24"/>
        </w:rPr>
        <w:t>regions</w:t>
      </w:r>
      <w:r w:rsidR="008612CE">
        <w:rPr>
          <w:rFonts w:ascii="Times New Roman" w:hAnsi="Times New Roman" w:cs="Times New Roman"/>
          <w:sz w:val="24"/>
          <w:szCs w:val="24"/>
        </w:rPr>
        <w:t>;</w:t>
      </w:r>
      <w:r w:rsidR="002727B1" w:rsidRPr="00CD704D">
        <w:rPr>
          <w:rFonts w:ascii="Times New Roman" w:hAnsi="Times New Roman" w:cs="Times New Roman"/>
          <w:sz w:val="24"/>
          <w:szCs w:val="24"/>
        </w:rPr>
        <w:t xml:space="preserve"> 40% of the rural population</w:t>
      </w:r>
      <w:r w:rsidR="008612CE">
        <w:rPr>
          <w:rFonts w:ascii="Times New Roman" w:hAnsi="Times New Roman" w:cs="Times New Roman"/>
          <w:sz w:val="24"/>
          <w:szCs w:val="24"/>
        </w:rPr>
        <w:t xml:space="preserve"> also</w:t>
      </w:r>
      <w:r w:rsidR="002D2EA2">
        <w:rPr>
          <w:rFonts w:ascii="Times New Roman" w:hAnsi="Times New Roman" w:cs="Times New Roman"/>
          <w:sz w:val="24"/>
          <w:szCs w:val="24"/>
        </w:rPr>
        <w:t xml:space="preserve"> </w:t>
      </w:r>
      <w:r w:rsidRPr="00CD704D">
        <w:rPr>
          <w:rFonts w:ascii="Times New Roman" w:hAnsi="Times New Roman" w:cs="Times New Roman"/>
          <w:sz w:val="24"/>
          <w:szCs w:val="24"/>
        </w:rPr>
        <w:t>live</w:t>
      </w:r>
      <w:r w:rsidR="002D2EA2">
        <w:rPr>
          <w:rFonts w:ascii="Times New Roman" w:hAnsi="Times New Roman" w:cs="Times New Roman"/>
          <w:sz w:val="24"/>
          <w:szCs w:val="24"/>
        </w:rPr>
        <w:t>s</w:t>
      </w:r>
      <w:r w:rsidRPr="00CD704D">
        <w:rPr>
          <w:rFonts w:ascii="Times New Roman" w:hAnsi="Times New Roman" w:cs="Times New Roman"/>
          <w:sz w:val="24"/>
          <w:szCs w:val="24"/>
        </w:rPr>
        <w:t xml:space="preserve"> in such districts</w:t>
      </w:r>
      <w:r w:rsidR="002727B1" w:rsidRPr="00CD704D">
        <w:rPr>
          <w:rFonts w:ascii="Times New Roman" w:hAnsi="Times New Roman" w:cs="Times New Roman"/>
          <w:sz w:val="24"/>
          <w:szCs w:val="24"/>
        </w:rPr>
        <w:t xml:space="preserve">. </w:t>
      </w:r>
    </w:p>
    <w:p w14:paraId="61BB50D3" w14:textId="2D3A2BCD" w:rsidR="00E86334" w:rsidRDefault="002727B1"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Classifying districts based on their level of urbanization </w:t>
      </w:r>
      <w:r w:rsidR="00721AB8">
        <w:rPr>
          <w:rFonts w:ascii="Times New Roman" w:hAnsi="Times New Roman" w:cs="Times New Roman"/>
          <w:sz w:val="24"/>
          <w:szCs w:val="24"/>
        </w:rPr>
        <w:t>reflects</w:t>
      </w:r>
      <w:r w:rsidRPr="00CD704D">
        <w:rPr>
          <w:rFonts w:ascii="Times New Roman" w:hAnsi="Times New Roman" w:cs="Times New Roman"/>
          <w:sz w:val="24"/>
          <w:szCs w:val="24"/>
        </w:rPr>
        <w:t xml:space="preserve"> farmers’ access to different sized market centers with </w:t>
      </w:r>
      <w:r w:rsidR="00D94F48">
        <w:rPr>
          <w:rFonts w:ascii="Times New Roman" w:hAnsi="Times New Roman" w:cs="Times New Roman"/>
          <w:sz w:val="24"/>
          <w:szCs w:val="24"/>
        </w:rPr>
        <w:t xml:space="preserve">different </w:t>
      </w:r>
      <w:r w:rsidRPr="00CD704D">
        <w:rPr>
          <w:rFonts w:ascii="Times New Roman" w:hAnsi="Times New Roman" w:cs="Times New Roman"/>
          <w:sz w:val="24"/>
          <w:szCs w:val="24"/>
        </w:rPr>
        <w:t>population densit</w:t>
      </w:r>
      <w:r w:rsidR="008612CE">
        <w:rPr>
          <w:rFonts w:ascii="Times New Roman" w:hAnsi="Times New Roman" w:cs="Times New Roman"/>
          <w:sz w:val="24"/>
          <w:szCs w:val="24"/>
        </w:rPr>
        <w:t>ies</w:t>
      </w:r>
      <w:r w:rsidRPr="00CD704D">
        <w:rPr>
          <w:rFonts w:ascii="Times New Roman" w:hAnsi="Times New Roman" w:cs="Times New Roman"/>
          <w:sz w:val="24"/>
          <w:szCs w:val="24"/>
        </w:rPr>
        <w:t xml:space="preserve"> (Table </w:t>
      </w:r>
      <w:r w:rsidR="00D52F18">
        <w:rPr>
          <w:rFonts w:ascii="Times New Roman" w:hAnsi="Times New Roman" w:cs="Times New Roman"/>
          <w:sz w:val="24"/>
          <w:szCs w:val="24"/>
        </w:rPr>
        <w:t>9</w:t>
      </w:r>
      <w:r w:rsidR="00A17AB9">
        <w:rPr>
          <w:rFonts w:ascii="Times New Roman" w:hAnsi="Times New Roman" w:cs="Times New Roman"/>
          <w:sz w:val="24"/>
          <w:szCs w:val="24"/>
        </w:rPr>
        <w:t>.</w:t>
      </w:r>
      <w:r w:rsidRPr="00CD704D">
        <w:rPr>
          <w:rFonts w:ascii="Times New Roman" w:hAnsi="Times New Roman" w:cs="Times New Roman"/>
          <w:sz w:val="24"/>
          <w:szCs w:val="24"/>
        </w:rPr>
        <w:t>1). As such, more recent interpretations of the induced in</w:t>
      </w:r>
      <w:r w:rsidR="00D03966" w:rsidRPr="00CD704D">
        <w:rPr>
          <w:rFonts w:ascii="Times New Roman" w:hAnsi="Times New Roman" w:cs="Times New Roman"/>
          <w:sz w:val="24"/>
          <w:szCs w:val="24"/>
        </w:rPr>
        <w:t>novation theory (</w:t>
      </w:r>
      <w:proofErr w:type="spellStart"/>
      <w:r w:rsidR="00D03966" w:rsidRPr="00CD704D">
        <w:rPr>
          <w:rFonts w:ascii="Times New Roman" w:hAnsi="Times New Roman" w:cs="Times New Roman"/>
          <w:sz w:val="24"/>
          <w:szCs w:val="24"/>
        </w:rPr>
        <w:t>Pingali</w:t>
      </w:r>
      <w:proofErr w:type="spellEnd"/>
      <w:r w:rsidR="00D03966" w:rsidRPr="00CD704D">
        <w:rPr>
          <w:rFonts w:ascii="Times New Roman" w:hAnsi="Times New Roman" w:cs="Times New Roman"/>
          <w:sz w:val="24"/>
          <w:szCs w:val="24"/>
        </w:rPr>
        <w:t xml:space="preserve"> et al.</w:t>
      </w:r>
      <w:r w:rsidRPr="00CD704D">
        <w:rPr>
          <w:rFonts w:ascii="Times New Roman" w:hAnsi="Times New Roman" w:cs="Times New Roman"/>
          <w:sz w:val="24"/>
          <w:szCs w:val="24"/>
        </w:rPr>
        <w:t>1987; Binswanger and McIntire 1987; McIntire et al. 1992), which emphasize the role of market access as well as population pressure</w:t>
      </w:r>
      <w:r w:rsidR="00721AB8">
        <w:rPr>
          <w:rFonts w:ascii="Times New Roman" w:hAnsi="Times New Roman" w:cs="Times New Roman"/>
          <w:sz w:val="24"/>
          <w:szCs w:val="24"/>
        </w:rPr>
        <w:t xml:space="preserve"> (resulting in decreased access to land)</w:t>
      </w:r>
      <w:r w:rsidRPr="00CD704D">
        <w:rPr>
          <w:rFonts w:ascii="Times New Roman" w:hAnsi="Times New Roman" w:cs="Times New Roman"/>
          <w:sz w:val="24"/>
          <w:szCs w:val="24"/>
        </w:rPr>
        <w:t xml:space="preserve"> in driving agricultural intensification, suggest that farmers in more urbanized areas will be more likely to adopt </w:t>
      </w:r>
      <w:r w:rsidR="002A603E">
        <w:rPr>
          <w:rFonts w:ascii="Times New Roman" w:hAnsi="Times New Roman" w:cs="Times New Roman"/>
          <w:sz w:val="24"/>
          <w:szCs w:val="24"/>
        </w:rPr>
        <w:t xml:space="preserve">agricultural </w:t>
      </w:r>
      <w:r w:rsidRPr="00CD704D">
        <w:rPr>
          <w:rFonts w:ascii="Times New Roman" w:hAnsi="Times New Roman" w:cs="Times New Roman"/>
          <w:sz w:val="24"/>
          <w:szCs w:val="24"/>
        </w:rPr>
        <w:t xml:space="preserve">intensification practices and technologies. </w:t>
      </w:r>
    </w:p>
    <w:p w14:paraId="74722552" w14:textId="2BAF246D" w:rsidR="002727B1" w:rsidRPr="00FC1B5D" w:rsidRDefault="002727B1" w:rsidP="00EF7FD9">
      <w:pPr>
        <w:jc w:val="both"/>
        <w:rPr>
          <w:rFonts w:ascii="Times New Roman" w:hAnsi="Times New Roman" w:cs="Times New Roman"/>
          <w:sz w:val="24"/>
          <w:szCs w:val="24"/>
        </w:rPr>
      </w:pPr>
      <w:r w:rsidRPr="00FC1B5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A17AB9" w:rsidRPr="00FC1B5D">
        <w:rPr>
          <w:rFonts w:ascii="Times New Roman" w:hAnsi="Times New Roman" w:cs="Times New Roman"/>
          <w:sz w:val="24"/>
          <w:szCs w:val="24"/>
        </w:rPr>
        <w:t>.</w:t>
      </w:r>
      <w:r w:rsidRPr="00FC1B5D">
        <w:rPr>
          <w:rFonts w:ascii="Times New Roman" w:hAnsi="Times New Roman" w:cs="Times New Roman"/>
          <w:sz w:val="24"/>
          <w:szCs w:val="24"/>
        </w:rPr>
        <w:t>1</w:t>
      </w:r>
      <w:r w:rsidR="00A17AB9" w:rsidRPr="00FC1B5D">
        <w:rPr>
          <w:rFonts w:ascii="Times New Roman" w:hAnsi="Times New Roman" w:cs="Times New Roman"/>
          <w:sz w:val="24"/>
          <w:szCs w:val="24"/>
        </w:rPr>
        <w:t>:</w:t>
      </w:r>
      <w:r w:rsidRPr="00FC1B5D">
        <w:rPr>
          <w:rFonts w:ascii="Times New Roman" w:hAnsi="Times New Roman" w:cs="Times New Roman"/>
          <w:sz w:val="24"/>
          <w:szCs w:val="24"/>
        </w:rPr>
        <w:t xml:space="preserve"> Population densit</w:t>
      </w:r>
      <w:r w:rsidR="00A17AB9" w:rsidRPr="00FC1B5D">
        <w:rPr>
          <w:rFonts w:ascii="Times New Roman" w:hAnsi="Times New Roman" w:cs="Times New Roman"/>
          <w:sz w:val="24"/>
          <w:szCs w:val="24"/>
        </w:rPr>
        <w:t>ies</w:t>
      </w:r>
      <w:r w:rsidRPr="00FC1B5D">
        <w:rPr>
          <w:rFonts w:ascii="Times New Roman" w:hAnsi="Times New Roman" w:cs="Times New Roman"/>
          <w:sz w:val="24"/>
          <w:szCs w:val="24"/>
        </w:rPr>
        <w:t xml:space="preserve"> </w:t>
      </w:r>
      <w:r w:rsidR="0052024A" w:rsidRPr="00FC1B5D">
        <w:rPr>
          <w:rFonts w:ascii="Times New Roman" w:hAnsi="Times New Roman" w:cs="Times New Roman"/>
          <w:sz w:val="24"/>
          <w:szCs w:val="24"/>
        </w:rPr>
        <w:t xml:space="preserve">by </w:t>
      </w:r>
      <w:r w:rsidRPr="00FC1B5D">
        <w:rPr>
          <w:rFonts w:ascii="Times New Roman" w:hAnsi="Times New Roman" w:cs="Times New Roman"/>
          <w:sz w:val="24"/>
          <w:szCs w:val="24"/>
        </w:rPr>
        <w:t>district</w:t>
      </w:r>
      <w:r w:rsidR="0052024A" w:rsidRPr="00FC1B5D">
        <w:rPr>
          <w:rFonts w:ascii="Times New Roman" w:hAnsi="Times New Roman" w:cs="Times New Roman"/>
          <w:sz w:val="24"/>
          <w:szCs w:val="24"/>
        </w:rPr>
        <w:t xml:space="preserve"> group, 2000 and 2010</w:t>
      </w:r>
      <w:r w:rsidR="00985A58" w:rsidRPr="00FC1B5D">
        <w:rPr>
          <w:rFonts w:ascii="Times New Roman" w:hAnsi="Times New Roman" w:cs="Times New Roman"/>
          <w:sz w:val="24"/>
          <w:szCs w:val="24"/>
        </w:rPr>
        <w:t xml:space="preserve"> (pe</w:t>
      </w:r>
      <w:r w:rsidR="0052024A" w:rsidRPr="00FC1B5D">
        <w:rPr>
          <w:rFonts w:ascii="Times New Roman" w:hAnsi="Times New Roman" w:cs="Times New Roman"/>
          <w:sz w:val="24"/>
          <w:szCs w:val="24"/>
        </w:rPr>
        <w:t>ople</w:t>
      </w:r>
      <w:r w:rsidR="00985A58" w:rsidRPr="00FC1B5D">
        <w:rPr>
          <w:rFonts w:ascii="Times New Roman" w:hAnsi="Times New Roman" w:cs="Times New Roman"/>
          <w:sz w:val="24"/>
          <w:szCs w:val="24"/>
        </w:rPr>
        <w:t>/km</w:t>
      </w:r>
      <w:r w:rsidR="00985A58" w:rsidRPr="00FC1B5D">
        <w:rPr>
          <w:rFonts w:ascii="Times New Roman" w:hAnsi="Times New Roman" w:cs="Times New Roman"/>
          <w:sz w:val="24"/>
          <w:szCs w:val="24"/>
          <w:vertAlign w:val="superscript"/>
        </w:rPr>
        <w:t>2</w:t>
      </w:r>
      <w:r w:rsidR="00985A58" w:rsidRPr="00FC1B5D">
        <w:rPr>
          <w:rFonts w:ascii="Times New Roman" w:hAnsi="Times New Roman" w:cs="Times New Roman"/>
          <w:sz w:val="24"/>
          <w:szCs w:val="24"/>
        </w:rPr>
        <w:t>)</w:t>
      </w:r>
    </w:p>
    <w:tbl>
      <w:tblPr>
        <w:tblW w:w="9103" w:type="dxa"/>
        <w:tblLook w:val="04A0" w:firstRow="1" w:lastRow="0" w:firstColumn="1" w:lastColumn="0" w:noHBand="0" w:noVBand="1"/>
      </w:tblPr>
      <w:tblGrid>
        <w:gridCol w:w="2615"/>
        <w:gridCol w:w="1035"/>
        <w:gridCol w:w="1036"/>
        <w:gridCol w:w="1118"/>
        <w:gridCol w:w="316"/>
        <w:gridCol w:w="866"/>
        <w:gridCol w:w="866"/>
        <w:gridCol w:w="935"/>
        <w:gridCol w:w="316"/>
      </w:tblGrid>
      <w:tr w:rsidR="002727B1" w:rsidRPr="00CD704D" w14:paraId="6DA96966" w14:textId="77777777" w:rsidTr="00E86334">
        <w:trPr>
          <w:trHeight w:val="20"/>
        </w:trPr>
        <w:tc>
          <w:tcPr>
            <w:tcW w:w="2187" w:type="dxa"/>
            <w:tcBorders>
              <w:top w:val="single" w:sz="4" w:space="0" w:color="auto"/>
              <w:left w:val="nil"/>
              <w:bottom w:val="nil"/>
              <w:right w:val="nil"/>
            </w:tcBorders>
            <w:shd w:val="clear" w:color="auto" w:fill="auto"/>
            <w:noWrap/>
            <w:vAlign w:val="bottom"/>
            <w:hideMark/>
          </w:tcPr>
          <w:p w14:paraId="5A0EAEED"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nil"/>
            </w:tcBorders>
            <w:shd w:val="clear" w:color="auto" w:fill="auto"/>
            <w:noWrap/>
            <w:vAlign w:val="bottom"/>
            <w:hideMark/>
          </w:tcPr>
          <w:p w14:paraId="0059A8EC" w14:textId="477AC61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single" w:sz="4" w:space="0" w:color="auto"/>
              <w:left w:val="nil"/>
              <w:bottom w:val="nil"/>
              <w:right w:val="nil"/>
            </w:tcBorders>
            <w:shd w:val="clear" w:color="auto" w:fill="auto"/>
            <w:noWrap/>
            <w:vAlign w:val="bottom"/>
            <w:hideMark/>
          </w:tcPr>
          <w:p w14:paraId="0AB20BA7" w14:textId="547D3708"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r w:rsidR="0052024A">
              <w:rPr>
                <w:rFonts w:ascii="Times New Roman" w:eastAsia="Times New Roman" w:hAnsi="Times New Roman" w:cs="Times New Roman"/>
                <w:sz w:val="24"/>
                <w:szCs w:val="24"/>
                <w:lang w:eastAsia="zh-CN"/>
              </w:rPr>
              <w:t>2000</w:t>
            </w:r>
          </w:p>
        </w:tc>
        <w:tc>
          <w:tcPr>
            <w:tcW w:w="0" w:type="auto"/>
            <w:tcBorders>
              <w:top w:val="single" w:sz="4" w:space="0" w:color="auto"/>
              <w:left w:val="nil"/>
              <w:bottom w:val="nil"/>
              <w:right w:val="nil"/>
            </w:tcBorders>
            <w:shd w:val="clear" w:color="auto" w:fill="auto"/>
            <w:noWrap/>
            <w:vAlign w:val="bottom"/>
            <w:hideMark/>
          </w:tcPr>
          <w:p w14:paraId="6B75B5B2"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single" w:sz="4" w:space="0" w:color="auto"/>
            </w:tcBorders>
            <w:shd w:val="clear" w:color="auto" w:fill="auto"/>
            <w:noWrap/>
            <w:vAlign w:val="bottom"/>
            <w:hideMark/>
          </w:tcPr>
          <w:p w14:paraId="1DC86671"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nil"/>
            </w:tcBorders>
            <w:shd w:val="clear" w:color="auto" w:fill="auto"/>
            <w:noWrap/>
            <w:vAlign w:val="bottom"/>
            <w:hideMark/>
          </w:tcPr>
          <w:p w14:paraId="2C0EC043" w14:textId="7B24A27E"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single" w:sz="4" w:space="0" w:color="auto"/>
              <w:left w:val="nil"/>
              <w:bottom w:val="nil"/>
              <w:right w:val="nil"/>
            </w:tcBorders>
            <w:shd w:val="clear" w:color="auto" w:fill="auto"/>
            <w:noWrap/>
            <w:vAlign w:val="bottom"/>
            <w:hideMark/>
          </w:tcPr>
          <w:p w14:paraId="4CF2A18E" w14:textId="62B50C1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r w:rsidR="0052024A">
              <w:rPr>
                <w:rFonts w:ascii="Times New Roman" w:eastAsia="Times New Roman" w:hAnsi="Times New Roman" w:cs="Times New Roman"/>
                <w:sz w:val="24"/>
                <w:szCs w:val="24"/>
                <w:lang w:eastAsia="zh-CN"/>
              </w:rPr>
              <w:t>2010</w:t>
            </w:r>
          </w:p>
        </w:tc>
        <w:tc>
          <w:tcPr>
            <w:tcW w:w="0" w:type="auto"/>
            <w:tcBorders>
              <w:top w:val="single" w:sz="4" w:space="0" w:color="auto"/>
              <w:left w:val="nil"/>
              <w:bottom w:val="nil"/>
              <w:right w:val="nil"/>
            </w:tcBorders>
            <w:shd w:val="clear" w:color="auto" w:fill="auto"/>
            <w:noWrap/>
            <w:vAlign w:val="bottom"/>
            <w:hideMark/>
          </w:tcPr>
          <w:p w14:paraId="132CAEEA"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nil"/>
            </w:tcBorders>
            <w:shd w:val="clear" w:color="auto" w:fill="auto"/>
            <w:noWrap/>
            <w:vAlign w:val="bottom"/>
            <w:hideMark/>
          </w:tcPr>
          <w:p w14:paraId="343EF0D2"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r>
      <w:tr w:rsidR="002727B1" w:rsidRPr="00CD704D" w14:paraId="587C8440" w14:textId="77777777" w:rsidTr="00E86334">
        <w:trPr>
          <w:trHeight w:val="20"/>
        </w:trPr>
        <w:tc>
          <w:tcPr>
            <w:tcW w:w="2187" w:type="dxa"/>
            <w:tcBorders>
              <w:top w:val="nil"/>
              <w:left w:val="nil"/>
              <w:bottom w:val="single" w:sz="4" w:space="0" w:color="auto"/>
              <w:right w:val="nil"/>
            </w:tcBorders>
            <w:shd w:val="clear" w:color="auto" w:fill="auto"/>
            <w:noWrap/>
            <w:vAlign w:val="bottom"/>
            <w:hideMark/>
          </w:tcPr>
          <w:p w14:paraId="173D6857" w14:textId="6E590A32" w:rsidR="002727B1" w:rsidRPr="00CD704D" w:rsidRDefault="002727B1" w:rsidP="00482D11">
            <w:pPr>
              <w:spacing w:line="240" w:lineRule="auto"/>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r w:rsidR="0052024A">
              <w:rPr>
                <w:rFonts w:ascii="Times New Roman" w:eastAsia="Times New Roman" w:hAnsi="Times New Roman" w:cs="Times New Roman"/>
                <w:sz w:val="24"/>
                <w:szCs w:val="24"/>
                <w:lang w:eastAsia="zh-CN"/>
              </w:rPr>
              <w:t>District Group</w:t>
            </w:r>
          </w:p>
        </w:tc>
        <w:tc>
          <w:tcPr>
            <w:tcW w:w="0" w:type="auto"/>
            <w:tcBorders>
              <w:top w:val="nil"/>
              <w:left w:val="nil"/>
              <w:bottom w:val="single" w:sz="4" w:space="0" w:color="auto"/>
              <w:right w:val="nil"/>
            </w:tcBorders>
            <w:shd w:val="clear" w:color="auto" w:fill="auto"/>
            <w:noWrap/>
            <w:vAlign w:val="bottom"/>
            <w:hideMark/>
          </w:tcPr>
          <w:p w14:paraId="29D895DE"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Total</w:t>
            </w:r>
          </w:p>
        </w:tc>
        <w:tc>
          <w:tcPr>
            <w:tcW w:w="0" w:type="auto"/>
            <w:tcBorders>
              <w:top w:val="nil"/>
              <w:left w:val="nil"/>
              <w:bottom w:val="single" w:sz="4" w:space="0" w:color="auto"/>
              <w:right w:val="nil"/>
            </w:tcBorders>
            <w:shd w:val="clear" w:color="auto" w:fill="auto"/>
            <w:noWrap/>
            <w:vAlign w:val="bottom"/>
            <w:hideMark/>
          </w:tcPr>
          <w:p w14:paraId="74FA2B54"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Rural</w:t>
            </w:r>
          </w:p>
        </w:tc>
        <w:tc>
          <w:tcPr>
            <w:tcW w:w="0" w:type="auto"/>
            <w:tcBorders>
              <w:top w:val="nil"/>
              <w:left w:val="nil"/>
              <w:bottom w:val="single" w:sz="4" w:space="0" w:color="auto"/>
              <w:right w:val="nil"/>
            </w:tcBorders>
            <w:shd w:val="clear" w:color="auto" w:fill="auto"/>
            <w:noWrap/>
            <w:vAlign w:val="bottom"/>
            <w:hideMark/>
          </w:tcPr>
          <w:p w14:paraId="3C5D32DF"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Urban</w:t>
            </w:r>
          </w:p>
        </w:tc>
        <w:tc>
          <w:tcPr>
            <w:tcW w:w="0" w:type="auto"/>
            <w:tcBorders>
              <w:top w:val="nil"/>
              <w:left w:val="nil"/>
              <w:bottom w:val="single" w:sz="4" w:space="0" w:color="auto"/>
              <w:right w:val="single" w:sz="4" w:space="0" w:color="auto"/>
            </w:tcBorders>
            <w:shd w:val="clear" w:color="auto" w:fill="auto"/>
            <w:noWrap/>
            <w:vAlign w:val="bottom"/>
            <w:hideMark/>
          </w:tcPr>
          <w:p w14:paraId="5E756A81" w14:textId="68FC0D45"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single" w:sz="4" w:space="0" w:color="auto"/>
              <w:right w:val="nil"/>
            </w:tcBorders>
            <w:shd w:val="clear" w:color="auto" w:fill="auto"/>
            <w:noWrap/>
            <w:vAlign w:val="bottom"/>
            <w:hideMark/>
          </w:tcPr>
          <w:p w14:paraId="5983BA5E"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Total</w:t>
            </w:r>
          </w:p>
        </w:tc>
        <w:tc>
          <w:tcPr>
            <w:tcW w:w="0" w:type="auto"/>
            <w:tcBorders>
              <w:top w:val="nil"/>
              <w:left w:val="nil"/>
              <w:bottom w:val="single" w:sz="4" w:space="0" w:color="auto"/>
              <w:right w:val="nil"/>
            </w:tcBorders>
            <w:shd w:val="clear" w:color="auto" w:fill="auto"/>
            <w:noWrap/>
            <w:vAlign w:val="bottom"/>
            <w:hideMark/>
          </w:tcPr>
          <w:p w14:paraId="2D918A62"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Rural</w:t>
            </w:r>
          </w:p>
        </w:tc>
        <w:tc>
          <w:tcPr>
            <w:tcW w:w="0" w:type="auto"/>
            <w:tcBorders>
              <w:top w:val="nil"/>
              <w:left w:val="nil"/>
              <w:bottom w:val="single" w:sz="4" w:space="0" w:color="auto"/>
              <w:right w:val="nil"/>
            </w:tcBorders>
            <w:shd w:val="clear" w:color="auto" w:fill="auto"/>
            <w:noWrap/>
            <w:vAlign w:val="bottom"/>
            <w:hideMark/>
          </w:tcPr>
          <w:p w14:paraId="43768A19"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Urban</w:t>
            </w:r>
          </w:p>
        </w:tc>
        <w:tc>
          <w:tcPr>
            <w:tcW w:w="0" w:type="auto"/>
            <w:tcBorders>
              <w:top w:val="nil"/>
              <w:left w:val="nil"/>
              <w:bottom w:val="single" w:sz="4" w:space="0" w:color="auto"/>
              <w:right w:val="nil"/>
            </w:tcBorders>
            <w:shd w:val="clear" w:color="auto" w:fill="auto"/>
            <w:noWrap/>
            <w:vAlign w:val="bottom"/>
            <w:hideMark/>
          </w:tcPr>
          <w:p w14:paraId="359CB946" w14:textId="677FD68F"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5B63B34B" w14:textId="77777777" w:rsidTr="00E86334">
        <w:trPr>
          <w:trHeight w:val="20"/>
        </w:trPr>
        <w:tc>
          <w:tcPr>
            <w:tcW w:w="5399" w:type="dxa"/>
            <w:gridSpan w:val="4"/>
            <w:tcBorders>
              <w:top w:val="nil"/>
              <w:left w:val="nil"/>
              <w:bottom w:val="nil"/>
              <w:right w:val="nil"/>
            </w:tcBorders>
            <w:shd w:val="clear" w:color="auto" w:fill="auto"/>
            <w:noWrap/>
            <w:vAlign w:val="bottom"/>
            <w:hideMark/>
          </w:tcPr>
          <w:p w14:paraId="3BEA7294" w14:textId="0A2EEF59" w:rsidR="002727B1" w:rsidRPr="00CD704D" w:rsidRDefault="000922D2" w:rsidP="008D08D9">
            <w:pPr>
              <w:spacing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North</w:t>
            </w:r>
            <w:r w:rsidR="00443F95" w:rsidRPr="00CD704D">
              <w:rPr>
                <w:rFonts w:ascii="Times New Roman" w:eastAsia="Times New Roman" w:hAnsi="Times New Roman" w:cs="Times New Roman"/>
                <w:color w:val="000000"/>
                <w:sz w:val="24"/>
                <w:szCs w:val="24"/>
                <w:lang w:eastAsia="zh-CN"/>
              </w:rPr>
              <w:t>:</w:t>
            </w:r>
          </w:p>
        </w:tc>
        <w:tc>
          <w:tcPr>
            <w:tcW w:w="0" w:type="auto"/>
            <w:tcBorders>
              <w:top w:val="nil"/>
              <w:left w:val="nil"/>
              <w:bottom w:val="nil"/>
              <w:right w:val="single" w:sz="4" w:space="0" w:color="auto"/>
            </w:tcBorders>
            <w:shd w:val="clear" w:color="auto" w:fill="auto"/>
            <w:noWrap/>
            <w:vAlign w:val="bottom"/>
            <w:hideMark/>
          </w:tcPr>
          <w:p w14:paraId="2C3A5DC0"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nil"/>
              <w:left w:val="nil"/>
              <w:bottom w:val="nil"/>
              <w:right w:val="nil"/>
            </w:tcBorders>
            <w:shd w:val="clear" w:color="auto" w:fill="auto"/>
            <w:noWrap/>
            <w:vAlign w:val="bottom"/>
            <w:hideMark/>
          </w:tcPr>
          <w:p w14:paraId="562B5B40"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5858918C"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58D485E5"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6C217A74"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005B2837" w14:textId="77777777" w:rsidTr="00E86334">
        <w:trPr>
          <w:trHeight w:val="20"/>
        </w:trPr>
        <w:tc>
          <w:tcPr>
            <w:tcW w:w="2187" w:type="dxa"/>
            <w:tcBorders>
              <w:top w:val="nil"/>
              <w:left w:val="nil"/>
              <w:bottom w:val="nil"/>
              <w:right w:val="nil"/>
            </w:tcBorders>
            <w:shd w:val="clear" w:color="auto" w:fill="auto"/>
            <w:noWrap/>
            <w:vAlign w:val="center"/>
            <w:hideMark/>
          </w:tcPr>
          <w:p w14:paraId="1AE22787"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2</w:t>
            </w:r>
            <w:r w:rsidRPr="00CD704D">
              <w:rPr>
                <w:rFonts w:ascii="Times New Roman" w:eastAsia="Times New Roman" w:hAnsi="Times New Roman" w:cs="Times New Roman"/>
                <w:color w:val="000000"/>
                <w:sz w:val="24"/>
                <w:szCs w:val="24"/>
                <w:vertAlign w:val="superscript"/>
                <w:lang w:eastAsia="zh-CN"/>
              </w:rPr>
              <w:t>nd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center"/>
            <w:hideMark/>
          </w:tcPr>
          <w:p w14:paraId="7113335E" w14:textId="13467E70"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10</w:t>
            </w:r>
          </w:p>
        </w:tc>
        <w:tc>
          <w:tcPr>
            <w:tcW w:w="0" w:type="auto"/>
            <w:tcBorders>
              <w:top w:val="nil"/>
              <w:left w:val="nil"/>
              <w:bottom w:val="nil"/>
              <w:right w:val="nil"/>
            </w:tcBorders>
            <w:shd w:val="clear" w:color="auto" w:fill="auto"/>
            <w:noWrap/>
            <w:vAlign w:val="center"/>
            <w:hideMark/>
          </w:tcPr>
          <w:p w14:paraId="08A68860" w14:textId="0670215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72</w:t>
            </w:r>
          </w:p>
        </w:tc>
        <w:tc>
          <w:tcPr>
            <w:tcW w:w="0" w:type="auto"/>
            <w:tcBorders>
              <w:top w:val="nil"/>
              <w:left w:val="nil"/>
              <w:bottom w:val="nil"/>
              <w:right w:val="nil"/>
            </w:tcBorders>
            <w:shd w:val="clear" w:color="auto" w:fill="auto"/>
            <w:noWrap/>
            <w:vAlign w:val="center"/>
            <w:hideMark/>
          </w:tcPr>
          <w:p w14:paraId="77CA7BA6" w14:textId="3566A849"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138</w:t>
            </w:r>
          </w:p>
        </w:tc>
        <w:tc>
          <w:tcPr>
            <w:tcW w:w="0" w:type="auto"/>
            <w:tcBorders>
              <w:top w:val="nil"/>
              <w:left w:val="nil"/>
              <w:bottom w:val="nil"/>
              <w:right w:val="single" w:sz="4" w:space="0" w:color="auto"/>
            </w:tcBorders>
            <w:shd w:val="clear" w:color="auto" w:fill="auto"/>
            <w:noWrap/>
            <w:vAlign w:val="center"/>
            <w:hideMark/>
          </w:tcPr>
          <w:p w14:paraId="2DF69906" w14:textId="3E52B79C"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center"/>
            <w:hideMark/>
          </w:tcPr>
          <w:p w14:paraId="68594F9F" w14:textId="609BF824"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257</w:t>
            </w:r>
          </w:p>
        </w:tc>
        <w:tc>
          <w:tcPr>
            <w:tcW w:w="0" w:type="auto"/>
            <w:tcBorders>
              <w:top w:val="nil"/>
              <w:left w:val="nil"/>
              <w:bottom w:val="nil"/>
              <w:right w:val="nil"/>
            </w:tcBorders>
            <w:shd w:val="clear" w:color="auto" w:fill="auto"/>
            <w:noWrap/>
            <w:vAlign w:val="center"/>
            <w:hideMark/>
          </w:tcPr>
          <w:p w14:paraId="45507BCD" w14:textId="2FC8B914"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73</w:t>
            </w:r>
          </w:p>
        </w:tc>
        <w:tc>
          <w:tcPr>
            <w:tcW w:w="0" w:type="auto"/>
            <w:tcBorders>
              <w:top w:val="nil"/>
              <w:left w:val="nil"/>
              <w:bottom w:val="nil"/>
              <w:right w:val="nil"/>
            </w:tcBorders>
            <w:shd w:val="clear" w:color="auto" w:fill="auto"/>
            <w:noWrap/>
            <w:vAlign w:val="center"/>
            <w:hideMark/>
          </w:tcPr>
          <w:p w14:paraId="3BAA36AC" w14:textId="02B05C18"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184</w:t>
            </w:r>
          </w:p>
        </w:tc>
        <w:tc>
          <w:tcPr>
            <w:tcW w:w="0" w:type="auto"/>
            <w:tcBorders>
              <w:top w:val="nil"/>
              <w:left w:val="nil"/>
              <w:bottom w:val="nil"/>
              <w:right w:val="nil"/>
            </w:tcBorders>
            <w:shd w:val="clear" w:color="auto" w:fill="auto"/>
            <w:noWrap/>
            <w:vAlign w:val="center"/>
          </w:tcPr>
          <w:p w14:paraId="0C003E1A" w14:textId="45EBC079"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591DCBC8" w14:textId="77777777" w:rsidTr="00E86334">
        <w:trPr>
          <w:trHeight w:val="20"/>
        </w:trPr>
        <w:tc>
          <w:tcPr>
            <w:tcW w:w="2187" w:type="dxa"/>
            <w:tcBorders>
              <w:top w:val="nil"/>
              <w:left w:val="nil"/>
              <w:bottom w:val="nil"/>
              <w:right w:val="nil"/>
            </w:tcBorders>
            <w:shd w:val="clear" w:color="auto" w:fill="auto"/>
            <w:noWrap/>
            <w:vAlign w:val="center"/>
            <w:hideMark/>
          </w:tcPr>
          <w:p w14:paraId="4422855F"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3</w:t>
            </w:r>
            <w:r w:rsidRPr="00CD704D">
              <w:rPr>
                <w:rFonts w:ascii="Times New Roman" w:eastAsia="Times New Roman" w:hAnsi="Times New Roman" w:cs="Times New Roman"/>
                <w:color w:val="000000"/>
                <w:sz w:val="24"/>
                <w:szCs w:val="24"/>
                <w:vertAlign w:val="superscript"/>
                <w:lang w:eastAsia="zh-CN"/>
              </w:rPr>
              <w:t>rd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center"/>
            <w:hideMark/>
          </w:tcPr>
          <w:p w14:paraId="7B635A9C" w14:textId="4E0E3A7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57</w:t>
            </w:r>
          </w:p>
        </w:tc>
        <w:tc>
          <w:tcPr>
            <w:tcW w:w="0" w:type="auto"/>
            <w:tcBorders>
              <w:top w:val="nil"/>
              <w:left w:val="nil"/>
              <w:bottom w:val="nil"/>
              <w:right w:val="nil"/>
            </w:tcBorders>
            <w:shd w:val="clear" w:color="auto" w:fill="auto"/>
            <w:noWrap/>
            <w:vAlign w:val="center"/>
            <w:hideMark/>
          </w:tcPr>
          <w:p w14:paraId="2D981DBD" w14:textId="0DC03FAE"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4</w:t>
            </w:r>
            <w:r>
              <w:rPr>
                <w:rFonts w:ascii="Times New Roman" w:eastAsia="Times New Roman" w:hAnsi="Times New Roman" w:cs="Times New Roman"/>
                <w:sz w:val="24"/>
                <w:szCs w:val="24"/>
                <w:lang w:eastAsia="zh-CN"/>
              </w:rPr>
              <w:t>0</w:t>
            </w:r>
          </w:p>
        </w:tc>
        <w:tc>
          <w:tcPr>
            <w:tcW w:w="0" w:type="auto"/>
            <w:tcBorders>
              <w:top w:val="nil"/>
              <w:left w:val="nil"/>
              <w:bottom w:val="nil"/>
              <w:right w:val="nil"/>
            </w:tcBorders>
            <w:shd w:val="clear" w:color="auto" w:fill="auto"/>
            <w:noWrap/>
            <w:vAlign w:val="center"/>
            <w:hideMark/>
          </w:tcPr>
          <w:p w14:paraId="3FB9BA4C" w14:textId="745ABF03"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7</w:t>
            </w:r>
          </w:p>
        </w:tc>
        <w:tc>
          <w:tcPr>
            <w:tcW w:w="0" w:type="auto"/>
            <w:tcBorders>
              <w:top w:val="nil"/>
              <w:left w:val="nil"/>
              <w:bottom w:val="nil"/>
              <w:right w:val="single" w:sz="4" w:space="0" w:color="auto"/>
            </w:tcBorders>
            <w:shd w:val="clear" w:color="auto" w:fill="auto"/>
            <w:noWrap/>
            <w:vAlign w:val="center"/>
            <w:hideMark/>
          </w:tcPr>
          <w:p w14:paraId="532CB8E5" w14:textId="585ED52B"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center"/>
            <w:hideMark/>
          </w:tcPr>
          <w:p w14:paraId="75BE0760" w14:textId="1F54F867"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69</w:t>
            </w:r>
          </w:p>
        </w:tc>
        <w:tc>
          <w:tcPr>
            <w:tcW w:w="0" w:type="auto"/>
            <w:tcBorders>
              <w:top w:val="nil"/>
              <w:left w:val="nil"/>
              <w:bottom w:val="nil"/>
              <w:right w:val="nil"/>
            </w:tcBorders>
            <w:shd w:val="clear" w:color="auto" w:fill="auto"/>
            <w:noWrap/>
            <w:vAlign w:val="center"/>
            <w:hideMark/>
          </w:tcPr>
          <w:p w14:paraId="162DD414" w14:textId="016CD066"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4</w:t>
            </w:r>
            <w:r w:rsidR="0042236C">
              <w:rPr>
                <w:rFonts w:ascii="Times New Roman" w:eastAsia="Times New Roman" w:hAnsi="Times New Roman" w:cs="Times New Roman"/>
                <w:sz w:val="24"/>
                <w:szCs w:val="24"/>
                <w:lang w:eastAsia="zh-CN"/>
              </w:rPr>
              <w:t>5</w:t>
            </w:r>
          </w:p>
        </w:tc>
        <w:tc>
          <w:tcPr>
            <w:tcW w:w="0" w:type="auto"/>
            <w:tcBorders>
              <w:top w:val="nil"/>
              <w:left w:val="nil"/>
              <w:bottom w:val="nil"/>
              <w:right w:val="nil"/>
            </w:tcBorders>
            <w:shd w:val="clear" w:color="auto" w:fill="auto"/>
            <w:noWrap/>
            <w:vAlign w:val="center"/>
            <w:hideMark/>
          </w:tcPr>
          <w:p w14:paraId="772DD3CF" w14:textId="3DF2A34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sidR="0042236C">
              <w:rPr>
                <w:rFonts w:ascii="Times New Roman" w:eastAsia="Times New Roman" w:hAnsi="Times New Roman" w:cs="Times New Roman"/>
                <w:sz w:val="24"/>
                <w:szCs w:val="24"/>
                <w:lang w:eastAsia="zh-CN"/>
              </w:rPr>
              <w:t>4</w:t>
            </w:r>
          </w:p>
        </w:tc>
        <w:tc>
          <w:tcPr>
            <w:tcW w:w="0" w:type="auto"/>
            <w:tcBorders>
              <w:top w:val="nil"/>
              <w:left w:val="nil"/>
              <w:bottom w:val="nil"/>
              <w:right w:val="nil"/>
            </w:tcBorders>
            <w:shd w:val="clear" w:color="auto" w:fill="auto"/>
            <w:noWrap/>
            <w:vAlign w:val="center"/>
          </w:tcPr>
          <w:p w14:paraId="3423B685" w14:textId="0043A985"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6CEA89FC" w14:textId="77777777" w:rsidTr="00E86334">
        <w:trPr>
          <w:trHeight w:val="20"/>
        </w:trPr>
        <w:tc>
          <w:tcPr>
            <w:tcW w:w="2187" w:type="dxa"/>
            <w:tcBorders>
              <w:top w:val="nil"/>
              <w:left w:val="nil"/>
              <w:bottom w:val="nil"/>
              <w:right w:val="nil"/>
            </w:tcBorders>
            <w:shd w:val="clear" w:color="auto" w:fill="auto"/>
            <w:noWrap/>
            <w:vAlign w:val="center"/>
            <w:hideMark/>
          </w:tcPr>
          <w:p w14:paraId="671F8BB9"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No city districts</w:t>
            </w:r>
          </w:p>
        </w:tc>
        <w:tc>
          <w:tcPr>
            <w:tcW w:w="0" w:type="auto"/>
            <w:tcBorders>
              <w:top w:val="nil"/>
              <w:left w:val="nil"/>
              <w:bottom w:val="nil"/>
              <w:right w:val="nil"/>
            </w:tcBorders>
            <w:shd w:val="clear" w:color="auto" w:fill="auto"/>
            <w:noWrap/>
            <w:vAlign w:val="center"/>
            <w:hideMark/>
          </w:tcPr>
          <w:p w14:paraId="404030C4" w14:textId="206DD02E"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28</w:t>
            </w:r>
          </w:p>
        </w:tc>
        <w:tc>
          <w:tcPr>
            <w:tcW w:w="0" w:type="auto"/>
            <w:tcBorders>
              <w:top w:val="nil"/>
              <w:left w:val="nil"/>
              <w:bottom w:val="nil"/>
              <w:right w:val="nil"/>
            </w:tcBorders>
            <w:shd w:val="clear" w:color="auto" w:fill="auto"/>
            <w:noWrap/>
            <w:vAlign w:val="center"/>
            <w:hideMark/>
          </w:tcPr>
          <w:p w14:paraId="799BB301" w14:textId="2FD826D7"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3</w:t>
            </w:r>
          </w:p>
        </w:tc>
        <w:tc>
          <w:tcPr>
            <w:tcW w:w="0" w:type="auto"/>
            <w:tcBorders>
              <w:top w:val="nil"/>
              <w:left w:val="nil"/>
              <w:bottom w:val="nil"/>
              <w:right w:val="nil"/>
            </w:tcBorders>
            <w:shd w:val="clear" w:color="auto" w:fill="auto"/>
            <w:noWrap/>
            <w:vAlign w:val="center"/>
            <w:hideMark/>
          </w:tcPr>
          <w:p w14:paraId="652F2B77" w14:textId="1256CD71"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0" w:type="auto"/>
            <w:tcBorders>
              <w:top w:val="nil"/>
              <w:left w:val="nil"/>
              <w:bottom w:val="nil"/>
              <w:right w:val="single" w:sz="4" w:space="0" w:color="auto"/>
            </w:tcBorders>
            <w:shd w:val="clear" w:color="auto" w:fill="auto"/>
            <w:noWrap/>
            <w:vAlign w:val="center"/>
            <w:hideMark/>
          </w:tcPr>
          <w:p w14:paraId="5DA3690B" w14:textId="7EC88627"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center"/>
            <w:hideMark/>
          </w:tcPr>
          <w:p w14:paraId="6101ABA7" w14:textId="27141888"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37</w:t>
            </w:r>
          </w:p>
        </w:tc>
        <w:tc>
          <w:tcPr>
            <w:tcW w:w="0" w:type="auto"/>
            <w:tcBorders>
              <w:top w:val="nil"/>
              <w:left w:val="nil"/>
              <w:bottom w:val="nil"/>
              <w:right w:val="nil"/>
            </w:tcBorders>
            <w:shd w:val="clear" w:color="auto" w:fill="auto"/>
            <w:noWrap/>
            <w:vAlign w:val="center"/>
            <w:hideMark/>
          </w:tcPr>
          <w:p w14:paraId="18230BA6" w14:textId="48FDE0E3"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28</w:t>
            </w:r>
          </w:p>
        </w:tc>
        <w:tc>
          <w:tcPr>
            <w:tcW w:w="0" w:type="auto"/>
            <w:tcBorders>
              <w:top w:val="nil"/>
              <w:left w:val="nil"/>
              <w:bottom w:val="nil"/>
              <w:right w:val="nil"/>
            </w:tcBorders>
            <w:shd w:val="clear" w:color="auto" w:fill="auto"/>
            <w:noWrap/>
            <w:vAlign w:val="center"/>
            <w:hideMark/>
          </w:tcPr>
          <w:p w14:paraId="13829AF3" w14:textId="4EA9493E"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9</w:t>
            </w:r>
          </w:p>
        </w:tc>
        <w:tc>
          <w:tcPr>
            <w:tcW w:w="0" w:type="auto"/>
            <w:tcBorders>
              <w:top w:val="nil"/>
              <w:left w:val="nil"/>
              <w:bottom w:val="nil"/>
              <w:right w:val="nil"/>
            </w:tcBorders>
            <w:shd w:val="clear" w:color="auto" w:fill="auto"/>
            <w:noWrap/>
            <w:vAlign w:val="center"/>
          </w:tcPr>
          <w:p w14:paraId="147F263C" w14:textId="3ECAF256"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044C3B27" w14:textId="77777777" w:rsidTr="00E86334">
        <w:trPr>
          <w:trHeight w:val="20"/>
        </w:trPr>
        <w:tc>
          <w:tcPr>
            <w:tcW w:w="2187" w:type="dxa"/>
            <w:tcBorders>
              <w:top w:val="nil"/>
              <w:left w:val="nil"/>
              <w:bottom w:val="single" w:sz="4" w:space="0" w:color="auto"/>
              <w:right w:val="nil"/>
            </w:tcBorders>
            <w:shd w:val="clear" w:color="auto" w:fill="auto"/>
            <w:noWrap/>
            <w:vAlign w:val="bottom"/>
            <w:hideMark/>
          </w:tcPr>
          <w:p w14:paraId="7CBC7F9B" w14:textId="2EF12185" w:rsidR="002727B1" w:rsidRPr="00CD704D" w:rsidRDefault="0042236C" w:rsidP="00482D11">
            <w:pPr>
              <w:spacing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North</w:t>
            </w:r>
            <w:r w:rsidR="002727B1" w:rsidRPr="00CD704D">
              <w:rPr>
                <w:rFonts w:ascii="Times New Roman" w:eastAsia="Times New Roman" w:hAnsi="Times New Roman" w:cs="Times New Roman"/>
                <w:color w:val="000000"/>
                <w:sz w:val="24"/>
                <w:szCs w:val="24"/>
                <w:lang w:eastAsia="zh-CN"/>
              </w:rPr>
              <w:t xml:space="preserve"> total </w:t>
            </w:r>
          </w:p>
        </w:tc>
        <w:tc>
          <w:tcPr>
            <w:tcW w:w="0" w:type="auto"/>
            <w:tcBorders>
              <w:top w:val="nil"/>
              <w:left w:val="nil"/>
              <w:bottom w:val="single" w:sz="4" w:space="0" w:color="auto"/>
              <w:right w:val="nil"/>
            </w:tcBorders>
            <w:shd w:val="clear" w:color="auto" w:fill="auto"/>
            <w:noWrap/>
            <w:vAlign w:val="center"/>
            <w:hideMark/>
          </w:tcPr>
          <w:p w14:paraId="66784F46" w14:textId="4F6BB520"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38</w:t>
            </w:r>
          </w:p>
        </w:tc>
        <w:tc>
          <w:tcPr>
            <w:tcW w:w="0" w:type="auto"/>
            <w:tcBorders>
              <w:top w:val="nil"/>
              <w:left w:val="nil"/>
              <w:bottom w:val="single" w:sz="4" w:space="0" w:color="auto"/>
              <w:right w:val="nil"/>
            </w:tcBorders>
            <w:shd w:val="clear" w:color="auto" w:fill="auto"/>
            <w:noWrap/>
            <w:vAlign w:val="center"/>
            <w:hideMark/>
          </w:tcPr>
          <w:p w14:paraId="308614E9" w14:textId="7210722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27</w:t>
            </w:r>
          </w:p>
        </w:tc>
        <w:tc>
          <w:tcPr>
            <w:tcW w:w="0" w:type="auto"/>
            <w:tcBorders>
              <w:top w:val="nil"/>
              <w:left w:val="nil"/>
              <w:bottom w:val="single" w:sz="4" w:space="0" w:color="auto"/>
              <w:right w:val="nil"/>
            </w:tcBorders>
            <w:shd w:val="clear" w:color="auto" w:fill="auto"/>
            <w:noWrap/>
            <w:vAlign w:val="center"/>
            <w:hideMark/>
          </w:tcPr>
          <w:p w14:paraId="22DCF860" w14:textId="7BF820B9"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0</w:t>
            </w:r>
          </w:p>
        </w:tc>
        <w:tc>
          <w:tcPr>
            <w:tcW w:w="0" w:type="auto"/>
            <w:tcBorders>
              <w:top w:val="nil"/>
              <w:left w:val="nil"/>
              <w:bottom w:val="single" w:sz="4" w:space="0" w:color="auto"/>
              <w:right w:val="single" w:sz="4" w:space="0" w:color="auto"/>
            </w:tcBorders>
            <w:shd w:val="clear" w:color="auto" w:fill="auto"/>
            <w:noWrap/>
            <w:vAlign w:val="center"/>
            <w:hideMark/>
          </w:tcPr>
          <w:p w14:paraId="12314A87" w14:textId="6DCF888A"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single" w:sz="4" w:space="0" w:color="auto"/>
              <w:right w:val="nil"/>
            </w:tcBorders>
            <w:shd w:val="clear" w:color="auto" w:fill="auto"/>
            <w:noWrap/>
            <w:vAlign w:val="center"/>
            <w:hideMark/>
          </w:tcPr>
          <w:p w14:paraId="0804D3BF" w14:textId="790C626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48</w:t>
            </w:r>
          </w:p>
        </w:tc>
        <w:tc>
          <w:tcPr>
            <w:tcW w:w="0" w:type="auto"/>
            <w:tcBorders>
              <w:top w:val="nil"/>
              <w:left w:val="nil"/>
              <w:bottom w:val="single" w:sz="4" w:space="0" w:color="auto"/>
              <w:right w:val="nil"/>
            </w:tcBorders>
            <w:shd w:val="clear" w:color="auto" w:fill="auto"/>
            <w:noWrap/>
            <w:vAlign w:val="center"/>
            <w:hideMark/>
          </w:tcPr>
          <w:p w14:paraId="3C3BEA6E" w14:textId="6B27D35F"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3</w:t>
            </w:r>
            <w:r w:rsidR="0042236C">
              <w:rPr>
                <w:rFonts w:ascii="Times New Roman" w:eastAsia="Times New Roman" w:hAnsi="Times New Roman" w:cs="Times New Roman"/>
                <w:sz w:val="24"/>
                <w:szCs w:val="24"/>
                <w:lang w:eastAsia="zh-CN"/>
              </w:rPr>
              <w:t>3</w:t>
            </w:r>
          </w:p>
        </w:tc>
        <w:tc>
          <w:tcPr>
            <w:tcW w:w="0" w:type="auto"/>
            <w:tcBorders>
              <w:top w:val="nil"/>
              <w:left w:val="nil"/>
              <w:bottom w:val="single" w:sz="4" w:space="0" w:color="auto"/>
              <w:right w:val="nil"/>
            </w:tcBorders>
            <w:shd w:val="clear" w:color="auto" w:fill="auto"/>
            <w:noWrap/>
            <w:vAlign w:val="center"/>
            <w:hideMark/>
          </w:tcPr>
          <w:p w14:paraId="619D3F99" w14:textId="71E4C823"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42236C">
              <w:rPr>
                <w:rFonts w:ascii="Times New Roman" w:eastAsia="Times New Roman" w:hAnsi="Times New Roman" w:cs="Times New Roman"/>
                <w:sz w:val="24"/>
                <w:szCs w:val="24"/>
                <w:lang w:eastAsia="zh-CN"/>
              </w:rPr>
              <w:t>6</w:t>
            </w:r>
          </w:p>
        </w:tc>
        <w:tc>
          <w:tcPr>
            <w:tcW w:w="0" w:type="auto"/>
            <w:tcBorders>
              <w:top w:val="nil"/>
              <w:left w:val="nil"/>
              <w:bottom w:val="single" w:sz="4" w:space="0" w:color="auto"/>
              <w:right w:val="nil"/>
            </w:tcBorders>
            <w:shd w:val="clear" w:color="auto" w:fill="auto"/>
            <w:noWrap/>
            <w:vAlign w:val="center"/>
          </w:tcPr>
          <w:p w14:paraId="689DAEEA" w14:textId="0ABFAEBB"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4A4FEE37" w14:textId="77777777" w:rsidTr="00E86334">
        <w:trPr>
          <w:trHeight w:val="20"/>
        </w:trPr>
        <w:tc>
          <w:tcPr>
            <w:tcW w:w="5399" w:type="dxa"/>
            <w:gridSpan w:val="4"/>
            <w:tcBorders>
              <w:top w:val="nil"/>
              <w:left w:val="nil"/>
              <w:bottom w:val="nil"/>
              <w:right w:val="nil"/>
            </w:tcBorders>
            <w:shd w:val="clear" w:color="auto" w:fill="auto"/>
            <w:noWrap/>
            <w:vAlign w:val="bottom"/>
            <w:hideMark/>
          </w:tcPr>
          <w:p w14:paraId="7B85E91B" w14:textId="497169C8" w:rsidR="002727B1" w:rsidRPr="00CD704D" w:rsidRDefault="000922D2" w:rsidP="00482D11">
            <w:pPr>
              <w:spacing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South</w:t>
            </w:r>
            <w:r w:rsidR="00443F95" w:rsidRPr="00CD704D">
              <w:rPr>
                <w:rFonts w:ascii="Times New Roman" w:eastAsia="Times New Roman" w:hAnsi="Times New Roman" w:cs="Times New Roman"/>
                <w:sz w:val="24"/>
                <w:szCs w:val="24"/>
                <w:lang w:eastAsia="zh-CN"/>
              </w:rPr>
              <w:t>:</w:t>
            </w:r>
          </w:p>
        </w:tc>
        <w:tc>
          <w:tcPr>
            <w:tcW w:w="0" w:type="auto"/>
            <w:tcBorders>
              <w:top w:val="nil"/>
              <w:left w:val="nil"/>
              <w:bottom w:val="nil"/>
              <w:right w:val="single" w:sz="4" w:space="0" w:color="auto"/>
            </w:tcBorders>
            <w:shd w:val="clear" w:color="auto" w:fill="auto"/>
            <w:noWrap/>
            <w:vAlign w:val="bottom"/>
            <w:hideMark/>
          </w:tcPr>
          <w:p w14:paraId="5B4CBBE0" w14:textId="70DEE4D1"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29D05F03" w14:textId="77777777"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39D9B960" w14:textId="77777777"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70A9760F" w14:textId="77777777"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tcPr>
          <w:p w14:paraId="302303A7"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34F5BBB1" w14:textId="77777777" w:rsidTr="00E86334">
        <w:trPr>
          <w:trHeight w:val="20"/>
        </w:trPr>
        <w:tc>
          <w:tcPr>
            <w:tcW w:w="2187" w:type="dxa"/>
            <w:tcBorders>
              <w:top w:val="nil"/>
              <w:left w:val="nil"/>
              <w:bottom w:val="nil"/>
              <w:right w:val="nil"/>
            </w:tcBorders>
            <w:shd w:val="clear" w:color="auto" w:fill="auto"/>
            <w:noWrap/>
            <w:vAlign w:val="bottom"/>
            <w:hideMark/>
          </w:tcPr>
          <w:p w14:paraId="777297EF" w14:textId="7D1FAA80"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 xml:space="preserve">Big city districts </w:t>
            </w:r>
          </w:p>
        </w:tc>
        <w:tc>
          <w:tcPr>
            <w:tcW w:w="0" w:type="auto"/>
            <w:tcBorders>
              <w:top w:val="nil"/>
              <w:left w:val="nil"/>
              <w:bottom w:val="nil"/>
              <w:right w:val="nil"/>
            </w:tcBorders>
            <w:shd w:val="clear" w:color="auto" w:fill="auto"/>
            <w:noWrap/>
            <w:vAlign w:val="bottom"/>
            <w:hideMark/>
          </w:tcPr>
          <w:p w14:paraId="023B9182" w14:textId="31FD1ABD"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2,410</w:t>
            </w:r>
          </w:p>
        </w:tc>
        <w:tc>
          <w:tcPr>
            <w:tcW w:w="0" w:type="auto"/>
            <w:tcBorders>
              <w:top w:val="nil"/>
              <w:left w:val="nil"/>
              <w:bottom w:val="nil"/>
              <w:right w:val="nil"/>
            </w:tcBorders>
            <w:shd w:val="clear" w:color="auto" w:fill="auto"/>
            <w:noWrap/>
            <w:vAlign w:val="bottom"/>
            <w:hideMark/>
          </w:tcPr>
          <w:p w14:paraId="4249C812" w14:textId="55F7A564"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127</w:t>
            </w:r>
          </w:p>
        </w:tc>
        <w:tc>
          <w:tcPr>
            <w:tcW w:w="0" w:type="auto"/>
            <w:tcBorders>
              <w:top w:val="nil"/>
              <w:left w:val="nil"/>
              <w:bottom w:val="nil"/>
              <w:right w:val="nil"/>
            </w:tcBorders>
            <w:shd w:val="clear" w:color="auto" w:fill="auto"/>
            <w:noWrap/>
            <w:vAlign w:val="bottom"/>
            <w:hideMark/>
          </w:tcPr>
          <w:p w14:paraId="238D3BF3" w14:textId="1890DA4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2,283</w:t>
            </w:r>
          </w:p>
        </w:tc>
        <w:tc>
          <w:tcPr>
            <w:tcW w:w="0" w:type="auto"/>
            <w:tcBorders>
              <w:top w:val="nil"/>
              <w:left w:val="nil"/>
              <w:bottom w:val="nil"/>
              <w:right w:val="single" w:sz="4" w:space="0" w:color="auto"/>
            </w:tcBorders>
            <w:shd w:val="clear" w:color="auto" w:fill="auto"/>
            <w:noWrap/>
            <w:vAlign w:val="bottom"/>
            <w:hideMark/>
          </w:tcPr>
          <w:p w14:paraId="7C41A8D9" w14:textId="4DB6186F"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7DF78949" w14:textId="08128D52"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3,577</w:t>
            </w:r>
          </w:p>
        </w:tc>
        <w:tc>
          <w:tcPr>
            <w:tcW w:w="0" w:type="auto"/>
            <w:tcBorders>
              <w:top w:val="nil"/>
              <w:left w:val="nil"/>
              <w:bottom w:val="nil"/>
              <w:right w:val="nil"/>
            </w:tcBorders>
            <w:shd w:val="clear" w:color="auto" w:fill="auto"/>
            <w:noWrap/>
            <w:vAlign w:val="bottom"/>
            <w:hideMark/>
          </w:tcPr>
          <w:p w14:paraId="1C5AAA7C" w14:textId="4AC426C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129</w:t>
            </w:r>
          </w:p>
        </w:tc>
        <w:tc>
          <w:tcPr>
            <w:tcW w:w="0" w:type="auto"/>
            <w:tcBorders>
              <w:top w:val="nil"/>
              <w:left w:val="nil"/>
              <w:bottom w:val="nil"/>
              <w:right w:val="nil"/>
            </w:tcBorders>
            <w:shd w:val="clear" w:color="auto" w:fill="auto"/>
            <w:noWrap/>
            <w:vAlign w:val="bottom"/>
            <w:hideMark/>
          </w:tcPr>
          <w:p w14:paraId="5D4B1F5A" w14:textId="620F9B25"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3,448</w:t>
            </w:r>
          </w:p>
        </w:tc>
        <w:tc>
          <w:tcPr>
            <w:tcW w:w="0" w:type="auto"/>
            <w:tcBorders>
              <w:top w:val="nil"/>
              <w:left w:val="nil"/>
              <w:bottom w:val="nil"/>
              <w:right w:val="nil"/>
            </w:tcBorders>
            <w:shd w:val="clear" w:color="auto" w:fill="auto"/>
            <w:noWrap/>
            <w:vAlign w:val="bottom"/>
          </w:tcPr>
          <w:p w14:paraId="25FEA467" w14:textId="769EE37E"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69D4EE4E" w14:textId="77777777" w:rsidTr="00E86334">
        <w:trPr>
          <w:trHeight w:val="20"/>
        </w:trPr>
        <w:tc>
          <w:tcPr>
            <w:tcW w:w="2187" w:type="dxa"/>
            <w:tcBorders>
              <w:top w:val="nil"/>
              <w:left w:val="nil"/>
              <w:bottom w:val="nil"/>
              <w:right w:val="nil"/>
            </w:tcBorders>
            <w:shd w:val="clear" w:color="auto" w:fill="auto"/>
            <w:noWrap/>
            <w:vAlign w:val="center"/>
            <w:hideMark/>
          </w:tcPr>
          <w:p w14:paraId="522E3896"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2</w:t>
            </w:r>
            <w:r w:rsidRPr="00CD704D">
              <w:rPr>
                <w:rFonts w:ascii="Times New Roman" w:eastAsia="Times New Roman" w:hAnsi="Times New Roman" w:cs="Times New Roman"/>
                <w:color w:val="000000"/>
                <w:sz w:val="24"/>
                <w:szCs w:val="24"/>
                <w:vertAlign w:val="superscript"/>
                <w:lang w:eastAsia="zh-CN"/>
              </w:rPr>
              <w:t>nd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bottom"/>
            <w:hideMark/>
          </w:tcPr>
          <w:p w14:paraId="523DB0AD" w14:textId="0BBFBCE7"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753</w:t>
            </w:r>
          </w:p>
        </w:tc>
        <w:tc>
          <w:tcPr>
            <w:tcW w:w="0" w:type="auto"/>
            <w:tcBorders>
              <w:top w:val="nil"/>
              <w:left w:val="nil"/>
              <w:bottom w:val="nil"/>
              <w:right w:val="nil"/>
            </w:tcBorders>
            <w:shd w:val="clear" w:color="auto" w:fill="auto"/>
            <w:noWrap/>
            <w:vAlign w:val="bottom"/>
            <w:hideMark/>
          </w:tcPr>
          <w:p w14:paraId="23AFC30D" w14:textId="55BE90F4"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133</w:t>
            </w:r>
          </w:p>
        </w:tc>
        <w:tc>
          <w:tcPr>
            <w:tcW w:w="0" w:type="auto"/>
            <w:tcBorders>
              <w:top w:val="nil"/>
              <w:left w:val="nil"/>
              <w:bottom w:val="nil"/>
              <w:right w:val="nil"/>
            </w:tcBorders>
            <w:shd w:val="clear" w:color="auto" w:fill="auto"/>
            <w:noWrap/>
            <w:vAlign w:val="bottom"/>
            <w:hideMark/>
          </w:tcPr>
          <w:p w14:paraId="28DA9A46" w14:textId="0ACBD2D6"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620</w:t>
            </w:r>
          </w:p>
        </w:tc>
        <w:tc>
          <w:tcPr>
            <w:tcW w:w="0" w:type="auto"/>
            <w:tcBorders>
              <w:top w:val="nil"/>
              <w:left w:val="nil"/>
              <w:bottom w:val="nil"/>
              <w:right w:val="single" w:sz="4" w:space="0" w:color="auto"/>
            </w:tcBorders>
            <w:shd w:val="clear" w:color="auto" w:fill="auto"/>
            <w:noWrap/>
            <w:vAlign w:val="bottom"/>
            <w:hideMark/>
          </w:tcPr>
          <w:p w14:paraId="655D2D05" w14:textId="5DD42F5E"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4294FE7F" w14:textId="48640853"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1,023</w:t>
            </w:r>
          </w:p>
        </w:tc>
        <w:tc>
          <w:tcPr>
            <w:tcW w:w="0" w:type="auto"/>
            <w:tcBorders>
              <w:top w:val="nil"/>
              <w:left w:val="nil"/>
              <w:bottom w:val="nil"/>
              <w:right w:val="nil"/>
            </w:tcBorders>
            <w:shd w:val="clear" w:color="auto" w:fill="auto"/>
            <w:noWrap/>
            <w:vAlign w:val="bottom"/>
            <w:hideMark/>
          </w:tcPr>
          <w:p w14:paraId="68F41444" w14:textId="40A034EA"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19</w:t>
            </w:r>
          </w:p>
        </w:tc>
        <w:tc>
          <w:tcPr>
            <w:tcW w:w="0" w:type="auto"/>
            <w:tcBorders>
              <w:top w:val="nil"/>
              <w:left w:val="nil"/>
              <w:bottom w:val="nil"/>
              <w:right w:val="nil"/>
            </w:tcBorders>
            <w:shd w:val="clear" w:color="auto" w:fill="auto"/>
            <w:noWrap/>
            <w:vAlign w:val="bottom"/>
            <w:hideMark/>
          </w:tcPr>
          <w:p w14:paraId="76BA7580" w14:textId="5D1AC9E6"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904</w:t>
            </w:r>
          </w:p>
        </w:tc>
        <w:tc>
          <w:tcPr>
            <w:tcW w:w="0" w:type="auto"/>
            <w:tcBorders>
              <w:top w:val="nil"/>
              <w:left w:val="nil"/>
              <w:bottom w:val="nil"/>
              <w:right w:val="nil"/>
            </w:tcBorders>
            <w:shd w:val="clear" w:color="auto" w:fill="auto"/>
            <w:noWrap/>
            <w:vAlign w:val="bottom"/>
          </w:tcPr>
          <w:p w14:paraId="6A3AB8EB" w14:textId="488A5561"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5A0BB846" w14:textId="77777777" w:rsidTr="00E86334">
        <w:trPr>
          <w:trHeight w:val="20"/>
        </w:trPr>
        <w:tc>
          <w:tcPr>
            <w:tcW w:w="2187" w:type="dxa"/>
            <w:tcBorders>
              <w:top w:val="nil"/>
              <w:left w:val="nil"/>
              <w:bottom w:val="nil"/>
              <w:right w:val="nil"/>
            </w:tcBorders>
            <w:shd w:val="clear" w:color="auto" w:fill="auto"/>
            <w:noWrap/>
            <w:vAlign w:val="center"/>
            <w:hideMark/>
          </w:tcPr>
          <w:p w14:paraId="28C7057F"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3</w:t>
            </w:r>
            <w:r w:rsidRPr="00CD704D">
              <w:rPr>
                <w:rFonts w:ascii="Times New Roman" w:eastAsia="Times New Roman" w:hAnsi="Times New Roman" w:cs="Times New Roman"/>
                <w:color w:val="000000"/>
                <w:sz w:val="24"/>
                <w:szCs w:val="24"/>
                <w:vertAlign w:val="superscript"/>
                <w:lang w:eastAsia="zh-CN"/>
              </w:rPr>
              <w:t>rd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bottom"/>
            <w:hideMark/>
          </w:tcPr>
          <w:p w14:paraId="762AA6D6" w14:textId="67C0750A"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36</w:t>
            </w:r>
          </w:p>
        </w:tc>
        <w:tc>
          <w:tcPr>
            <w:tcW w:w="0" w:type="auto"/>
            <w:tcBorders>
              <w:top w:val="nil"/>
              <w:left w:val="nil"/>
              <w:bottom w:val="nil"/>
              <w:right w:val="nil"/>
            </w:tcBorders>
            <w:shd w:val="clear" w:color="auto" w:fill="auto"/>
            <w:noWrap/>
            <w:vAlign w:val="bottom"/>
            <w:hideMark/>
          </w:tcPr>
          <w:p w14:paraId="5D4F4771" w14:textId="5D56DD78"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89</w:t>
            </w:r>
          </w:p>
        </w:tc>
        <w:tc>
          <w:tcPr>
            <w:tcW w:w="0" w:type="auto"/>
            <w:tcBorders>
              <w:top w:val="nil"/>
              <w:left w:val="nil"/>
              <w:bottom w:val="nil"/>
              <w:right w:val="nil"/>
            </w:tcBorders>
            <w:shd w:val="clear" w:color="auto" w:fill="auto"/>
            <w:noWrap/>
            <w:vAlign w:val="bottom"/>
            <w:hideMark/>
          </w:tcPr>
          <w:p w14:paraId="4574A2E0" w14:textId="687B2074"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4</w:t>
            </w:r>
            <w:r w:rsidR="00E86334">
              <w:rPr>
                <w:rFonts w:ascii="Times New Roman" w:eastAsia="Times New Roman" w:hAnsi="Times New Roman" w:cs="Times New Roman"/>
                <w:sz w:val="24"/>
                <w:szCs w:val="24"/>
                <w:lang w:eastAsia="zh-CN"/>
              </w:rPr>
              <w:t>8</w:t>
            </w:r>
          </w:p>
        </w:tc>
        <w:tc>
          <w:tcPr>
            <w:tcW w:w="0" w:type="auto"/>
            <w:tcBorders>
              <w:top w:val="nil"/>
              <w:left w:val="nil"/>
              <w:bottom w:val="nil"/>
              <w:right w:val="single" w:sz="4" w:space="0" w:color="auto"/>
            </w:tcBorders>
            <w:shd w:val="clear" w:color="auto" w:fill="auto"/>
            <w:noWrap/>
            <w:vAlign w:val="bottom"/>
            <w:hideMark/>
          </w:tcPr>
          <w:p w14:paraId="269949A3" w14:textId="302A0935"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61AAB905" w14:textId="5698F68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77</w:t>
            </w:r>
          </w:p>
        </w:tc>
        <w:tc>
          <w:tcPr>
            <w:tcW w:w="0" w:type="auto"/>
            <w:tcBorders>
              <w:top w:val="nil"/>
              <w:left w:val="nil"/>
              <w:bottom w:val="nil"/>
              <w:right w:val="nil"/>
            </w:tcBorders>
            <w:shd w:val="clear" w:color="auto" w:fill="auto"/>
            <w:noWrap/>
            <w:vAlign w:val="bottom"/>
            <w:hideMark/>
          </w:tcPr>
          <w:p w14:paraId="6D88E79B" w14:textId="45359013"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10</w:t>
            </w:r>
            <w:r w:rsidR="00E86334">
              <w:rPr>
                <w:rFonts w:ascii="Times New Roman" w:eastAsia="Times New Roman" w:hAnsi="Times New Roman" w:cs="Times New Roman"/>
                <w:sz w:val="24"/>
                <w:szCs w:val="24"/>
                <w:lang w:eastAsia="zh-CN"/>
              </w:rPr>
              <w:t>0</w:t>
            </w:r>
          </w:p>
        </w:tc>
        <w:tc>
          <w:tcPr>
            <w:tcW w:w="0" w:type="auto"/>
            <w:tcBorders>
              <w:top w:val="nil"/>
              <w:left w:val="nil"/>
              <w:bottom w:val="nil"/>
              <w:right w:val="nil"/>
            </w:tcBorders>
            <w:shd w:val="clear" w:color="auto" w:fill="auto"/>
            <w:noWrap/>
            <w:vAlign w:val="bottom"/>
            <w:hideMark/>
          </w:tcPr>
          <w:p w14:paraId="382A09A3" w14:textId="32E5013E"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77</w:t>
            </w:r>
          </w:p>
        </w:tc>
        <w:tc>
          <w:tcPr>
            <w:tcW w:w="0" w:type="auto"/>
            <w:tcBorders>
              <w:top w:val="nil"/>
              <w:left w:val="nil"/>
              <w:bottom w:val="nil"/>
              <w:right w:val="nil"/>
            </w:tcBorders>
            <w:shd w:val="clear" w:color="auto" w:fill="auto"/>
            <w:noWrap/>
            <w:vAlign w:val="bottom"/>
          </w:tcPr>
          <w:p w14:paraId="3FC09472" w14:textId="7DFA46C5"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0E9ECEFD" w14:textId="77777777" w:rsidTr="00E86334">
        <w:trPr>
          <w:trHeight w:val="20"/>
        </w:trPr>
        <w:tc>
          <w:tcPr>
            <w:tcW w:w="2187" w:type="dxa"/>
            <w:tcBorders>
              <w:top w:val="nil"/>
              <w:left w:val="nil"/>
              <w:bottom w:val="nil"/>
              <w:right w:val="nil"/>
            </w:tcBorders>
            <w:shd w:val="clear" w:color="auto" w:fill="auto"/>
            <w:noWrap/>
            <w:vAlign w:val="center"/>
            <w:hideMark/>
          </w:tcPr>
          <w:p w14:paraId="0EA92DA0"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No city districts</w:t>
            </w:r>
          </w:p>
        </w:tc>
        <w:tc>
          <w:tcPr>
            <w:tcW w:w="0" w:type="auto"/>
            <w:tcBorders>
              <w:top w:val="nil"/>
              <w:left w:val="nil"/>
              <w:bottom w:val="nil"/>
              <w:right w:val="nil"/>
            </w:tcBorders>
            <w:shd w:val="clear" w:color="auto" w:fill="auto"/>
            <w:noWrap/>
            <w:vAlign w:val="bottom"/>
            <w:hideMark/>
          </w:tcPr>
          <w:p w14:paraId="0B47FE96" w14:textId="166D8749"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7</w:t>
            </w:r>
            <w:r w:rsidR="00E86334">
              <w:rPr>
                <w:rFonts w:ascii="Times New Roman" w:eastAsia="Times New Roman" w:hAnsi="Times New Roman" w:cs="Times New Roman"/>
                <w:sz w:val="24"/>
                <w:szCs w:val="24"/>
                <w:lang w:eastAsia="zh-CN"/>
              </w:rPr>
              <w:t>1</w:t>
            </w:r>
          </w:p>
        </w:tc>
        <w:tc>
          <w:tcPr>
            <w:tcW w:w="0" w:type="auto"/>
            <w:tcBorders>
              <w:top w:val="nil"/>
              <w:left w:val="nil"/>
              <w:bottom w:val="nil"/>
              <w:right w:val="nil"/>
            </w:tcBorders>
            <w:shd w:val="clear" w:color="auto" w:fill="auto"/>
            <w:noWrap/>
            <w:vAlign w:val="bottom"/>
            <w:hideMark/>
          </w:tcPr>
          <w:p w14:paraId="63FE8174" w14:textId="02EBB43F"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5</w:t>
            </w:r>
            <w:r w:rsidR="00E86334">
              <w:rPr>
                <w:rFonts w:ascii="Times New Roman" w:eastAsia="Times New Roman" w:hAnsi="Times New Roman" w:cs="Times New Roman"/>
                <w:sz w:val="24"/>
                <w:szCs w:val="24"/>
                <w:lang w:eastAsia="zh-CN"/>
              </w:rPr>
              <w:t>6</w:t>
            </w:r>
          </w:p>
        </w:tc>
        <w:tc>
          <w:tcPr>
            <w:tcW w:w="0" w:type="auto"/>
            <w:tcBorders>
              <w:top w:val="nil"/>
              <w:left w:val="nil"/>
              <w:bottom w:val="nil"/>
              <w:right w:val="nil"/>
            </w:tcBorders>
            <w:shd w:val="clear" w:color="auto" w:fill="auto"/>
            <w:noWrap/>
            <w:vAlign w:val="bottom"/>
            <w:hideMark/>
          </w:tcPr>
          <w:p w14:paraId="35B92B7D" w14:textId="276E7542"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5</w:t>
            </w:r>
          </w:p>
        </w:tc>
        <w:tc>
          <w:tcPr>
            <w:tcW w:w="0" w:type="auto"/>
            <w:tcBorders>
              <w:top w:val="nil"/>
              <w:left w:val="nil"/>
              <w:bottom w:val="nil"/>
              <w:right w:val="single" w:sz="4" w:space="0" w:color="auto"/>
            </w:tcBorders>
            <w:shd w:val="clear" w:color="auto" w:fill="auto"/>
            <w:noWrap/>
            <w:vAlign w:val="bottom"/>
            <w:hideMark/>
          </w:tcPr>
          <w:p w14:paraId="1BC626EA" w14:textId="57B00AD9"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1BCFA3F2" w14:textId="53952A70"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84</w:t>
            </w:r>
          </w:p>
        </w:tc>
        <w:tc>
          <w:tcPr>
            <w:tcW w:w="0" w:type="auto"/>
            <w:tcBorders>
              <w:top w:val="nil"/>
              <w:left w:val="nil"/>
              <w:bottom w:val="nil"/>
              <w:right w:val="nil"/>
            </w:tcBorders>
            <w:shd w:val="clear" w:color="auto" w:fill="auto"/>
            <w:noWrap/>
            <w:vAlign w:val="bottom"/>
            <w:hideMark/>
          </w:tcPr>
          <w:p w14:paraId="07D13297" w14:textId="1C89E3C8"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6</w:t>
            </w:r>
            <w:r w:rsidR="00E86334">
              <w:rPr>
                <w:rFonts w:ascii="Times New Roman" w:eastAsia="Times New Roman" w:hAnsi="Times New Roman" w:cs="Times New Roman"/>
                <w:sz w:val="24"/>
                <w:szCs w:val="24"/>
                <w:lang w:eastAsia="zh-CN"/>
              </w:rPr>
              <w:t>2</w:t>
            </w:r>
          </w:p>
        </w:tc>
        <w:tc>
          <w:tcPr>
            <w:tcW w:w="0" w:type="auto"/>
            <w:tcBorders>
              <w:top w:val="nil"/>
              <w:left w:val="nil"/>
              <w:bottom w:val="nil"/>
              <w:right w:val="nil"/>
            </w:tcBorders>
            <w:shd w:val="clear" w:color="auto" w:fill="auto"/>
            <w:noWrap/>
            <w:vAlign w:val="bottom"/>
            <w:hideMark/>
          </w:tcPr>
          <w:p w14:paraId="7F8E7CC1" w14:textId="70F4220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sidR="00E86334">
              <w:rPr>
                <w:rFonts w:ascii="Times New Roman" w:eastAsia="Times New Roman" w:hAnsi="Times New Roman" w:cs="Times New Roman"/>
                <w:sz w:val="24"/>
                <w:szCs w:val="24"/>
                <w:lang w:eastAsia="zh-CN"/>
              </w:rPr>
              <w:t>2</w:t>
            </w:r>
          </w:p>
        </w:tc>
        <w:tc>
          <w:tcPr>
            <w:tcW w:w="0" w:type="auto"/>
            <w:tcBorders>
              <w:top w:val="nil"/>
              <w:left w:val="nil"/>
              <w:bottom w:val="nil"/>
              <w:right w:val="nil"/>
            </w:tcBorders>
            <w:shd w:val="clear" w:color="auto" w:fill="auto"/>
            <w:noWrap/>
            <w:vAlign w:val="bottom"/>
          </w:tcPr>
          <w:p w14:paraId="1854F745" w14:textId="057A0049"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4F22BD8B" w14:textId="77777777" w:rsidTr="00E86334">
        <w:trPr>
          <w:trHeight w:val="20"/>
        </w:trPr>
        <w:tc>
          <w:tcPr>
            <w:tcW w:w="2187" w:type="dxa"/>
            <w:tcBorders>
              <w:top w:val="nil"/>
              <w:left w:val="nil"/>
              <w:bottom w:val="single" w:sz="4" w:space="0" w:color="auto"/>
              <w:right w:val="nil"/>
            </w:tcBorders>
            <w:shd w:val="clear" w:color="auto" w:fill="auto"/>
            <w:noWrap/>
            <w:vAlign w:val="bottom"/>
            <w:hideMark/>
          </w:tcPr>
          <w:p w14:paraId="7D7766DF" w14:textId="132E8FD1" w:rsidR="002727B1" w:rsidRPr="00CD704D" w:rsidRDefault="00E86334" w:rsidP="00482D11">
            <w:pPr>
              <w:spacing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South</w:t>
            </w:r>
            <w:r w:rsidR="002727B1" w:rsidRPr="00CD704D">
              <w:rPr>
                <w:rFonts w:ascii="Times New Roman" w:eastAsia="Times New Roman" w:hAnsi="Times New Roman" w:cs="Times New Roman"/>
                <w:color w:val="000000"/>
                <w:sz w:val="24"/>
                <w:szCs w:val="24"/>
                <w:lang w:eastAsia="zh-CN"/>
              </w:rPr>
              <w:t xml:space="preserve"> total </w:t>
            </w:r>
          </w:p>
        </w:tc>
        <w:tc>
          <w:tcPr>
            <w:tcW w:w="0" w:type="auto"/>
            <w:tcBorders>
              <w:top w:val="nil"/>
              <w:left w:val="nil"/>
              <w:bottom w:val="single" w:sz="4" w:space="0" w:color="auto"/>
              <w:right w:val="nil"/>
            </w:tcBorders>
            <w:shd w:val="clear" w:color="auto" w:fill="auto"/>
            <w:noWrap/>
            <w:vAlign w:val="bottom"/>
            <w:hideMark/>
          </w:tcPr>
          <w:p w14:paraId="68B2643B" w14:textId="60C982F6"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35</w:t>
            </w:r>
          </w:p>
        </w:tc>
        <w:tc>
          <w:tcPr>
            <w:tcW w:w="0" w:type="auto"/>
            <w:tcBorders>
              <w:top w:val="nil"/>
              <w:left w:val="nil"/>
              <w:bottom w:val="single" w:sz="4" w:space="0" w:color="auto"/>
              <w:right w:val="nil"/>
            </w:tcBorders>
            <w:shd w:val="clear" w:color="auto" w:fill="auto"/>
            <w:noWrap/>
            <w:vAlign w:val="bottom"/>
            <w:hideMark/>
          </w:tcPr>
          <w:p w14:paraId="1EBC28F1" w14:textId="2DB20849"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68</w:t>
            </w:r>
          </w:p>
        </w:tc>
        <w:tc>
          <w:tcPr>
            <w:tcW w:w="0" w:type="auto"/>
            <w:tcBorders>
              <w:top w:val="nil"/>
              <w:left w:val="nil"/>
              <w:bottom w:val="single" w:sz="4" w:space="0" w:color="auto"/>
              <w:right w:val="nil"/>
            </w:tcBorders>
            <w:shd w:val="clear" w:color="auto" w:fill="auto"/>
            <w:noWrap/>
            <w:vAlign w:val="bottom"/>
            <w:hideMark/>
          </w:tcPr>
          <w:p w14:paraId="337B628B" w14:textId="21F4A818"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68</w:t>
            </w:r>
          </w:p>
        </w:tc>
        <w:tc>
          <w:tcPr>
            <w:tcW w:w="0" w:type="auto"/>
            <w:tcBorders>
              <w:top w:val="nil"/>
              <w:left w:val="nil"/>
              <w:bottom w:val="single" w:sz="4" w:space="0" w:color="auto"/>
              <w:right w:val="single" w:sz="4" w:space="0" w:color="auto"/>
            </w:tcBorders>
            <w:shd w:val="clear" w:color="auto" w:fill="auto"/>
            <w:noWrap/>
            <w:vAlign w:val="bottom"/>
            <w:hideMark/>
          </w:tcPr>
          <w:p w14:paraId="1F8042CB" w14:textId="41E176D0"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single" w:sz="4" w:space="0" w:color="auto"/>
              <w:right w:val="nil"/>
            </w:tcBorders>
            <w:shd w:val="clear" w:color="auto" w:fill="auto"/>
            <w:noWrap/>
            <w:vAlign w:val="bottom"/>
            <w:hideMark/>
          </w:tcPr>
          <w:p w14:paraId="168F267D" w14:textId="0197D817"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178</w:t>
            </w:r>
          </w:p>
        </w:tc>
        <w:tc>
          <w:tcPr>
            <w:tcW w:w="0" w:type="auto"/>
            <w:tcBorders>
              <w:top w:val="nil"/>
              <w:left w:val="nil"/>
              <w:bottom w:val="single" w:sz="4" w:space="0" w:color="auto"/>
              <w:right w:val="nil"/>
            </w:tcBorders>
            <w:shd w:val="clear" w:color="auto" w:fill="auto"/>
            <w:noWrap/>
            <w:vAlign w:val="bottom"/>
            <w:hideMark/>
          </w:tcPr>
          <w:p w14:paraId="0CC43A7E" w14:textId="3949AB9E"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75</w:t>
            </w:r>
          </w:p>
        </w:tc>
        <w:tc>
          <w:tcPr>
            <w:tcW w:w="0" w:type="auto"/>
            <w:tcBorders>
              <w:top w:val="nil"/>
              <w:left w:val="nil"/>
              <w:bottom w:val="single" w:sz="4" w:space="0" w:color="auto"/>
              <w:right w:val="nil"/>
            </w:tcBorders>
            <w:shd w:val="clear" w:color="auto" w:fill="auto"/>
            <w:noWrap/>
            <w:vAlign w:val="bottom"/>
            <w:hideMark/>
          </w:tcPr>
          <w:p w14:paraId="5F04A646" w14:textId="5A49AE4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0</w:t>
            </w:r>
            <w:r w:rsidRPr="00CD704D">
              <w:rPr>
                <w:rFonts w:ascii="Times New Roman" w:eastAsia="Times New Roman" w:hAnsi="Times New Roman" w:cs="Times New Roman"/>
                <w:sz w:val="24"/>
                <w:szCs w:val="24"/>
                <w:lang w:eastAsia="zh-CN"/>
              </w:rPr>
              <w:t>2</w:t>
            </w:r>
          </w:p>
        </w:tc>
        <w:tc>
          <w:tcPr>
            <w:tcW w:w="0" w:type="auto"/>
            <w:tcBorders>
              <w:top w:val="nil"/>
              <w:left w:val="nil"/>
              <w:bottom w:val="single" w:sz="4" w:space="0" w:color="auto"/>
              <w:right w:val="nil"/>
            </w:tcBorders>
            <w:shd w:val="clear" w:color="auto" w:fill="auto"/>
            <w:noWrap/>
            <w:vAlign w:val="bottom"/>
          </w:tcPr>
          <w:p w14:paraId="506BB59A" w14:textId="3469A8CB"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bl>
    <w:p w14:paraId="02CE6D38" w14:textId="77777777" w:rsidR="002727B1" w:rsidRPr="00A17AB9" w:rsidRDefault="002727B1" w:rsidP="00EF7FD9">
      <w:pPr>
        <w:jc w:val="both"/>
        <w:rPr>
          <w:rFonts w:ascii="Times New Roman" w:hAnsi="Times New Roman" w:cs="Times New Roman"/>
        </w:rPr>
      </w:pPr>
      <w:r w:rsidRPr="00A17AB9">
        <w:rPr>
          <w:rFonts w:ascii="Times New Roman" w:hAnsi="Times New Roman" w:cs="Times New Roman"/>
        </w:rPr>
        <w:t>Source: Authors’ calculation using Population and Housing Census 2000 and 2010.</w:t>
      </w:r>
    </w:p>
    <w:p w14:paraId="4440AA27" w14:textId="77777777" w:rsidR="00E44D07" w:rsidRPr="00CD704D" w:rsidRDefault="00E44D07" w:rsidP="00EF7FD9">
      <w:pPr>
        <w:jc w:val="both"/>
        <w:rPr>
          <w:rFonts w:ascii="Times New Roman" w:hAnsi="Times New Roman" w:cs="Times New Roman"/>
          <w:sz w:val="24"/>
          <w:szCs w:val="24"/>
        </w:rPr>
      </w:pPr>
      <w:r w:rsidRPr="00CD704D">
        <w:rPr>
          <w:rFonts w:ascii="Times New Roman" w:hAnsi="Times New Roman" w:cs="Times New Roman"/>
          <w:sz w:val="24"/>
          <w:szCs w:val="24"/>
        </w:rPr>
        <w:br w:type="page"/>
      </w:r>
    </w:p>
    <w:p w14:paraId="7FCC6578" w14:textId="791531FA" w:rsidR="002727B1" w:rsidRPr="00FC1B5D" w:rsidRDefault="002727B1" w:rsidP="00EF7FD9">
      <w:pPr>
        <w:jc w:val="both"/>
        <w:rPr>
          <w:rFonts w:ascii="Times New Roman" w:hAnsi="Times New Roman" w:cs="Times New Roman"/>
          <w:sz w:val="24"/>
          <w:szCs w:val="24"/>
        </w:rPr>
      </w:pPr>
      <w:r w:rsidRPr="00FC1B5D">
        <w:rPr>
          <w:rFonts w:ascii="Times New Roman" w:hAnsi="Times New Roman" w:cs="Times New Roman"/>
          <w:sz w:val="24"/>
          <w:szCs w:val="24"/>
        </w:rPr>
        <w:lastRenderedPageBreak/>
        <w:t xml:space="preserve">Figure </w:t>
      </w:r>
      <w:r w:rsidR="00D52F18">
        <w:rPr>
          <w:rFonts w:ascii="Times New Roman" w:hAnsi="Times New Roman" w:cs="Times New Roman"/>
          <w:sz w:val="24"/>
          <w:szCs w:val="24"/>
        </w:rPr>
        <w:t>9</w:t>
      </w:r>
      <w:r w:rsidR="006354CF" w:rsidRPr="00FC1B5D">
        <w:rPr>
          <w:rFonts w:ascii="Times New Roman" w:hAnsi="Times New Roman" w:cs="Times New Roman"/>
          <w:sz w:val="24"/>
          <w:szCs w:val="24"/>
        </w:rPr>
        <w:t>.3</w:t>
      </w:r>
      <w:r w:rsidRPr="00FC1B5D">
        <w:rPr>
          <w:rFonts w:ascii="Times New Roman" w:hAnsi="Times New Roman" w:cs="Times New Roman"/>
          <w:sz w:val="24"/>
          <w:szCs w:val="24"/>
        </w:rPr>
        <w:t xml:space="preserve">: Ghana map showing the </w:t>
      </w:r>
      <w:r w:rsidR="00DD3D68" w:rsidRPr="00FC1B5D">
        <w:rPr>
          <w:rFonts w:ascii="Times New Roman" w:hAnsi="Times New Roman" w:cs="Times New Roman"/>
          <w:sz w:val="24"/>
          <w:szCs w:val="24"/>
        </w:rPr>
        <w:t>different types of districts</w:t>
      </w:r>
    </w:p>
    <w:p w14:paraId="28955607" w14:textId="7868274A" w:rsidR="002727B1" w:rsidRDefault="00BD5863" w:rsidP="00BD5863">
      <w:pPr>
        <w:jc w:val="both"/>
        <w:rPr>
          <w:rFonts w:ascii="Times New Roman" w:hAnsi="Times New Roman" w:cs="Times New Roman"/>
        </w:rPr>
      </w:pPr>
      <w:r>
        <w:rPr>
          <w:noProof/>
        </w:rPr>
        <w:drawing>
          <wp:inline distT="0" distB="0" distL="0" distR="0" wp14:anchorId="4019800F" wp14:editId="798C0544">
            <wp:extent cx="5270500" cy="6820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na_district_groups_v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6820680"/>
                    </a:xfrm>
                    <a:prstGeom prst="rect">
                      <a:avLst/>
                    </a:prstGeom>
                  </pic:spPr>
                </pic:pic>
              </a:graphicData>
            </a:graphic>
          </wp:inline>
        </w:drawing>
      </w:r>
      <w:r w:rsidR="002727B1" w:rsidRPr="00BD5863">
        <w:rPr>
          <w:rFonts w:ascii="Times New Roman" w:hAnsi="Times New Roman" w:cs="Times New Roman"/>
          <w:sz w:val="20"/>
          <w:szCs w:val="20"/>
        </w:rPr>
        <w:t xml:space="preserve">Source: The map was created by </w:t>
      </w:r>
      <w:proofErr w:type="spellStart"/>
      <w:r w:rsidR="002727B1" w:rsidRPr="00BD5863">
        <w:rPr>
          <w:rFonts w:ascii="Times New Roman" w:hAnsi="Times New Roman" w:cs="Times New Roman"/>
          <w:sz w:val="20"/>
          <w:szCs w:val="20"/>
        </w:rPr>
        <w:t>Mekamu</w:t>
      </w:r>
      <w:proofErr w:type="spellEnd"/>
      <w:r w:rsidR="002727B1" w:rsidRPr="00BD5863">
        <w:rPr>
          <w:rFonts w:ascii="Times New Roman" w:hAnsi="Times New Roman" w:cs="Times New Roman"/>
          <w:sz w:val="20"/>
          <w:szCs w:val="20"/>
        </w:rPr>
        <w:t xml:space="preserve"> </w:t>
      </w:r>
      <w:proofErr w:type="spellStart"/>
      <w:r w:rsidR="002727B1" w:rsidRPr="00BD5863">
        <w:rPr>
          <w:rFonts w:ascii="Times New Roman" w:hAnsi="Times New Roman" w:cs="Times New Roman"/>
          <w:sz w:val="20"/>
          <w:szCs w:val="20"/>
        </w:rPr>
        <w:t>Kedir</w:t>
      </w:r>
      <w:proofErr w:type="spellEnd"/>
      <w:r w:rsidR="002727B1" w:rsidRPr="00BD5863">
        <w:rPr>
          <w:rFonts w:ascii="Times New Roman" w:hAnsi="Times New Roman" w:cs="Times New Roman"/>
          <w:sz w:val="20"/>
          <w:szCs w:val="20"/>
        </w:rPr>
        <w:t xml:space="preserve"> </w:t>
      </w:r>
      <w:proofErr w:type="spellStart"/>
      <w:r w:rsidR="002727B1" w:rsidRPr="00BD5863">
        <w:rPr>
          <w:rFonts w:ascii="Times New Roman" w:hAnsi="Times New Roman" w:cs="Times New Roman"/>
          <w:sz w:val="20"/>
          <w:szCs w:val="20"/>
        </w:rPr>
        <w:t>Jemal</w:t>
      </w:r>
      <w:proofErr w:type="spellEnd"/>
      <w:r w:rsidR="002727B1" w:rsidRPr="00BD5863">
        <w:rPr>
          <w:rFonts w:ascii="Times New Roman" w:hAnsi="Times New Roman" w:cs="Times New Roman"/>
          <w:sz w:val="20"/>
          <w:szCs w:val="20"/>
        </w:rPr>
        <w:t xml:space="preserve"> (IFPRI) who comb</w:t>
      </w:r>
      <w:r w:rsidR="003D6039" w:rsidRPr="00BD5863">
        <w:rPr>
          <w:rFonts w:ascii="Times New Roman" w:hAnsi="Times New Roman" w:cs="Times New Roman"/>
          <w:sz w:val="20"/>
          <w:szCs w:val="20"/>
        </w:rPr>
        <w:t>in</w:t>
      </w:r>
      <w:r w:rsidR="002727B1" w:rsidRPr="00BD5863">
        <w:rPr>
          <w:rFonts w:ascii="Times New Roman" w:hAnsi="Times New Roman" w:cs="Times New Roman"/>
          <w:sz w:val="20"/>
          <w:szCs w:val="20"/>
        </w:rPr>
        <w:t xml:space="preserve">es 2010 Census data with other spatial data including cities and road networks. Spatial data of cities, towns and road network are from University of Ghana- Remote Sensing &amp; Geographic Info Systems website (Accessed on March 25, 2016 and retrieved from </w:t>
      </w:r>
      <w:hyperlink r:id="rId12" w:history="1">
        <w:r w:rsidR="002727B1" w:rsidRPr="00BD5863">
          <w:rPr>
            <w:rStyle w:val="Hyperlink"/>
            <w:rFonts w:ascii="Times New Roman" w:hAnsi="Times New Roman" w:cs="Times New Roman"/>
            <w:sz w:val="20"/>
            <w:szCs w:val="20"/>
          </w:rPr>
          <w:t>http://www.ug.edu.gh/rsgislab/rs-gis-geonode-app.html</w:t>
        </w:r>
      </w:hyperlink>
      <w:r w:rsidR="002727B1" w:rsidRPr="00BD5863">
        <w:rPr>
          <w:rFonts w:ascii="Times New Roman" w:hAnsi="Times New Roman" w:cs="Times New Roman"/>
          <w:sz w:val="20"/>
          <w:szCs w:val="20"/>
        </w:rPr>
        <w:t>)</w:t>
      </w:r>
    </w:p>
    <w:p w14:paraId="07CCD9E8" w14:textId="77777777" w:rsidR="00A17AB9" w:rsidRDefault="00A17AB9" w:rsidP="00EF7FD9">
      <w:pPr>
        <w:spacing w:after="240"/>
        <w:jc w:val="both"/>
        <w:rPr>
          <w:rFonts w:ascii="Times New Roman" w:hAnsi="Times New Roman" w:cs="Times New Roman"/>
        </w:rPr>
      </w:pPr>
    </w:p>
    <w:p w14:paraId="481F235E" w14:textId="271E7C95" w:rsidR="002D4974" w:rsidRPr="007415D2" w:rsidRDefault="002D4974" w:rsidP="000C2FA0">
      <w:pPr>
        <w:pStyle w:val="ListParagraph"/>
        <w:numPr>
          <w:ilvl w:val="1"/>
          <w:numId w:val="9"/>
        </w:numPr>
        <w:jc w:val="both"/>
        <w:rPr>
          <w:rFonts w:ascii="Times New Roman" w:hAnsi="Times New Roman" w:cs="Times New Roman"/>
          <w:sz w:val="24"/>
          <w:szCs w:val="24"/>
        </w:rPr>
      </w:pPr>
      <w:r w:rsidRPr="007415D2">
        <w:rPr>
          <w:rFonts w:ascii="Times New Roman" w:hAnsi="Times New Roman" w:cs="Times New Roman"/>
          <w:sz w:val="24"/>
          <w:szCs w:val="24"/>
        </w:rPr>
        <w:t xml:space="preserve">CHANGING PATTERNS OF </w:t>
      </w:r>
      <w:r w:rsidR="00BC29F8" w:rsidRPr="007415D2">
        <w:rPr>
          <w:rFonts w:ascii="Times New Roman" w:hAnsi="Times New Roman" w:cs="Times New Roman"/>
          <w:sz w:val="24"/>
          <w:szCs w:val="24"/>
        </w:rPr>
        <w:t xml:space="preserve">EMPLOYMENT AND </w:t>
      </w:r>
      <w:r w:rsidRPr="007415D2">
        <w:rPr>
          <w:rFonts w:ascii="Times New Roman" w:hAnsi="Times New Roman" w:cs="Times New Roman"/>
          <w:sz w:val="24"/>
          <w:szCs w:val="24"/>
        </w:rPr>
        <w:t>RURAL ECONOMIC ACTIVIT</w:t>
      </w:r>
      <w:r w:rsidR="00A17AB9" w:rsidRPr="007415D2">
        <w:rPr>
          <w:rFonts w:ascii="Times New Roman" w:hAnsi="Times New Roman" w:cs="Times New Roman"/>
          <w:sz w:val="24"/>
          <w:szCs w:val="24"/>
        </w:rPr>
        <w:t>Y</w:t>
      </w:r>
      <w:r w:rsidRPr="007415D2">
        <w:rPr>
          <w:rFonts w:ascii="Times New Roman" w:hAnsi="Times New Roman" w:cs="Times New Roman"/>
          <w:sz w:val="24"/>
          <w:szCs w:val="24"/>
        </w:rPr>
        <w:t xml:space="preserve"> </w:t>
      </w:r>
    </w:p>
    <w:p w14:paraId="5168B50B" w14:textId="3D2B2F7E" w:rsidR="00C05252" w:rsidRPr="00CD704D" w:rsidRDefault="00E44D07" w:rsidP="00A54870">
      <w:pPr>
        <w:spacing w:line="360" w:lineRule="auto"/>
        <w:jc w:val="both"/>
        <w:rPr>
          <w:rFonts w:ascii="Times New Roman" w:hAnsi="Times New Roman" w:cs="Times New Roman"/>
          <w:sz w:val="24"/>
          <w:szCs w:val="24"/>
        </w:rPr>
      </w:pPr>
      <w:r w:rsidRPr="00CD704D">
        <w:rPr>
          <w:rFonts w:ascii="Times New Roman" w:hAnsi="Times New Roman" w:cs="Times New Roman"/>
          <w:sz w:val="24"/>
          <w:szCs w:val="24"/>
        </w:rPr>
        <w:lastRenderedPageBreak/>
        <w:t xml:space="preserve">We now </w:t>
      </w:r>
      <w:r w:rsidR="00F60577">
        <w:rPr>
          <w:rFonts w:ascii="Times New Roman" w:hAnsi="Times New Roman" w:cs="Times New Roman"/>
          <w:sz w:val="24"/>
          <w:szCs w:val="24"/>
        </w:rPr>
        <w:t>examine</w:t>
      </w:r>
      <w:r w:rsidRPr="00CD704D">
        <w:rPr>
          <w:rFonts w:ascii="Times New Roman" w:hAnsi="Times New Roman" w:cs="Times New Roman"/>
          <w:sz w:val="24"/>
          <w:szCs w:val="24"/>
        </w:rPr>
        <w:t xml:space="preserve"> changes in the </w:t>
      </w:r>
      <w:r w:rsidR="000E21A2">
        <w:rPr>
          <w:rFonts w:ascii="Times New Roman" w:hAnsi="Times New Roman" w:cs="Times New Roman"/>
          <w:sz w:val="24"/>
          <w:szCs w:val="24"/>
        </w:rPr>
        <w:t xml:space="preserve">structure of </w:t>
      </w:r>
      <w:r w:rsidRPr="00CD704D">
        <w:rPr>
          <w:rFonts w:ascii="Times New Roman" w:hAnsi="Times New Roman" w:cs="Times New Roman"/>
          <w:sz w:val="24"/>
          <w:szCs w:val="24"/>
        </w:rPr>
        <w:t>rural employment across th</w:t>
      </w:r>
      <w:r w:rsidR="00D05B6B" w:rsidRPr="00CD704D">
        <w:rPr>
          <w:rFonts w:ascii="Times New Roman" w:hAnsi="Times New Roman" w:cs="Times New Roman"/>
          <w:sz w:val="24"/>
          <w:szCs w:val="24"/>
        </w:rPr>
        <w:t>e seven district groups.</w:t>
      </w:r>
      <w:r w:rsidR="003D6039" w:rsidRPr="00CD704D">
        <w:rPr>
          <w:rFonts w:ascii="Times New Roman" w:hAnsi="Times New Roman" w:cs="Times New Roman"/>
          <w:sz w:val="24"/>
          <w:szCs w:val="24"/>
        </w:rPr>
        <w:t xml:space="preserve"> Unlike other s</w:t>
      </w:r>
      <w:r w:rsidR="002A603E">
        <w:rPr>
          <w:rFonts w:ascii="Times New Roman" w:hAnsi="Times New Roman" w:cs="Times New Roman"/>
          <w:sz w:val="24"/>
          <w:szCs w:val="24"/>
        </w:rPr>
        <w:t>tudies</w:t>
      </w:r>
      <w:r w:rsidR="003D6039" w:rsidRPr="00CD704D">
        <w:rPr>
          <w:rFonts w:ascii="Times New Roman" w:hAnsi="Times New Roman" w:cs="Times New Roman"/>
          <w:sz w:val="24"/>
          <w:szCs w:val="24"/>
        </w:rPr>
        <w:t xml:space="preserve">, we </w:t>
      </w:r>
      <w:r w:rsidR="00354575" w:rsidRPr="00CD704D">
        <w:rPr>
          <w:rFonts w:ascii="Times New Roman" w:hAnsi="Times New Roman" w:cs="Times New Roman"/>
          <w:sz w:val="24"/>
          <w:szCs w:val="24"/>
        </w:rPr>
        <w:t xml:space="preserve">focus </w:t>
      </w:r>
      <w:r w:rsidR="00705894">
        <w:rPr>
          <w:rFonts w:ascii="Times New Roman" w:hAnsi="Times New Roman" w:cs="Times New Roman"/>
          <w:sz w:val="24"/>
          <w:szCs w:val="24"/>
        </w:rPr>
        <w:t xml:space="preserve">on </w:t>
      </w:r>
      <w:r w:rsidR="003D6039" w:rsidRPr="00CD704D">
        <w:rPr>
          <w:rFonts w:ascii="Times New Roman" w:hAnsi="Times New Roman" w:cs="Times New Roman"/>
          <w:sz w:val="24"/>
          <w:szCs w:val="24"/>
        </w:rPr>
        <w:t xml:space="preserve">employment </w:t>
      </w:r>
      <w:r w:rsidR="008612CE">
        <w:rPr>
          <w:rFonts w:ascii="Times New Roman" w:hAnsi="Times New Roman" w:cs="Times New Roman"/>
          <w:sz w:val="24"/>
          <w:szCs w:val="24"/>
        </w:rPr>
        <w:t>at the</w:t>
      </w:r>
      <w:r w:rsidR="003D6039" w:rsidRPr="00CD704D">
        <w:rPr>
          <w:rFonts w:ascii="Times New Roman" w:hAnsi="Times New Roman" w:cs="Times New Roman"/>
          <w:sz w:val="24"/>
          <w:szCs w:val="24"/>
        </w:rPr>
        <w:t xml:space="preserve"> household rather than individual</w:t>
      </w:r>
      <w:r w:rsidR="008612CE">
        <w:rPr>
          <w:rFonts w:ascii="Times New Roman" w:hAnsi="Times New Roman" w:cs="Times New Roman"/>
          <w:sz w:val="24"/>
          <w:szCs w:val="24"/>
        </w:rPr>
        <w:t xml:space="preserve"> level in order</w:t>
      </w:r>
      <w:r w:rsidR="00705894">
        <w:rPr>
          <w:rFonts w:ascii="Times New Roman" w:hAnsi="Times New Roman" w:cs="Times New Roman"/>
          <w:sz w:val="24"/>
          <w:szCs w:val="24"/>
        </w:rPr>
        <w:t xml:space="preserve"> to</w:t>
      </w:r>
      <w:r w:rsidR="003D6039" w:rsidRPr="00CD704D">
        <w:rPr>
          <w:rFonts w:ascii="Times New Roman" w:hAnsi="Times New Roman" w:cs="Times New Roman"/>
          <w:sz w:val="24"/>
          <w:szCs w:val="24"/>
        </w:rPr>
        <w:t xml:space="preserve"> </w:t>
      </w:r>
      <w:r w:rsidR="000E21A2">
        <w:rPr>
          <w:rFonts w:ascii="Times New Roman" w:hAnsi="Times New Roman" w:cs="Times New Roman"/>
          <w:sz w:val="24"/>
          <w:szCs w:val="24"/>
        </w:rPr>
        <w:t>di</w:t>
      </w:r>
      <w:r w:rsidR="002A603E">
        <w:rPr>
          <w:rFonts w:ascii="Times New Roman" w:hAnsi="Times New Roman" w:cs="Times New Roman"/>
          <w:sz w:val="24"/>
          <w:szCs w:val="24"/>
        </w:rPr>
        <w:t>stinguish</w:t>
      </w:r>
      <w:r w:rsidR="000E21A2">
        <w:rPr>
          <w:rFonts w:ascii="Times New Roman" w:hAnsi="Times New Roman" w:cs="Times New Roman"/>
          <w:sz w:val="24"/>
          <w:szCs w:val="24"/>
        </w:rPr>
        <w:t xml:space="preserve"> between </w:t>
      </w:r>
      <w:r w:rsidR="003D6039" w:rsidRPr="00CD704D">
        <w:rPr>
          <w:rFonts w:ascii="Times New Roman" w:hAnsi="Times New Roman" w:cs="Times New Roman"/>
          <w:sz w:val="24"/>
          <w:szCs w:val="24"/>
        </w:rPr>
        <w:t xml:space="preserve">changing employment patterns </w:t>
      </w:r>
      <w:r w:rsidR="000E21A2">
        <w:rPr>
          <w:rFonts w:ascii="Times New Roman" w:hAnsi="Times New Roman" w:cs="Times New Roman"/>
          <w:sz w:val="24"/>
          <w:szCs w:val="24"/>
        </w:rPr>
        <w:t>that</w:t>
      </w:r>
      <w:r w:rsidR="002A603E">
        <w:rPr>
          <w:rFonts w:ascii="Times New Roman" w:hAnsi="Times New Roman" w:cs="Times New Roman"/>
          <w:sz w:val="24"/>
          <w:szCs w:val="24"/>
        </w:rPr>
        <w:t xml:space="preserve"> </w:t>
      </w:r>
      <w:r w:rsidR="003D6039" w:rsidRPr="00CD704D">
        <w:rPr>
          <w:rFonts w:ascii="Times New Roman" w:hAnsi="Times New Roman" w:cs="Times New Roman"/>
          <w:sz w:val="24"/>
          <w:szCs w:val="24"/>
        </w:rPr>
        <w:t xml:space="preserve">involve entire households shifting </w:t>
      </w:r>
      <w:r w:rsidR="00705894">
        <w:rPr>
          <w:rFonts w:ascii="Times New Roman" w:hAnsi="Times New Roman" w:cs="Times New Roman"/>
          <w:sz w:val="24"/>
          <w:szCs w:val="24"/>
        </w:rPr>
        <w:t xml:space="preserve">sectors, </w:t>
      </w:r>
      <w:r w:rsidR="002A603E">
        <w:rPr>
          <w:rFonts w:ascii="Times New Roman" w:hAnsi="Times New Roman" w:cs="Times New Roman"/>
          <w:sz w:val="24"/>
          <w:szCs w:val="24"/>
        </w:rPr>
        <w:t xml:space="preserve">and </w:t>
      </w:r>
      <w:r w:rsidR="000E21A2">
        <w:rPr>
          <w:rFonts w:ascii="Times New Roman" w:hAnsi="Times New Roman" w:cs="Times New Roman"/>
          <w:sz w:val="24"/>
          <w:szCs w:val="24"/>
        </w:rPr>
        <w:t xml:space="preserve">farm </w:t>
      </w:r>
      <w:r w:rsidR="0097701B" w:rsidRPr="00CD704D">
        <w:rPr>
          <w:rFonts w:ascii="Times New Roman" w:hAnsi="Times New Roman" w:cs="Times New Roman"/>
          <w:sz w:val="24"/>
          <w:szCs w:val="24"/>
        </w:rPr>
        <w:t>household diversification</w:t>
      </w:r>
      <w:r w:rsidR="000E21A2">
        <w:rPr>
          <w:rFonts w:ascii="Times New Roman" w:hAnsi="Times New Roman" w:cs="Times New Roman"/>
          <w:sz w:val="24"/>
          <w:szCs w:val="24"/>
        </w:rPr>
        <w:t xml:space="preserve"> </w:t>
      </w:r>
      <w:r w:rsidR="000D7306">
        <w:rPr>
          <w:rFonts w:ascii="Times New Roman" w:hAnsi="Times New Roman" w:cs="Times New Roman"/>
          <w:sz w:val="24"/>
          <w:szCs w:val="24"/>
        </w:rPr>
        <w:t xml:space="preserve">that </w:t>
      </w:r>
      <w:r w:rsidR="00705894">
        <w:rPr>
          <w:rFonts w:ascii="Times New Roman" w:hAnsi="Times New Roman" w:cs="Times New Roman"/>
          <w:sz w:val="24"/>
          <w:szCs w:val="24"/>
        </w:rPr>
        <w:t>involv</w:t>
      </w:r>
      <w:r w:rsidR="000D7306">
        <w:rPr>
          <w:rFonts w:ascii="Times New Roman" w:hAnsi="Times New Roman" w:cs="Times New Roman"/>
          <w:sz w:val="24"/>
          <w:szCs w:val="24"/>
        </w:rPr>
        <w:t>es</w:t>
      </w:r>
      <w:r w:rsidR="00705894">
        <w:rPr>
          <w:rFonts w:ascii="Times New Roman" w:hAnsi="Times New Roman" w:cs="Times New Roman"/>
          <w:sz w:val="24"/>
          <w:szCs w:val="24"/>
        </w:rPr>
        <w:t xml:space="preserve"> employment in multiple sectors</w:t>
      </w:r>
      <w:r w:rsidR="006F2C34">
        <w:rPr>
          <w:rFonts w:ascii="Times New Roman" w:hAnsi="Times New Roman" w:cs="Times New Roman"/>
          <w:sz w:val="24"/>
          <w:szCs w:val="24"/>
        </w:rPr>
        <w:t xml:space="preserve"> including agriculture</w:t>
      </w:r>
      <w:r w:rsidR="002A603E">
        <w:rPr>
          <w:rFonts w:ascii="Times New Roman" w:hAnsi="Times New Roman" w:cs="Times New Roman"/>
          <w:sz w:val="24"/>
          <w:szCs w:val="24"/>
        </w:rPr>
        <w:t>. W</w:t>
      </w:r>
      <w:r w:rsidR="003D6039" w:rsidRPr="00CD704D">
        <w:rPr>
          <w:rFonts w:ascii="Times New Roman" w:hAnsi="Times New Roman" w:cs="Times New Roman"/>
          <w:sz w:val="24"/>
          <w:szCs w:val="24"/>
        </w:rPr>
        <w:t xml:space="preserve">e </w:t>
      </w:r>
      <w:r w:rsidR="0097701B" w:rsidRPr="00CD704D">
        <w:rPr>
          <w:rFonts w:ascii="Times New Roman" w:hAnsi="Times New Roman" w:cs="Times New Roman"/>
          <w:sz w:val="24"/>
          <w:szCs w:val="24"/>
        </w:rPr>
        <w:t>classify</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rural </w:t>
      </w:r>
      <w:r w:rsidR="003D6039" w:rsidRPr="00CD704D">
        <w:rPr>
          <w:rFonts w:ascii="Times New Roman" w:hAnsi="Times New Roman" w:cs="Times New Roman"/>
          <w:sz w:val="24"/>
          <w:szCs w:val="24"/>
        </w:rPr>
        <w:t xml:space="preserve">households into </w:t>
      </w:r>
      <w:r w:rsidR="000E21A2">
        <w:rPr>
          <w:rFonts w:ascii="Times New Roman" w:hAnsi="Times New Roman" w:cs="Times New Roman"/>
          <w:sz w:val="24"/>
          <w:szCs w:val="24"/>
        </w:rPr>
        <w:t>three</w:t>
      </w:r>
      <w:r w:rsidR="003D6039" w:rsidRPr="00CD704D">
        <w:rPr>
          <w:rFonts w:ascii="Times New Roman" w:hAnsi="Times New Roman" w:cs="Times New Roman"/>
          <w:sz w:val="24"/>
          <w:szCs w:val="24"/>
        </w:rPr>
        <w:t xml:space="preserve"> types based on members’ reported primary </w:t>
      </w:r>
      <w:r w:rsidR="002A603E">
        <w:rPr>
          <w:rFonts w:ascii="Times New Roman" w:hAnsi="Times New Roman" w:cs="Times New Roman"/>
          <w:sz w:val="24"/>
          <w:szCs w:val="24"/>
        </w:rPr>
        <w:t xml:space="preserve">occupations </w:t>
      </w:r>
      <w:r w:rsidR="000E21A2">
        <w:rPr>
          <w:rFonts w:ascii="Times New Roman" w:hAnsi="Times New Roman" w:cs="Times New Roman"/>
          <w:sz w:val="24"/>
          <w:szCs w:val="24"/>
        </w:rPr>
        <w:t>in the census data:</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(1) </w:t>
      </w:r>
      <w:r w:rsidR="000E21A2">
        <w:rPr>
          <w:rFonts w:ascii="Times New Roman" w:hAnsi="Times New Roman" w:cs="Times New Roman"/>
          <w:sz w:val="24"/>
          <w:szCs w:val="24"/>
        </w:rPr>
        <w:t>a</w:t>
      </w:r>
      <w:r w:rsidR="003D6039" w:rsidRPr="00CD704D">
        <w:rPr>
          <w:rFonts w:ascii="Times New Roman" w:hAnsi="Times New Roman" w:cs="Times New Roman"/>
          <w:sz w:val="24"/>
          <w:szCs w:val="24"/>
        </w:rPr>
        <w:t>gricultural households</w:t>
      </w:r>
      <w:r w:rsidR="000E21A2">
        <w:rPr>
          <w:rFonts w:ascii="Times New Roman" w:hAnsi="Times New Roman" w:cs="Times New Roman"/>
          <w:sz w:val="24"/>
          <w:szCs w:val="24"/>
        </w:rPr>
        <w:t xml:space="preserve"> that</w:t>
      </w:r>
      <w:r w:rsidR="003D6039" w:rsidRPr="00CD704D">
        <w:rPr>
          <w:rFonts w:ascii="Times New Roman" w:hAnsi="Times New Roman" w:cs="Times New Roman"/>
          <w:sz w:val="24"/>
          <w:szCs w:val="24"/>
        </w:rPr>
        <w:t xml:space="preserve"> have member</w:t>
      </w:r>
      <w:r w:rsidR="00934F14">
        <w:rPr>
          <w:rFonts w:ascii="Times New Roman" w:hAnsi="Times New Roman" w:cs="Times New Roman"/>
          <w:sz w:val="24"/>
          <w:szCs w:val="24"/>
        </w:rPr>
        <w:t>s</w:t>
      </w:r>
      <w:r w:rsidR="003D6039" w:rsidRPr="00CD704D">
        <w:rPr>
          <w:rFonts w:ascii="Times New Roman" w:hAnsi="Times New Roman" w:cs="Times New Roman"/>
          <w:sz w:val="24"/>
          <w:szCs w:val="24"/>
        </w:rPr>
        <w:t xml:space="preserve"> </w:t>
      </w:r>
      <w:r w:rsidR="000E21A2">
        <w:rPr>
          <w:rFonts w:ascii="Times New Roman" w:hAnsi="Times New Roman" w:cs="Times New Roman"/>
          <w:sz w:val="24"/>
          <w:szCs w:val="24"/>
        </w:rPr>
        <w:t>whose</w:t>
      </w:r>
      <w:r w:rsidR="003D6039" w:rsidRPr="00CD704D">
        <w:rPr>
          <w:rFonts w:ascii="Times New Roman" w:hAnsi="Times New Roman" w:cs="Times New Roman"/>
          <w:sz w:val="24"/>
          <w:szCs w:val="24"/>
        </w:rPr>
        <w:t xml:space="preserve"> primary employment </w:t>
      </w:r>
      <w:r w:rsidR="000E21A2">
        <w:rPr>
          <w:rFonts w:ascii="Times New Roman" w:hAnsi="Times New Roman" w:cs="Times New Roman"/>
          <w:sz w:val="24"/>
          <w:szCs w:val="24"/>
        </w:rPr>
        <w:t xml:space="preserve">is </w:t>
      </w:r>
      <w:r w:rsidR="00705894">
        <w:rPr>
          <w:rFonts w:ascii="Times New Roman" w:hAnsi="Times New Roman" w:cs="Times New Roman"/>
          <w:sz w:val="24"/>
          <w:szCs w:val="24"/>
        </w:rPr>
        <w:t xml:space="preserve">in </w:t>
      </w:r>
      <w:r w:rsidR="003D6039" w:rsidRPr="00CD704D">
        <w:rPr>
          <w:rFonts w:ascii="Times New Roman" w:hAnsi="Times New Roman" w:cs="Times New Roman"/>
          <w:sz w:val="24"/>
          <w:szCs w:val="24"/>
        </w:rPr>
        <w:t>agricultur</w:t>
      </w:r>
      <w:r w:rsidR="000E21A2">
        <w:rPr>
          <w:rFonts w:ascii="Times New Roman" w:hAnsi="Times New Roman" w:cs="Times New Roman"/>
          <w:sz w:val="24"/>
          <w:szCs w:val="24"/>
        </w:rPr>
        <w:t>e</w:t>
      </w:r>
      <w:r w:rsidR="003D6039" w:rsidRPr="00CD704D">
        <w:rPr>
          <w:rFonts w:ascii="Times New Roman" w:hAnsi="Times New Roman" w:cs="Times New Roman"/>
          <w:sz w:val="24"/>
          <w:szCs w:val="24"/>
        </w:rPr>
        <w:t xml:space="preserve"> and </w:t>
      </w:r>
      <w:r w:rsidR="00934F14">
        <w:rPr>
          <w:rFonts w:ascii="Times New Roman" w:hAnsi="Times New Roman" w:cs="Times New Roman"/>
          <w:sz w:val="24"/>
          <w:szCs w:val="24"/>
        </w:rPr>
        <w:t xml:space="preserve">that </w:t>
      </w:r>
      <w:r w:rsidR="00F54C73">
        <w:rPr>
          <w:rFonts w:ascii="Times New Roman" w:hAnsi="Times New Roman" w:cs="Times New Roman"/>
          <w:sz w:val="24"/>
          <w:szCs w:val="24"/>
        </w:rPr>
        <w:t>hav</w:t>
      </w:r>
      <w:r w:rsidR="002A603E">
        <w:rPr>
          <w:rFonts w:ascii="Times New Roman" w:hAnsi="Times New Roman" w:cs="Times New Roman"/>
          <w:sz w:val="24"/>
          <w:szCs w:val="24"/>
        </w:rPr>
        <w:t>e</w:t>
      </w:r>
      <w:r w:rsidR="00F54C73">
        <w:rPr>
          <w:rFonts w:ascii="Times New Roman" w:hAnsi="Times New Roman" w:cs="Times New Roman"/>
          <w:sz w:val="24"/>
          <w:szCs w:val="24"/>
        </w:rPr>
        <w:t xml:space="preserve"> </w:t>
      </w:r>
      <w:r w:rsidR="003D6039" w:rsidRPr="00CD704D">
        <w:rPr>
          <w:rFonts w:ascii="Times New Roman" w:hAnsi="Times New Roman" w:cs="Times New Roman"/>
          <w:sz w:val="24"/>
          <w:szCs w:val="24"/>
        </w:rPr>
        <w:t xml:space="preserve">no </w:t>
      </w:r>
      <w:r w:rsidR="0097701B" w:rsidRPr="00CD704D">
        <w:rPr>
          <w:rFonts w:ascii="Times New Roman" w:hAnsi="Times New Roman" w:cs="Times New Roman"/>
          <w:sz w:val="24"/>
          <w:szCs w:val="24"/>
        </w:rPr>
        <w:t>family member</w:t>
      </w:r>
      <w:r w:rsidR="000E21A2">
        <w:rPr>
          <w:rFonts w:ascii="Times New Roman" w:hAnsi="Times New Roman" w:cs="Times New Roman"/>
          <w:sz w:val="24"/>
          <w:szCs w:val="24"/>
        </w:rPr>
        <w:t>s</w:t>
      </w:r>
      <w:r w:rsidR="0097701B" w:rsidRPr="00CD704D">
        <w:rPr>
          <w:rFonts w:ascii="Times New Roman" w:hAnsi="Times New Roman" w:cs="Times New Roman"/>
          <w:sz w:val="24"/>
          <w:szCs w:val="24"/>
        </w:rPr>
        <w:t xml:space="preserve"> </w:t>
      </w:r>
      <w:r w:rsidR="00F54C73">
        <w:rPr>
          <w:rFonts w:ascii="Times New Roman" w:hAnsi="Times New Roman" w:cs="Times New Roman"/>
          <w:sz w:val="24"/>
          <w:szCs w:val="24"/>
        </w:rPr>
        <w:t xml:space="preserve">primarily </w:t>
      </w:r>
      <w:r w:rsidR="0097701B" w:rsidRPr="00CD704D">
        <w:rPr>
          <w:rFonts w:ascii="Times New Roman" w:hAnsi="Times New Roman" w:cs="Times New Roman"/>
          <w:sz w:val="24"/>
          <w:szCs w:val="24"/>
        </w:rPr>
        <w:t>engag</w:t>
      </w:r>
      <w:r w:rsidR="000E21A2">
        <w:rPr>
          <w:rFonts w:ascii="Times New Roman" w:hAnsi="Times New Roman" w:cs="Times New Roman"/>
          <w:sz w:val="24"/>
          <w:szCs w:val="24"/>
        </w:rPr>
        <w:t>ed</w:t>
      </w:r>
      <w:r w:rsidR="0097701B" w:rsidRPr="00CD704D">
        <w:rPr>
          <w:rFonts w:ascii="Times New Roman" w:hAnsi="Times New Roman" w:cs="Times New Roman"/>
          <w:sz w:val="24"/>
          <w:szCs w:val="24"/>
        </w:rPr>
        <w:t xml:space="preserve"> in </w:t>
      </w:r>
      <w:r w:rsidR="003D6039" w:rsidRPr="00CD704D">
        <w:rPr>
          <w:rFonts w:ascii="Times New Roman" w:hAnsi="Times New Roman" w:cs="Times New Roman"/>
          <w:sz w:val="24"/>
          <w:szCs w:val="24"/>
        </w:rPr>
        <w:t>non</w:t>
      </w:r>
      <w:r w:rsidR="009F43FA">
        <w:rPr>
          <w:rFonts w:ascii="Times New Roman" w:hAnsi="Times New Roman" w:cs="Times New Roman"/>
          <w:sz w:val="24"/>
          <w:szCs w:val="24"/>
        </w:rPr>
        <w:t>-</w:t>
      </w:r>
      <w:r w:rsidR="003D6039" w:rsidRPr="00CD704D">
        <w:rPr>
          <w:rFonts w:ascii="Times New Roman" w:hAnsi="Times New Roman" w:cs="Times New Roman"/>
          <w:sz w:val="24"/>
          <w:szCs w:val="24"/>
        </w:rPr>
        <w:t>agricult</w:t>
      </w:r>
      <w:r w:rsidR="000E21A2">
        <w:rPr>
          <w:rFonts w:ascii="Times New Roman" w:hAnsi="Times New Roman" w:cs="Times New Roman"/>
          <w:sz w:val="24"/>
          <w:szCs w:val="24"/>
        </w:rPr>
        <w:t>ure</w:t>
      </w:r>
      <w:r w:rsidR="00CD5CC8">
        <w:rPr>
          <w:rFonts w:ascii="Times New Roman" w:hAnsi="Times New Roman" w:cs="Times New Roman"/>
          <w:sz w:val="24"/>
          <w:szCs w:val="24"/>
        </w:rPr>
        <w:t xml:space="preserve"> – called </w:t>
      </w:r>
      <w:r w:rsidR="00CD5CC8" w:rsidRPr="00CD5CC8">
        <w:rPr>
          <w:rFonts w:ascii="Times New Roman" w:hAnsi="Times New Roman" w:cs="Times New Roman"/>
          <w:b/>
          <w:sz w:val="24"/>
          <w:szCs w:val="24"/>
        </w:rPr>
        <w:t>‘agriculture only’</w:t>
      </w:r>
      <w:r w:rsidR="00CD5CC8">
        <w:rPr>
          <w:rFonts w:ascii="Times New Roman" w:hAnsi="Times New Roman" w:cs="Times New Roman"/>
          <w:sz w:val="24"/>
          <w:szCs w:val="24"/>
        </w:rPr>
        <w:t xml:space="preserve"> households</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(2) </w:t>
      </w:r>
      <w:r w:rsidR="003D6039" w:rsidRPr="00CD704D">
        <w:rPr>
          <w:rFonts w:ascii="Times New Roman" w:hAnsi="Times New Roman" w:cs="Times New Roman"/>
          <w:sz w:val="24"/>
          <w:szCs w:val="24"/>
        </w:rPr>
        <w:t xml:space="preserve">nonagricultural households </w:t>
      </w:r>
      <w:r w:rsidR="000E21A2">
        <w:rPr>
          <w:rFonts w:ascii="Times New Roman" w:hAnsi="Times New Roman" w:cs="Times New Roman"/>
          <w:sz w:val="24"/>
          <w:szCs w:val="24"/>
        </w:rPr>
        <w:t xml:space="preserve">that </w:t>
      </w:r>
      <w:r w:rsidR="003D6039" w:rsidRPr="00CD704D">
        <w:rPr>
          <w:rFonts w:ascii="Times New Roman" w:hAnsi="Times New Roman" w:cs="Times New Roman"/>
          <w:sz w:val="24"/>
          <w:szCs w:val="24"/>
        </w:rPr>
        <w:t>have member</w:t>
      </w:r>
      <w:r w:rsidR="00934F14">
        <w:rPr>
          <w:rFonts w:ascii="Times New Roman" w:hAnsi="Times New Roman" w:cs="Times New Roman"/>
          <w:sz w:val="24"/>
          <w:szCs w:val="24"/>
        </w:rPr>
        <w:t>s</w:t>
      </w:r>
      <w:r w:rsidR="003D6039" w:rsidRPr="00CD704D">
        <w:rPr>
          <w:rFonts w:ascii="Times New Roman" w:hAnsi="Times New Roman" w:cs="Times New Roman"/>
          <w:sz w:val="24"/>
          <w:szCs w:val="24"/>
        </w:rPr>
        <w:t xml:space="preserve"> w</w:t>
      </w:r>
      <w:r w:rsidR="000E21A2">
        <w:rPr>
          <w:rFonts w:ascii="Times New Roman" w:hAnsi="Times New Roman" w:cs="Times New Roman"/>
          <w:sz w:val="24"/>
          <w:szCs w:val="24"/>
        </w:rPr>
        <w:t>hose</w:t>
      </w:r>
      <w:r w:rsidR="003D6039" w:rsidRPr="00CD704D">
        <w:rPr>
          <w:rFonts w:ascii="Times New Roman" w:hAnsi="Times New Roman" w:cs="Times New Roman"/>
          <w:sz w:val="24"/>
          <w:szCs w:val="24"/>
        </w:rPr>
        <w:t xml:space="preserve"> primary employment </w:t>
      </w:r>
      <w:r w:rsidR="000E21A2">
        <w:rPr>
          <w:rFonts w:ascii="Times New Roman" w:hAnsi="Times New Roman" w:cs="Times New Roman"/>
          <w:sz w:val="24"/>
          <w:szCs w:val="24"/>
        </w:rPr>
        <w:t xml:space="preserve">is </w:t>
      </w:r>
      <w:r w:rsidR="00705894">
        <w:rPr>
          <w:rFonts w:ascii="Times New Roman" w:hAnsi="Times New Roman" w:cs="Times New Roman"/>
          <w:sz w:val="24"/>
          <w:szCs w:val="24"/>
        </w:rPr>
        <w:t xml:space="preserve">in </w:t>
      </w:r>
      <w:r w:rsidR="000E21A2">
        <w:rPr>
          <w:rFonts w:ascii="Times New Roman" w:hAnsi="Times New Roman" w:cs="Times New Roman"/>
          <w:sz w:val="24"/>
          <w:szCs w:val="24"/>
        </w:rPr>
        <w:t>non</w:t>
      </w:r>
      <w:r w:rsidR="009F43FA">
        <w:rPr>
          <w:rFonts w:ascii="Times New Roman" w:hAnsi="Times New Roman" w:cs="Times New Roman"/>
          <w:sz w:val="24"/>
          <w:szCs w:val="24"/>
        </w:rPr>
        <w:t>-</w:t>
      </w:r>
      <w:r w:rsidR="003D6039" w:rsidRPr="00CD704D">
        <w:rPr>
          <w:rFonts w:ascii="Times New Roman" w:hAnsi="Times New Roman" w:cs="Times New Roman"/>
          <w:sz w:val="24"/>
          <w:szCs w:val="24"/>
        </w:rPr>
        <w:t xml:space="preserve">agriculture and </w:t>
      </w:r>
      <w:r w:rsidR="00F54C73">
        <w:rPr>
          <w:rFonts w:ascii="Times New Roman" w:hAnsi="Times New Roman" w:cs="Times New Roman"/>
          <w:sz w:val="24"/>
          <w:szCs w:val="24"/>
        </w:rPr>
        <w:t xml:space="preserve">having </w:t>
      </w:r>
      <w:r w:rsidR="003D6039" w:rsidRPr="00CD704D">
        <w:rPr>
          <w:rFonts w:ascii="Times New Roman" w:hAnsi="Times New Roman" w:cs="Times New Roman"/>
          <w:sz w:val="24"/>
          <w:szCs w:val="24"/>
        </w:rPr>
        <w:t xml:space="preserve">no </w:t>
      </w:r>
      <w:r w:rsidR="000E21A2">
        <w:rPr>
          <w:rFonts w:ascii="Times New Roman" w:hAnsi="Times New Roman" w:cs="Times New Roman"/>
          <w:sz w:val="24"/>
          <w:szCs w:val="24"/>
        </w:rPr>
        <w:t xml:space="preserve">members whose </w:t>
      </w:r>
      <w:r w:rsidR="003D6039" w:rsidRPr="00CD704D">
        <w:rPr>
          <w:rFonts w:ascii="Times New Roman" w:hAnsi="Times New Roman" w:cs="Times New Roman"/>
          <w:sz w:val="24"/>
          <w:szCs w:val="24"/>
        </w:rPr>
        <w:t>primary employment i</w:t>
      </w:r>
      <w:r w:rsidR="000E21A2">
        <w:rPr>
          <w:rFonts w:ascii="Times New Roman" w:hAnsi="Times New Roman" w:cs="Times New Roman"/>
          <w:sz w:val="24"/>
          <w:szCs w:val="24"/>
        </w:rPr>
        <w:t>s</w:t>
      </w:r>
      <w:r w:rsidR="003D6039" w:rsidRPr="00CD704D">
        <w:rPr>
          <w:rFonts w:ascii="Times New Roman" w:hAnsi="Times New Roman" w:cs="Times New Roman"/>
          <w:sz w:val="24"/>
          <w:szCs w:val="24"/>
        </w:rPr>
        <w:t xml:space="preserve"> </w:t>
      </w:r>
      <w:r w:rsidR="00705894">
        <w:rPr>
          <w:rFonts w:ascii="Times New Roman" w:hAnsi="Times New Roman" w:cs="Times New Roman"/>
          <w:sz w:val="24"/>
          <w:szCs w:val="24"/>
        </w:rPr>
        <w:t xml:space="preserve">in </w:t>
      </w:r>
      <w:r w:rsidR="003D6039" w:rsidRPr="00CD704D">
        <w:rPr>
          <w:rFonts w:ascii="Times New Roman" w:hAnsi="Times New Roman" w:cs="Times New Roman"/>
          <w:sz w:val="24"/>
          <w:szCs w:val="24"/>
        </w:rPr>
        <w:t>agriculture</w:t>
      </w:r>
      <w:r w:rsidR="00CD5CC8">
        <w:rPr>
          <w:rFonts w:ascii="Times New Roman" w:hAnsi="Times New Roman" w:cs="Times New Roman"/>
          <w:sz w:val="24"/>
          <w:szCs w:val="24"/>
        </w:rPr>
        <w:t xml:space="preserve"> - called </w:t>
      </w:r>
      <w:r w:rsidR="00CD5CC8" w:rsidRPr="00CD5CC8">
        <w:rPr>
          <w:rFonts w:ascii="Times New Roman" w:hAnsi="Times New Roman" w:cs="Times New Roman"/>
          <w:b/>
          <w:sz w:val="24"/>
          <w:szCs w:val="24"/>
        </w:rPr>
        <w:t>‘non</w:t>
      </w:r>
      <w:r w:rsidR="009F43FA">
        <w:rPr>
          <w:rFonts w:ascii="Times New Roman" w:hAnsi="Times New Roman" w:cs="Times New Roman"/>
          <w:b/>
          <w:sz w:val="24"/>
          <w:szCs w:val="24"/>
        </w:rPr>
        <w:t>-</w:t>
      </w:r>
      <w:r w:rsidR="00CD5CC8" w:rsidRPr="00CD5CC8">
        <w:rPr>
          <w:rFonts w:ascii="Times New Roman" w:hAnsi="Times New Roman" w:cs="Times New Roman"/>
          <w:b/>
          <w:sz w:val="24"/>
          <w:szCs w:val="24"/>
        </w:rPr>
        <w:t>agriculture only’</w:t>
      </w:r>
      <w:r w:rsidR="00705894">
        <w:rPr>
          <w:rFonts w:ascii="Times New Roman" w:hAnsi="Times New Roman" w:cs="Times New Roman"/>
          <w:sz w:val="24"/>
          <w:szCs w:val="24"/>
        </w:rPr>
        <w:t xml:space="preserve"> ho</w:t>
      </w:r>
      <w:r w:rsidR="00CD5CC8">
        <w:rPr>
          <w:rFonts w:ascii="Times New Roman" w:hAnsi="Times New Roman" w:cs="Times New Roman"/>
          <w:sz w:val="24"/>
          <w:szCs w:val="24"/>
        </w:rPr>
        <w:t>useholds</w:t>
      </w:r>
      <w:r w:rsidR="003D6039" w:rsidRPr="00CD704D">
        <w:rPr>
          <w:rFonts w:ascii="Times New Roman" w:hAnsi="Times New Roman" w:cs="Times New Roman"/>
          <w:sz w:val="24"/>
          <w:szCs w:val="24"/>
        </w:rPr>
        <w:t>;</w:t>
      </w:r>
      <w:r w:rsidR="00F54C73">
        <w:rPr>
          <w:rFonts w:ascii="Times New Roman" w:hAnsi="Times New Roman" w:cs="Times New Roman"/>
          <w:sz w:val="24"/>
          <w:szCs w:val="24"/>
        </w:rPr>
        <w:t xml:space="preserve"> and</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(3) </w:t>
      </w:r>
      <w:r w:rsidR="003D6039" w:rsidRPr="00CD704D">
        <w:rPr>
          <w:rFonts w:ascii="Times New Roman" w:hAnsi="Times New Roman" w:cs="Times New Roman"/>
          <w:sz w:val="24"/>
          <w:szCs w:val="24"/>
        </w:rPr>
        <w:t xml:space="preserve">households </w:t>
      </w:r>
      <w:r w:rsidR="000E21A2">
        <w:rPr>
          <w:rFonts w:ascii="Times New Roman" w:hAnsi="Times New Roman" w:cs="Times New Roman"/>
          <w:sz w:val="24"/>
          <w:szCs w:val="24"/>
        </w:rPr>
        <w:t xml:space="preserve">that </w:t>
      </w:r>
      <w:r w:rsidR="003D6039" w:rsidRPr="00CD704D">
        <w:rPr>
          <w:rFonts w:ascii="Times New Roman" w:hAnsi="Times New Roman" w:cs="Times New Roman"/>
          <w:sz w:val="24"/>
          <w:szCs w:val="24"/>
        </w:rPr>
        <w:t xml:space="preserve">have members with primary employment in </w:t>
      </w:r>
      <w:r w:rsidR="0097701B" w:rsidRPr="00CD704D">
        <w:rPr>
          <w:rFonts w:ascii="Times New Roman" w:hAnsi="Times New Roman" w:cs="Times New Roman"/>
          <w:sz w:val="24"/>
          <w:szCs w:val="24"/>
        </w:rPr>
        <w:t xml:space="preserve">both </w:t>
      </w:r>
      <w:r w:rsidR="003D6039" w:rsidRPr="00CD704D">
        <w:rPr>
          <w:rFonts w:ascii="Times New Roman" w:hAnsi="Times New Roman" w:cs="Times New Roman"/>
          <w:sz w:val="24"/>
          <w:szCs w:val="24"/>
        </w:rPr>
        <w:t>agriculture and non-agriculture</w:t>
      </w:r>
      <w:r w:rsidR="00CD5CC8">
        <w:rPr>
          <w:rFonts w:ascii="Times New Roman" w:hAnsi="Times New Roman" w:cs="Times New Roman"/>
          <w:sz w:val="24"/>
          <w:szCs w:val="24"/>
        </w:rPr>
        <w:t xml:space="preserve"> – called </w:t>
      </w:r>
      <w:r w:rsidR="00CD5CC8" w:rsidRPr="00CD5CC8">
        <w:rPr>
          <w:rFonts w:ascii="Times New Roman" w:hAnsi="Times New Roman" w:cs="Times New Roman"/>
          <w:b/>
          <w:sz w:val="24"/>
          <w:szCs w:val="24"/>
        </w:rPr>
        <w:t>‘mixed’</w:t>
      </w:r>
      <w:r w:rsidR="00CD5CC8">
        <w:rPr>
          <w:rFonts w:ascii="Times New Roman" w:hAnsi="Times New Roman" w:cs="Times New Roman"/>
          <w:sz w:val="24"/>
          <w:szCs w:val="24"/>
        </w:rPr>
        <w:t xml:space="preserve"> households</w:t>
      </w:r>
      <w:r w:rsidR="00F54C73">
        <w:rPr>
          <w:rFonts w:ascii="Times New Roman" w:hAnsi="Times New Roman" w:cs="Times New Roman"/>
          <w:sz w:val="24"/>
          <w:szCs w:val="24"/>
        </w:rPr>
        <w:t>. We ignore a small percentage of rural households that do not report any primary employment.</w:t>
      </w:r>
      <w:r w:rsidR="0097701B" w:rsidRPr="00CD704D">
        <w:rPr>
          <w:rFonts w:ascii="Times New Roman" w:hAnsi="Times New Roman" w:cs="Times New Roman"/>
          <w:sz w:val="24"/>
          <w:szCs w:val="24"/>
        </w:rPr>
        <w:t xml:space="preserve"> </w:t>
      </w:r>
      <w:r w:rsidR="00BA2864"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F54C73">
        <w:rPr>
          <w:rFonts w:ascii="Times New Roman" w:hAnsi="Times New Roman" w:cs="Times New Roman"/>
          <w:sz w:val="24"/>
          <w:szCs w:val="24"/>
        </w:rPr>
        <w:t>.</w:t>
      </w:r>
      <w:r w:rsidR="00BA2864" w:rsidRPr="00CD704D">
        <w:rPr>
          <w:rFonts w:ascii="Times New Roman" w:hAnsi="Times New Roman" w:cs="Times New Roman"/>
          <w:sz w:val="24"/>
          <w:szCs w:val="24"/>
        </w:rPr>
        <w:t>2</w:t>
      </w:r>
      <w:r w:rsidR="00B87F76" w:rsidRPr="00CD704D">
        <w:rPr>
          <w:rFonts w:ascii="Times New Roman" w:hAnsi="Times New Roman" w:cs="Times New Roman"/>
          <w:sz w:val="24"/>
          <w:szCs w:val="24"/>
        </w:rPr>
        <w:t xml:space="preserve"> reports the share</w:t>
      </w:r>
      <w:r w:rsidR="0097701B" w:rsidRPr="00CD704D">
        <w:rPr>
          <w:rFonts w:ascii="Times New Roman" w:hAnsi="Times New Roman" w:cs="Times New Roman"/>
          <w:sz w:val="24"/>
          <w:szCs w:val="24"/>
        </w:rPr>
        <w:t>s</w:t>
      </w:r>
      <w:r w:rsidR="00B87F76" w:rsidRPr="00CD704D">
        <w:rPr>
          <w:rFonts w:ascii="Times New Roman" w:hAnsi="Times New Roman" w:cs="Times New Roman"/>
          <w:sz w:val="24"/>
          <w:szCs w:val="24"/>
        </w:rPr>
        <w:t xml:space="preserve"> of rural households </w:t>
      </w:r>
      <w:r w:rsidR="0097701B" w:rsidRPr="00CD704D">
        <w:rPr>
          <w:rFonts w:ascii="Times New Roman" w:hAnsi="Times New Roman" w:cs="Times New Roman"/>
          <w:sz w:val="24"/>
          <w:szCs w:val="24"/>
        </w:rPr>
        <w:t>for</w:t>
      </w:r>
      <w:r w:rsidR="00B87F76" w:rsidRPr="00CD704D">
        <w:rPr>
          <w:rFonts w:ascii="Times New Roman" w:hAnsi="Times New Roman" w:cs="Times New Roman"/>
          <w:sz w:val="24"/>
          <w:szCs w:val="24"/>
        </w:rPr>
        <w:t xml:space="preserve"> </w:t>
      </w:r>
      <w:r w:rsidR="002A603E">
        <w:rPr>
          <w:rFonts w:ascii="Times New Roman" w:hAnsi="Times New Roman" w:cs="Times New Roman"/>
          <w:sz w:val="24"/>
          <w:szCs w:val="24"/>
        </w:rPr>
        <w:t>each of the</w:t>
      </w:r>
      <w:r w:rsidR="0097701B" w:rsidRPr="00CD704D">
        <w:rPr>
          <w:rFonts w:ascii="Times New Roman" w:hAnsi="Times New Roman" w:cs="Times New Roman"/>
          <w:sz w:val="24"/>
          <w:szCs w:val="24"/>
        </w:rPr>
        <w:t xml:space="preserve"> three types</w:t>
      </w:r>
      <w:r w:rsidR="00BA456D">
        <w:rPr>
          <w:rFonts w:ascii="Times New Roman" w:hAnsi="Times New Roman" w:cs="Times New Roman"/>
          <w:sz w:val="24"/>
          <w:szCs w:val="24"/>
        </w:rPr>
        <w:t xml:space="preserve"> of households</w:t>
      </w:r>
      <w:r w:rsidR="00B87F76" w:rsidRPr="00CD704D">
        <w:rPr>
          <w:rFonts w:ascii="Times New Roman" w:hAnsi="Times New Roman" w:cs="Times New Roman"/>
          <w:sz w:val="24"/>
          <w:szCs w:val="24"/>
        </w:rPr>
        <w:t>.</w:t>
      </w:r>
    </w:p>
    <w:p w14:paraId="46E0B57E" w14:textId="77777777" w:rsidR="00F534CE" w:rsidRPr="00CD704D" w:rsidRDefault="00F534CE" w:rsidP="00EF7FD9">
      <w:pPr>
        <w:jc w:val="both"/>
        <w:rPr>
          <w:rFonts w:ascii="Times New Roman" w:hAnsi="Times New Roman" w:cs="Times New Roman"/>
          <w:sz w:val="24"/>
          <w:szCs w:val="24"/>
        </w:rPr>
      </w:pPr>
    </w:p>
    <w:p w14:paraId="359F7220" w14:textId="3CC9CF5D" w:rsidR="00B87F76" w:rsidRPr="00FC1B5D" w:rsidRDefault="00B87F76" w:rsidP="00E20007">
      <w:pPr>
        <w:rPr>
          <w:rFonts w:ascii="Times New Roman" w:hAnsi="Times New Roman" w:cs="Times New Roman"/>
          <w:sz w:val="24"/>
          <w:szCs w:val="24"/>
          <w:u w:val="single"/>
        </w:rPr>
      </w:pPr>
      <w:r w:rsidRPr="00FC1B5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2A603E" w:rsidRPr="00FC1B5D">
        <w:rPr>
          <w:rFonts w:ascii="Times New Roman" w:hAnsi="Times New Roman" w:cs="Times New Roman"/>
          <w:sz w:val="24"/>
          <w:szCs w:val="24"/>
        </w:rPr>
        <w:t>.</w:t>
      </w:r>
      <w:r w:rsidR="00A164A6" w:rsidRPr="00FC1B5D">
        <w:rPr>
          <w:rFonts w:ascii="Times New Roman" w:hAnsi="Times New Roman" w:cs="Times New Roman"/>
          <w:sz w:val="24"/>
          <w:szCs w:val="24"/>
        </w:rPr>
        <w:t>2</w:t>
      </w:r>
      <w:r w:rsidRPr="00FC1B5D">
        <w:rPr>
          <w:rFonts w:ascii="Times New Roman" w:hAnsi="Times New Roman" w:cs="Times New Roman"/>
          <w:sz w:val="24"/>
          <w:szCs w:val="24"/>
        </w:rPr>
        <w:t xml:space="preserve">: Distribution of </w:t>
      </w:r>
      <w:r w:rsidR="00C3610C" w:rsidRPr="00FC1B5D">
        <w:rPr>
          <w:rFonts w:ascii="Times New Roman" w:hAnsi="Times New Roman" w:cs="Times New Roman"/>
          <w:sz w:val="24"/>
          <w:szCs w:val="24"/>
        </w:rPr>
        <w:t xml:space="preserve">rural households by </w:t>
      </w:r>
      <w:r w:rsidR="0097701B" w:rsidRPr="00FC1B5D">
        <w:rPr>
          <w:rFonts w:ascii="Times New Roman" w:hAnsi="Times New Roman" w:cs="Times New Roman"/>
          <w:sz w:val="24"/>
          <w:szCs w:val="24"/>
        </w:rPr>
        <w:t xml:space="preserve">agricultural, nonagricultural and mixed </w:t>
      </w:r>
      <w:r w:rsidR="00C3610C" w:rsidRPr="00FC1B5D">
        <w:rPr>
          <w:rFonts w:ascii="Times New Roman" w:hAnsi="Times New Roman" w:cs="Times New Roman"/>
          <w:sz w:val="24"/>
          <w:szCs w:val="24"/>
        </w:rPr>
        <w:t>occupations</w:t>
      </w:r>
      <w:r w:rsidR="00614596">
        <w:rPr>
          <w:rFonts w:ascii="Times New Roman" w:hAnsi="Times New Roman" w:cs="Times New Roman"/>
          <w:sz w:val="24"/>
          <w:szCs w:val="24"/>
        </w:rPr>
        <w:t xml:space="preserve"> across</w:t>
      </w:r>
      <w:r w:rsidRPr="00FC1B5D">
        <w:rPr>
          <w:rFonts w:ascii="Times New Roman" w:hAnsi="Times New Roman" w:cs="Times New Roman"/>
          <w:sz w:val="24"/>
          <w:szCs w:val="24"/>
        </w:rPr>
        <w:t xml:space="preserve"> </w:t>
      </w:r>
      <w:r w:rsidR="0097701B" w:rsidRPr="00FC1B5D">
        <w:rPr>
          <w:rFonts w:ascii="Times New Roman" w:hAnsi="Times New Roman" w:cs="Times New Roman"/>
          <w:sz w:val="24"/>
          <w:szCs w:val="24"/>
        </w:rPr>
        <w:t>district</w:t>
      </w:r>
      <w:r w:rsidR="00614596">
        <w:rPr>
          <w:rFonts w:ascii="Times New Roman" w:hAnsi="Times New Roman" w:cs="Times New Roman"/>
          <w:sz w:val="24"/>
          <w:szCs w:val="24"/>
        </w:rPr>
        <w:t xml:space="preserve"> groups</w:t>
      </w:r>
      <w:r w:rsidR="0097701B" w:rsidRPr="00FC1B5D">
        <w:rPr>
          <w:rFonts w:ascii="Times New Roman" w:hAnsi="Times New Roman" w:cs="Times New Roman"/>
          <w:sz w:val="24"/>
          <w:szCs w:val="24"/>
        </w:rPr>
        <w:t xml:space="preserve"> (</w:t>
      </w:r>
      <w:r w:rsidR="00614596">
        <w:rPr>
          <w:rFonts w:ascii="Times New Roman" w:hAnsi="Times New Roman" w:cs="Times New Roman"/>
          <w:sz w:val="24"/>
          <w:szCs w:val="24"/>
        </w:rPr>
        <w:t>each type of district’s total rural households = 100</w:t>
      </w:r>
      <w:r w:rsidR="0097701B" w:rsidRPr="00FC1B5D">
        <w:rPr>
          <w:rFonts w:ascii="Times New Roman" w:hAnsi="Times New Roman" w:cs="Times New Roman"/>
          <w:sz w:val="24"/>
          <w:szCs w:val="24"/>
        </w:rPr>
        <w:t>)</w:t>
      </w:r>
    </w:p>
    <w:tbl>
      <w:tblPr>
        <w:tblStyle w:val="TableGrid"/>
        <w:tblW w:w="5307"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369"/>
        <w:gridCol w:w="1258"/>
        <w:gridCol w:w="812"/>
        <w:gridCol w:w="1161"/>
        <w:gridCol w:w="1108"/>
        <w:gridCol w:w="1070"/>
      </w:tblGrid>
      <w:tr w:rsidR="00E20007" w:rsidRPr="00656517" w14:paraId="102BB983" w14:textId="77777777" w:rsidTr="00E20007">
        <w:trPr>
          <w:trHeight w:val="242"/>
        </w:trPr>
        <w:tc>
          <w:tcPr>
            <w:tcW w:w="1251" w:type="pct"/>
            <w:tcBorders>
              <w:top w:val="single" w:sz="4" w:space="0" w:color="auto"/>
              <w:bottom w:val="single" w:sz="4" w:space="0" w:color="auto"/>
            </w:tcBorders>
          </w:tcPr>
          <w:p w14:paraId="0CE0A6BF" w14:textId="77777777" w:rsidR="00E20007" w:rsidRPr="00656517" w:rsidRDefault="00E20007" w:rsidP="00656517">
            <w:pPr>
              <w:rPr>
                <w:rFonts w:ascii="Times New Roman" w:hAnsi="Times New Roman" w:cs="Times New Roman"/>
                <w:sz w:val="22"/>
                <w:szCs w:val="22"/>
              </w:rPr>
            </w:pPr>
          </w:p>
        </w:tc>
        <w:tc>
          <w:tcPr>
            <w:tcW w:w="1902" w:type="pct"/>
            <w:gridSpan w:val="3"/>
            <w:tcBorders>
              <w:top w:val="single" w:sz="4" w:space="0" w:color="auto"/>
              <w:bottom w:val="single" w:sz="4" w:space="0" w:color="auto"/>
            </w:tcBorders>
          </w:tcPr>
          <w:p w14:paraId="557E3569" w14:textId="69541C22" w:rsidR="00E20007" w:rsidRPr="00656517" w:rsidRDefault="00FA4DA9" w:rsidP="00FA4DA9">
            <w:pPr>
              <w:jc w:val="center"/>
              <w:rPr>
                <w:rFonts w:ascii="Times New Roman" w:hAnsi="Times New Roman" w:cs="Times New Roman"/>
                <w:sz w:val="22"/>
                <w:szCs w:val="22"/>
              </w:rPr>
            </w:pPr>
            <w:r>
              <w:rPr>
                <w:rFonts w:ascii="Times New Roman" w:hAnsi="Times New Roman" w:cs="Times New Roman"/>
                <w:sz w:val="22"/>
                <w:szCs w:val="22"/>
              </w:rPr>
              <w:t xml:space="preserve">North </w:t>
            </w:r>
          </w:p>
        </w:tc>
        <w:tc>
          <w:tcPr>
            <w:tcW w:w="1847" w:type="pct"/>
            <w:gridSpan w:val="3"/>
            <w:tcBorders>
              <w:top w:val="single" w:sz="4" w:space="0" w:color="auto"/>
              <w:bottom w:val="single" w:sz="4" w:space="0" w:color="auto"/>
            </w:tcBorders>
          </w:tcPr>
          <w:p w14:paraId="5334158E" w14:textId="4AAE0A4D" w:rsidR="00E20007" w:rsidRPr="00656517" w:rsidRDefault="00E20007" w:rsidP="00FA4DA9">
            <w:pPr>
              <w:jc w:val="center"/>
              <w:rPr>
                <w:rFonts w:ascii="Times New Roman" w:hAnsi="Times New Roman" w:cs="Times New Roman"/>
                <w:sz w:val="22"/>
                <w:szCs w:val="22"/>
              </w:rPr>
            </w:pPr>
            <w:r w:rsidRPr="00656517">
              <w:rPr>
                <w:rFonts w:ascii="Times New Roman" w:hAnsi="Times New Roman" w:cs="Times New Roman"/>
                <w:sz w:val="22"/>
                <w:szCs w:val="22"/>
              </w:rPr>
              <w:t>South</w:t>
            </w:r>
          </w:p>
        </w:tc>
      </w:tr>
      <w:tr w:rsidR="00656517" w:rsidRPr="00656517" w14:paraId="34E931C8" w14:textId="77777777" w:rsidTr="00D52CDB">
        <w:trPr>
          <w:trHeight w:val="242"/>
        </w:trPr>
        <w:tc>
          <w:tcPr>
            <w:tcW w:w="1251" w:type="pct"/>
            <w:tcBorders>
              <w:top w:val="nil"/>
              <w:bottom w:val="single" w:sz="4" w:space="0" w:color="auto"/>
            </w:tcBorders>
          </w:tcPr>
          <w:p w14:paraId="594FBF01" w14:textId="7127A410" w:rsidR="00656517" w:rsidRPr="00656517" w:rsidRDefault="00656517" w:rsidP="00656517">
            <w:pPr>
              <w:rPr>
                <w:rFonts w:ascii="Times New Roman" w:hAnsi="Times New Roman" w:cs="Times New Roman"/>
                <w:sz w:val="22"/>
                <w:szCs w:val="22"/>
              </w:rPr>
            </w:pPr>
            <w:r w:rsidRPr="00656517">
              <w:rPr>
                <w:rFonts w:ascii="Times New Roman" w:hAnsi="Times New Roman" w:cs="Times New Roman"/>
                <w:sz w:val="22"/>
                <w:szCs w:val="22"/>
              </w:rPr>
              <w:t>District group</w:t>
            </w:r>
          </w:p>
        </w:tc>
        <w:tc>
          <w:tcPr>
            <w:tcW w:w="757" w:type="pct"/>
            <w:tcBorders>
              <w:top w:val="nil"/>
              <w:bottom w:val="single" w:sz="4" w:space="0" w:color="auto"/>
            </w:tcBorders>
          </w:tcPr>
          <w:p w14:paraId="635F7F13" w14:textId="55D66C70"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Agri. only</w:t>
            </w:r>
          </w:p>
        </w:tc>
        <w:tc>
          <w:tcPr>
            <w:tcW w:w="696" w:type="pct"/>
            <w:tcBorders>
              <w:top w:val="nil"/>
              <w:bottom w:val="single" w:sz="4" w:space="0" w:color="auto"/>
            </w:tcBorders>
          </w:tcPr>
          <w:p w14:paraId="619AE374" w14:textId="23E7BD1F"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Non-agri. only</w:t>
            </w:r>
          </w:p>
        </w:tc>
        <w:tc>
          <w:tcPr>
            <w:tcW w:w="449" w:type="pct"/>
            <w:tcBorders>
              <w:top w:val="nil"/>
              <w:bottom w:val="single" w:sz="4" w:space="0" w:color="auto"/>
            </w:tcBorders>
          </w:tcPr>
          <w:p w14:paraId="0E14B408" w14:textId="0C4F039D"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Mixed</w:t>
            </w:r>
          </w:p>
        </w:tc>
        <w:tc>
          <w:tcPr>
            <w:tcW w:w="642" w:type="pct"/>
            <w:tcBorders>
              <w:top w:val="nil"/>
              <w:bottom w:val="single" w:sz="4" w:space="0" w:color="auto"/>
            </w:tcBorders>
          </w:tcPr>
          <w:p w14:paraId="4B4B570B" w14:textId="1608CA8A"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Agri. only</w:t>
            </w:r>
          </w:p>
        </w:tc>
        <w:tc>
          <w:tcPr>
            <w:tcW w:w="613" w:type="pct"/>
            <w:tcBorders>
              <w:top w:val="nil"/>
              <w:bottom w:val="single" w:sz="4" w:space="0" w:color="auto"/>
            </w:tcBorders>
          </w:tcPr>
          <w:p w14:paraId="24572D6B" w14:textId="6A5CCD39"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Non-agri. only</w:t>
            </w:r>
          </w:p>
        </w:tc>
        <w:tc>
          <w:tcPr>
            <w:tcW w:w="592" w:type="pct"/>
            <w:tcBorders>
              <w:top w:val="nil"/>
              <w:bottom w:val="single" w:sz="4" w:space="0" w:color="auto"/>
            </w:tcBorders>
          </w:tcPr>
          <w:p w14:paraId="3F763557" w14:textId="0539E5A4"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Mixed</w:t>
            </w:r>
          </w:p>
        </w:tc>
      </w:tr>
      <w:tr w:rsidR="00D52CDB" w:rsidRPr="005A6B20" w14:paraId="61E199DE" w14:textId="77777777" w:rsidTr="00D52CDB">
        <w:trPr>
          <w:trHeight w:val="242"/>
        </w:trPr>
        <w:tc>
          <w:tcPr>
            <w:tcW w:w="1251" w:type="pct"/>
            <w:tcBorders>
              <w:top w:val="single" w:sz="4" w:space="0" w:color="auto"/>
            </w:tcBorders>
          </w:tcPr>
          <w:p w14:paraId="32318230" w14:textId="26D8B882" w:rsidR="00B7769F" w:rsidRPr="00B7769F" w:rsidRDefault="00B7769F" w:rsidP="00656517">
            <w:pPr>
              <w:rPr>
                <w:rFonts w:ascii="Times New Roman" w:hAnsi="Times New Roman" w:cs="Times New Roman"/>
                <w:i/>
                <w:sz w:val="22"/>
                <w:szCs w:val="22"/>
              </w:rPr>
            </w:pPr>
            <w:r w:rsidRPr="00B7769F">
              <w:rPr>
                <w:rFonts w:ascii="Times New Roman" w:hAnsi="Times New Roman" w:cs="Times New Roman"/>
                <w:i/>
                <w:sz w:val="22"/>
                <w:szCs w:val="22"/>
              </w:rPr>
              <w:t>Census 2000</w:t>
            </w:r>
          </w:p>
        </w:tc>
        <w:tc>
          <w:tcPr>
            <w:tcW w:w="757" w:type="pct"/>
            <w:tcBorders>
              <w:top w:val="single" w:sz="4" w:space="0" w:color="auto"/>
            </w:tcBorders>
          </w:tcPr>
          <w:p w14:paraId="305C3F5C" w14:textId="77777777" w:rsidR="00B7769F" w:rsidRPr="005A6B20" w:rsidRDefault="00B7769F" w:rsidP="00A54870">
            <w:pPr>
              <w:jc w:val="center"/>
              <w:rPr>
                <w:rFonts w:ascii="Times New Roman" w:hAnsi="Times New Roman" w:cs="Times New Roman"/>
              </w:rPr>
            </w:pPr>
          </w:p>
        </w:tc>
        <w:tc>
          <w:tcPr>
            <w:tcW w:w="696" w:type="pct"/>
            <w:tcBorders>
              <w:top w:val="single" w:sz="4" w:space="0" w:color="auto"/>
            </w:tcBorders>
          </w:tcPr>
          <w:p w14:paraId="5DF770AE" w14:textId="77777777" w:rsidR="00B7769F" w:rsidRPr="005A6B20" w:rsidRDefault="00B7769F" w:rsidP="00A54870">
            <w:pPr>
              <w:jc w:val="center"/>
              <w:rPr>
                <w:rFonts w:ascii="Times New Roman" w:hAnsi="Times New Roman" w:cs="Times New Roman"/>
              </w:rPr>
            </w:pPr>
          </w:p>
        </w:tc>
        <w:tc>
          <w:tcPr>
            <w:tcW w:w="449" w:type="pct"/>
            <w:tcBorders>
              <w:top w:val="single" w:sz="4" w:space="0" w:color="auto"/>
            </w:tcBorders>
          </w:tcPr>
          <w:p w14:paraId="78AAAF41" w14:textId="77777777" w:rsidR="00B7769F" w:rsidRPr="005A6B20" w:rsidRDefault="00B7769F" w:rsidP="00A54870">
            <w:pPr>
              <w:jc w:val="center"/>
              <w:rPr>
                <w:rFonts w:ascii="Times New Roman" w:hAnsi="Times New Roman" w:cs="Times New Roman"/>
              </w:rPr>
            </w:pPr>
          </w:p>
        </w:tc>
        <w:tc>
          <w:tcPr>
            <w:tcW w:w="642" w:type="pct"/>
            <w:tcBorders>
              <w:top w:val="single" w:sz="4" w:space="0" w:color="auto"/>
            </w:tcBorders>
          </w:tcPr>
          <w:p w14:paraId="47124DF8" w14:textId="77777777" w:rsidR="00B7769F" w:rsidRPr="005A6B20" w:rsidRDefault="00B7769F" w:rsidP="00A54870">
            <w:pPr>
              <w:jc w:val="center"/>
              <w:rPr>
                <w:rFonts w:ascii="Times New Roman" w:hAnsi="Times New Roman" w:cs="Times New Roman"/>
              </w:rPr>
            </w:pPr>
          </w:p>
        </w:tc>
        <w:tc>
          <w:tcPr>
            <w:tcW w:w="613" w:type="pct"/>
            <w:tcBorders>
              <w:top w:val="single" w:sz="4" w:space="0" w:color="auto"/>
            </w:tcBorders>
          </w:tcPr>
          <w:p w14:paraId="2445F897" w14:textId="77777777" w:rsidR="00B7769F" w:rsidRPr="005A6B20" w:rsidRDefault="00B7769F" w:rsidP="00A54870">
            <w:pPr>
              <w:jc w:val="center"/>
              <w:rPr>
                <w:rFonts w:ascii="Times New Roman" w:hAnsi="Times New Roman" w:cs="Times New Roman"/>
              </w:rPr>
            </w:pPr>
          </w:p>
        </w:tc>
        <w:tc>
          <w:tcPr>
            <w:tcW w:w="592" w:type="pct"/>
            <w:tcBorders>
              <w:top w:val="single" w:sz="4" w:space="0" w:color="auto"/>
            </w:tcBorders>
          </w:tcPr>
          <w:p w14:paraId="2B5E7600" w14:textId="77777777" w:rsidR="00B7769F" w:rsidRPr="005A6B20" w:rsidRDefault="00B7769F" w:rsidP="00A54870">
            <w:pPr>
              <w:jc w:val="center"/>
              <w:rPr>
                <w:rFonts w:ascii="Times New Roman" w:hAnsi="Times New Roman" w:cs="Times New Roman"/>
              </w:rPr>
            </w:pPr>
          </w:p>
        </w:tc>
      </w:tr>
      <w:tr w:rsidR="00D52CDB" w:rsidRPr="005A6B20" w14:paraId="1E6682CA" w14:textId="77777777" w:rsidTr="00D52CDB">
        <w:tc>
          <w:tcPr>
            <w:tcW w:w="1251" w:type="pct"/>
          </w:tcPr>
          <w:p w14:paraId="2E3CC87A" w14:textId="7DDBA61F"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Big city districts</w:t>
            </w:r>
          </w:p>
        </w:tc>
        <w:tc>
          <w:tcPr>
            <w:tcW w:w="757" w:type="pct"/>
          </w:tcPr>
          <w:p w14:paraId="6CE3CBF5" w14:textId="1F53A993" w:rsidR="00B87F76" w:rsidRPr="005A6B20" w:rsidRDefault="00B87F76" w:rsidP="00A54870">
            <w:pPr>
              <w:jc w:val="center"/>
              <w:rPr>
                <w:rFonts w:ascii="Times New Roman" w:hAnsi="Times New Roman" w:cs="Times New Roman"/>
                <w:sz w:val="22"/>
                <w:szCs w:val="22"/>
              </w:rPr>
            </w:pPr>
          </w:p>
        </w:tc>
        <w:tc>
          <w:tcPr>
            <w:tcW w:w="696" w:type="pct"/>
          </w:tcPr>
          <w:p w14:paraId="7A145576" w14:textId="679D2A5E" w:rsidR="00B87F76" w:rsidRPr="005A6B20" w:rsidRDefault="00B87F76" w:rsidP="00A54870">
            <w:pPr>
              <w:jc w:val="center"/>
              <w:rPr>
                <w:rFonts w:ascii="Times New Roman" w:hAnsi="Times New Roman" w:cs="Times New Roman"/>
                <w:sz w:val="22"/>
                <w:szCs w:val="22"/>
              </w:rPr>
            </w:pPr>
          </w:p>
        </w:tc>
        <w:tc>
          <w:tcPr>
            <w:tcW w:w="449" w:type="pct"/>
          </w:tcPr>
          <w:p w14:paraId="791F7996" w14:textId="136F3A4F" w:rsidR="00B87F76" w:rsidRPr="005A6B20" w:rsidRDefault="00B87F76" w:rsidP="00A54870">
            <w:pPr>
              <w:jc w:val="center"/>
              <w:rPr>
                <w:rFonts w:ascii="Times New Roman" w:hAnsi="Times New Roman" w:cs="Times New Roman"/>
                <w:sz w:val="22"/>
                <w:szCs w:val="22"/>
              </w:rPr>
            </w:pPr>
          </w:p>
        </w:tc>
        <w:tc>
          <w:tcPr>
            <w:tcW w:w="642" w:type="pct"/>
          </w:tcPr>
          <w:p w14:paraId="47887B15" w14:textId="2D1C9A3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27.7</w:t>
            </w:r>
          </w:p>
        </w:tc>
        <w:tc>
          <w:tcPr>
            <w:tcW w:w="613" w:type="pct"/>
          </w:tcPr>
          <w:p w14:paraId="59E6BDC1" w14:textId="3D557F62"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50.3</w:t>
            </w:r>
          </w:p>
        </w:tc>
        <w:tc>
          <w:tcPr>
            <w:tcW w:w="592" w:type="pct"/>
          </w:tcPr>
          <w:p w14:paraId="040A68E3" w14:textId="1404A40D"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12.3</w:t>
            </w:r>
          </w:p>
        </w:tc>
      </w:tr>
      <w:tr w:rsidR="00D52CDB" w:rsidRPr="005A6B20" w14:paraId="5007AF4F" w14:textId="77777777" w:rsidTr="00D52CDB">
        <w:tc>
          <w:tcPr>
            <w:tcW w:w="1251" w:type="pct"/>
          </w:tcPr>
          <w:p w14:paraId="5DB44D4F" w14:textId="65DD78F8"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2</w:t>
            </w:r>
            <w:r w:rsidRPr="005A6B20">
              <w:rPr>
                <w:rFonts w:ascii="Times New Roman" w:hAnsi="Times New Roman" w:cs="Times New Roman"/>
                <w:sz w:val="22"/>
                <w:szCs w:val="22"/>
                <w:vertAlign w:val="superscript"/>
              </w:rPr>
              <w:t xml:space="preserve">nd </w:t>
            </w:r>
            <w:r w:rsidRPr="005A6B20">
              <w:rPr>
                <w:rFonts w:ascii="Times New Roman" w:hAnsi="Times New Roman" w:cs="Times New Roman"/>
                <w:sz w:val="22"/>
                <w:szCs w:val="22"/>
              </w:rPr>
              <w:t>tier city districts</w:t>
            </w:r>
          </w:p>
        </w:tc>
        <w:tc>
          <w:tcPr>
            <w:tcW w:w="757" w:type="pct"/>
          </w:tcPr>
          <w:p w14:paraId="6906A5F1" w14:textId="11164B36"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53.8</w:t>
            </w:r>
          </w:p>
        </w:tc>
        <w:tc>
          <w:tcPr>
            <w:tcW w:w="696" w:type="pct"/>
          </w:tcPr>
          <w:p w14:paraId="3F18EB03" w14:textId="1F500AD8"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18.2</w:t>
            </w:r>
          </w:p>
        </w:tc>
        <w:tc>
          <w:tcPr>
            <w:tcW w:w="449" w:type="pct"/>
          </w:tcPr>
          <w:p w14:paraId="39FCB179" w14:textId="5CBCCB19"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20.3</w:t>
            </w:r>
          </w:p>
        </w:tc>
        <w:tc>
          <w:tcPr>
            <w:tcW w:w="642" w:type="pct"/>
          </w:tcPr>
          <w:p w14:paraId="2E315190" w14:textId="51C854A0"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38.3</w:t>
            </w:r>
          </w:p>
        </w:tc>
        <w:tc>
          <w:tcPr>
            <w:tcW w:w="613" w:type="pct"/>
          </w:tcPr>
          <w:p w14:paraId="3512DCA7" w14:textId="0D63501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32.4</w:t>
            </w:r>
          </w:p>
        </w:tc>
        <w:tc>
          <w:tcPr>
            <w:tcW w:w="592" w:type="pct"/>
          </w:tcPr>
          <w:p w14:paraId="2FA7B641" w14:textId="36049DFC"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14.9</w:t>
            </w:r>
          </w:p>
        </w:tc>
      </w:tr>
      <w:tr w:rsidR="00D52CDB" w:rsidRPr="005A6B20" w14:paraId="179026F5" w14:textId="77777777" w:rsidTr="00D52CDB">
        <w:tc>
          <w:tcPr>
            <w:tcW w:w="1251" w:type="pct"/>
          </w:tcPr>
          <w:p w14:paraId="51DD3F6B" w14:textId="39381F71"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3</w:t>
            </w:r>
            <w:r w:rsidRPr="005A6B20">
              <w:rPr>
                <w:rFonts w:ascii="Times New Roman" w:hAnsi="Times New Roman" w:cs="Times New Roman"/>
                <w:sz w:val="22"/>
                <w:szCs w:val="22"/>
                <w:vertAlign w:val="superscript"/>
              </w:rPr>
              <w:t xml:space="preserve">rd </w:t>
            </w:r>
            <w:r w:rsidRPr="005A6B20">
              <w:rPr>
                <w:rFonts w:ascii="Times New Roman" w:hAnsi="Times New Roman" w:cs="Times New Roman"/>
                <w:sz w:val="22"/>
                <w:szCs w:val="22"/>
              </w:rPr>
              <w:t>tier city districts</w:t>
            </w:r>
          </w:p>
        </w:tc>
        <w:tc>
          <w:tcPr>
            <w:tcW w:w="757" w:type="pct"/>
          </w:tcPr>
          <w:p w14:paraId="2FD6BDEB" w14:textId="6A2D8A49"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58.2</w:t>
            </w:r>
          </w:p>
        </w:tc>
        <w:tc>
          <w:tcPr>
            <w:tcW w:w="696" w:type="pct"/>
          </w:tcPr>
          <w:p w14:paraId="5C40B63D" w14:textId="701F0622"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11.2</w:t>
            </w:r>
          </w:p>
        </w:tc>
        <w:tc>
          <w:tcPr>
            <w:tcW w:w="449" w:type="pct"/>
          </w:tcPr>
          <w:p w14:paraId="399C2225" w14:textId="713B2A9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19.1</w:t>
            </w:r>
          </w:p>
        </w:tc>
        <w:tc>
          <w:tcPr>
            <w:tcW w:w="642" w:type="pct"/>
          </w:tcPr>
          <w:p w14:paraId="35D6B311" w14:textId="05DE57A6"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50.1</w:t>
            </w:r>
          </w:p>
        </w:tc>
        <w:tc>
          <w:tcPr>
            <w:tcW w:w="613" w:type="pct"/>
          </w:tcPr>
          <w:p w14:paraId="08A073E9" w14:textId="3DD53EF7"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21.1</w:t>
            </w:r>
          </w:p>
        </w:tc>
        <w:tc>
          <w:tcPr>
            <w:tcW w:w="592" w:type="pct"/>
          </w:tcPr>
          <w:p w14:paraId="0E8B783B" w14:textId="38DD6465"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18.8</w:t>
            </w:r>
          </w:p>
        </w:tc>
      </w:tr>
      <w:tr w:rsidR="00D52CDB" w:rsidRPr="005A6B20" w14:paraId="5ABECA0A" w14:textId="77777777" w:rsidTr="00D52CDB">
        <w:tc>
          <w:tcPr>
            <w:tcW w:w="1251" w:type="pct"/>
          </w:tcPr>
          <w:p w14:paraId="10334F56" w14:textId="7E8FC724"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Non-city districts</w:t>
            </w:r>
          </w:p>
        </w:tc>
        <w:tc>
          <w:tcPr>
            <w:tcW w:w="757" w:type="pct"/>
          </w:tcPr>
          <w:p w14:paraId="1B7750EA" w14:textId="2061484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62.6</w:t>
            </w:r>
          </w:p>
        </w:tc>
        <w:tc>
          <w:tcPr>
            <w:tcW w:w="696" w:type="pct"/>
          </w:tcPr>
          <w:p w14:paraId="4B67DD1A" w14:textId="75E7AFAE"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8.2</w:t>
            </w:r>
          </w:p>
        </w:tc>
        <w:tc>
          <w:tcPr>
            <w:tcW w:w="449" w:type="pct"/>
          </w:tcPr>
          <w:p w14:paraId="6A99FBD8" w14:textId="544B97F4"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19.0</w:t>
            </w:r>
          </w:p>
        </w:tc>
        <w:tc>
          <w:tcPr>
            <w:tcW w:w="642" w:type="pct"/>
          </w:tcPr>
          <w:p w14:paraId="305F7FA9" w14:textId="73113B49"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61.5</w:t>
            </w:r>
          </w:p>
        </w:tc>
        <w:tc>
          <w:tcPr>
            <w:tcW w:w="613" w:type="pct"/>
          </w:tcPr>
          <w:p w14:paraId="5AB14957" w14:textId="771C62F1"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13.9</w:t>
            </w:r>
          </w:p>
        </w:tc>
        <w:tc>
          <w:tcPr>
            <w:tcW w:w="592" w:type="pct"/>
          </w:tcPr>
          <w:p w14:paraId="5E576B5D" w14:textId="170CA878"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17.9</w:t>
            </w:r>
          </w:p>
        </w:tc>
      </w:tr>
      <w:tr w:rsidR="00D52CDB" w:rsidRPr="005A6B20" w14:paraId="4FB22B08" w14:textId="77777777" w:rsidTr="00D52CDB">
        <w:trPr>
          <w:trHeight w:val="324"/>
        </w:trPr>
        <w:tc>
          <w:tcPr>
            <w:tcW w:w="1251" w:type="pct"/>
          </w:tcPr>
          <w:p w14:paraId="6459DA1E" w14:textId="6CD7B440" w:rsidR="00B87F76" w:rsidRPr="005A6B20" w:rsidRDefault="00C05252" w:rsidP="00656517">
            <w:pPr>
              <w:rPr>
                <w:rFonts w:ascii="Times New Roman" w:hAnsi="Times New Roman" w:cs="Times New Roman"/>
                <w:sz w:val="22"/>
                <w:szCs w:val="22"/>
              </w:rPr>
            </w:pPr>
            <w:r w:rsidRPr="005A6B20">
              <w:rPr>
                <w:rFonts w:ascii="Times New Roman" w:hAnsi="Times New Roman" w:cs="Times New Roman"/>
                <w:sz w:val="22"/>
                <w:szCs w:val="22"/>
              </w:rPr>
              <w:t>Regional t</w:t>
            </w:r>
            <w:r w:rsidR="00B87F76" w:rsidRPr="005A6B20">
              <w:rPr>
                <w:rFonts w:ascii="Times New Roman" w:hAnsi="Times New Roman" w:cs="Times New Roman"/>
                <w:sz w:val="22"/>
                <w:szCs w:val="22"/>
              </w:rPr>
              <w:t>otal</w:t>
            </w:r>
          </w:p>
        </w:tc>
        <w:tc>
          <w:tcPr>
            <w:tcW w:w="757" w:type="pct"/>
          </w:tcPr>
          <w:p w14:paraId="66118DBC" w14:textId="06851AE6"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60.9</w:t>
            </w:r>
          </w:p>
        </w:tc>
        <w:tc>
          <w:tcPr>
            <w:tcW w:w="696" w:type="pct"/>
          </w:tcPr>
          <w:p w14:paraId="4A774129" w14:textId="3B65AB31"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9.7</w:t>
            </w:r>
          </w:p>
        </w:tc>
        <w:tc>
          <w:tcPr>
            <w:tcW w:w="449" w:type="pct"/>
          </w:tcPr>
          <w:p w14:paraId="5C0B8FE5" w14:textId="46655523"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19.1</w:t>
            </w:r>
          </w:p>
        </w:tc>
        <w:tc>
          <w:tcPr>
            <w:tcW w:w="642" w:type="pct"/>
          </w:tcPr>
          <w:p w14:paraId="429C2167" w14:textId="387FED7E"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55.3</w:t>
            </w:r>
          </w:p>
        </w:tc>
        <w:tc>
          <w:tcPr>
            <w:tcW w:w="613" w:type="pct"/>
          </w:tcPr>
          <w:p w14:paraId="7ABA44C1" w14:textId="4A36BAF8"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18.4</w:t>
            </w:r>
          </w:p>
        </w:tc>
        <w:tc>
          <w:tcPr>
            <w:tcW w:w="592" w:type="pct"/>
          </w:tcPr>
          <w:p w14:paraId="56ECA63C" w14:textId="30AF9ABB"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18.0</w:t>
            </w:r>
          </w:p>
        </w:tc>
      </w:tr>
      <w:tr w:rsidR="00D52CDB" w:rsidRPr="005A6B20" w14:paraId="07CB3333" w14:textId="77777777" w:rsidTr="00D52CDB">
        <w:trPr>
          <w:trHeight w:val="216"/>
        </w:trPr>
        <w:tc>
          <w:tcPr>
            <w:tcW w:w="1251" w:type="pct"/>
          </w:tcPr>
          <w:p w14:paraId="2D8CDB85" w14:textId="1977E30D" w:rsidR="00B7769F" w:rsidRPr="00B7769F" w:rsidRDefault="00B7769F" w:rsidP="00656517">
            <w:pPr>
              <w:rPr>
                <w:rFonts w:ascii="Times New Roman" w:hAnsi="Times New Roman" w:cs="Times New Roman"/>
                <w:i/>
                <w:sz w:val="22"/>
                <w:szCs w:val="22"/>
              </w:rPr>
            </w:pPr>
            <w:r w:rsidRPr="00B7769F">
              <w:rPr>
                <w:rFonts w:ascii="Times New Roman" w:hAnsi="Times New Roman" w:cs="Times New Roman"/>
                <w:i/>
                <w:sz w:val="22"/>
                <w:szCs w:val="22"/>
              </w:rPr>
              <w:t>Census 2010</w:t>
            </w:r>
          </w:p>
        </w:tc>
        <w:tc>
          <w:tcPr>
            <w:tcW w:w="757" w:type="pct"/>
          </w:tcPr>
          <w:p w14:paraId="0FCE43AD" w14:textId="77777777" w:rsidR="00B7769F" w:rsidRPr="005A6B20" w:rsidRDefault="00B7769F" w:rsidP="00A54870">
            <w:pPr>
              <w:jc w:val="center"/>
              <w:rPr>
                <w:rFonts w:ascii="Times New Roman" w:hAnsi="Times New Roman" w:cs="Times New Roman"/>
              </w:rPr>
            </w:pPr>
          </w:p>
        </w:tc>
        <w:tc>
          <w:tcPr>
            <w:tcW w:w="696" w:type="pct"/>
          </w:tcPr>
          <w:p w14:paraId="77070CD3" w14:textId="77777777" w:rsidR="00B7769F" w:rsidRPr="005A6B20" w:rsidRDefault="00B7769F" w:rsidP="00A54870">
            <w:pPr>
              <w:jc w:val="center"/>
              <w:rPr>
                <w:rFonts w:ascii="Times New Roman" w:hAnsi="Times New Roman" w:cs="Times New Roman"/>
              </w:rPr>
            </w:pPr>
          </w:p>
        </w:tc>
        <w:tc>
          <w:tcPr>
            <w:tcW w:w="449" w:type="pct"/>
          </w:tcPr>
          <w:p w14:paraId="6483F7B5" w14:textId="77777777" w:rsidR="00B7769F" w:rsidRPr="005A6B20" w:rsidRDefault="00B7769F" w:rsidP="00A54870">
            <w:pPr>
              <w:jc w:val="center"/>
              <w:rPr>
                <w:rFonts w:ascii="Times New Roman" w:hAnsi="Times New Roman" w:cs="Times New Roman"/>
              </w:rPr>
            </w:pPr>
          </w:p>
        </w:tc>
        <w:tc>
          <w:tcPr>
            <w:tcW w:w="642" w:type="pct"/>
            <w:vAlign w:val="bottom"/>
          </w:tcPr>
          <w:p w14:paraId="35C2BABD" w14:textId="77777777" w:rsidR="00B7769F" w:rsidRPr="005A6B20" w:rsidRDefault="00B7769F" w:rsidP="00A54870">
            <w:pPr>
              <w:jc w:val="center"/>
              <w:rPr>
                <w:rFonts w:ascii="Times New Roman" w:hAnsi="Times New Roman" w:cs="Times New Roman"/>
              </w:rPr>
            </w:pPr>
          </w:p>
        </w:tc>
        <w:tc>
          <w:tcPr>
            <w:tcW w:w="613" w:type="pct"/>
            <w:vAlign w:val="bottom"/>
          </w:tcPr>
          <w:p w14:paraId="0A82B24A" w14:textId="77777777" w:rsidR="00B7769F" w:rsidRPr="005A6B20" w:rsidRDefault="00B7769F" w:rsidP="00A54870">
            <w:pPr>
              <w:jc w:val="center"/>
              <w:rPr>
                <w:rFonts w:ascii="Times New Roman" w:hAnsi="Times New Roman" w:cs="Times New Roman"/>
              </w:rPr>
            </w:pPr>
          </w:p>
        </w:tc>
        <w:tc>
          <w:tcPr>
            <w:tcW w:w="592" w:type="pct"/>
            <w:vAlign w:val="bottom"/>
          </w:tcPr>
          <w:p w14:paraId="52FE7B40" w14:textId="77777777" w:rsidR="00B7769F" w:rsidRPr="005A6B20" w:rsidRDefault="00B7769F" w:rsidP="00A54870">
            <w:pPr>
              <w:jc w:val="center"/>
              <w:rPr>
                <w:rFonts w:ascii="Times New Roman" w:hAnsi="Times New Roman" w:cs="Times New Roman"/>
              </w:rPr>
            </w:pPr>
          </w:p>
        </w:tc>
      </w:tr>
      <w:tr w:rsidR="00D52CDB" w:rsidRPr="005A6B20" w14:paraId="1A0E53D8" w14:textId="77777777" w:rsidTr="00D52CDB">
        <w:trPr>
          <w:trHeight w:val="216"/>
        </w:trPr>
        <w:tc>
          <w:tcPr>
            <w:tcW w:w="1251" w:type="pct"/>
          </w:tcPr>
          <w:p w14:paraId="28DEDE63"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Big city districts</w:t>
            </w:r>
          </w:p>
        </w:tc>
        <w:tc>
          <w:tcPr>
            <w:tcW w:w="757" w:type="pct"/>
          </w:tcPr>
          <w:p w14:paraId="09063BCF" w14:textId="2E2E5A50" w:rsidR="005B0F2B" w:rsidRPr="005A6B20" w:rsidRDefault="005B0F2B" w:rsidP="00A54870">
            <w:pPr>
              <w:jc w:val="center"/>
              <w:rPr>
                <w:rFonts w:ascii="Times New Roman" w:hAnsi="Times New Roman" w:cs="Times New Roman"/>
                <w:sz w:val="22"/>
                <w:szCs w:val="22"/>
              </w:rPr>
            </w:pPr>
          </w:p>
        </w:tc>
        <w:tc>
          <w:tcPr>
            <w:tcW w:w="696" w:type="pct"/>
          </w:tcPr>
          <w:p w14:paraId="4F311E62" w14:textId="1E6BF1F7" w:rsidR="005B0F2B" w:rsidRPr="005A6B20" w:rsidRDefault="005B0F2B" w:rsidP="00A54870">
            <w:pPr>
              <w:jc w:val="center"/>
              <w:rPr>
                <w:rFonts w:ascii="Times New Roman" w:hAnsi="Times New Roman" w:cs="Times New Roman"/>
                <w:sz w:val="22"/>
                <w:szCs w:val="22"/>
              </w:rPr>
            </w:pPr>
          </w:p>
        </w:tc>
        <w:tc>
          <w:tcPr>
            <w:tcW w:w="449" w:type="pct"/>
          </w:tcPr>
          <w:p w14:paraId="2A67798F" w14:textId="104411CF" w:rsidR="005B0F2B" w:rsidRPr="005A6B20" w:rsidRDefault="005B0F2B" w:rsidP="00A54870">
            <w:pPr>
              <w:jc w:val="center"/>
              <w:rPr>
                <w:rFonts w:ascii="Times New Roman" w:hAnsi="Times New Roman" w:cs="Times New Roman"/>
                <w:sz w:val="22"/>
                <w:szCs w:val="22"/>
              </w:rPr>
            </w:pPr>
          </w:p>
        </w:tc>
        <w:tc>
          <w:tcPr>
            <w:tcW w:w="642" w:type="pct"/>
            <w:vAlign w:val="bottom"/>
          </w:tcPr>
          <w:p w14:paraId="5EAF2243" w14:textId="4B4E3187"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9.0</w:t>
            </w:r>
          </w:p>
        </w:tc>
        <w:tc>
          <w:tcPr>
            <w:tcW w:w="613" w:type="pct"/>
            <w:vAlign w:val="bottom"/>
          </w:tcPr>
          <w:p w14:paraId="7FC250D5" w14:textId="11CEEE40"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74.1</w:t>
            </w:r>
          </w:p>
        </w:tc>
        <w:tc>
          <w:tcPr>
            <w:tcW w:w="592" w:type="pct"/>
            <w:vAlign w:val="bottom"/>
          </w:tcPr>
          <w:p w14:paraId="5CA3FC2E" w14:textId="4A96B76F"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6.6</w:t>
            </w:r>
          </w:p>
        </w:tc>
      </w:tr>
      <w:tr w:rsidR="00D52CDB" w:rsidRPr="005A6B20" w14:paraId="2AF2EE08" w14:textId="77777777" w:rsidTr="00D52CDB">
        <w:trPr>
          <w:trHeight w:val="270"/>
        </w:trPr>
        <w:tc>
          <w:tcPr>
            <w:tcW w:w="1251" w:type="pct"/>
          </w:tcPr>
          <w:p w14:paraId="32B344DC"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2nd tier city districts</w:t>
            </w:r>
          </w:p>
        </w:tc>
        <w:tc>
          <w:tcPr>
            <w:tcW w:w="757" w:type="pct"/>
            <w:vAlign w:val="bottom"/>
          </w:tcPr>
          <w:p w14:paraId="22657906" w14:textId="1308014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37.7</w:t>
            </w:r>
          </w:p>
        </w:tc>
        <w:tc>
          <w:tcPr>
            <w:tcW w:w="696" w:type="pct"/>
            <w:vAlign w:val="bottom"/>
          </w:tcPr>
          <w:p w14:paraId="29E0B180" w14:textId="3525E679"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34.9</w:t>
            </w:r>
          </w:p>
        </w:tc>
        <w:tc>
          <w:tcPr>
            <w:tcW w:w="449" w:type="pct"/>
            <w:vAlign w:val="bottom"/>
          </w:tcPr>
          <w:p w14:paraId="2C063891" w14:textId="0A07761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20.4</w:t>
            </w:r>
          </w:p>
        </w:tc>
        <w:tc>
          <w:tcPr>
            <w:tcW w:w="642" w:type="pct"/>
            <w:vAlign w:val="bottom"/>
          </w:tcPr>
          <w:p w14:paraId="05B4EDF1" w14:textId="5B4A2ACB"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14.9</w:t>
            </w:r>
          </w:p>
        </w:tc>
        <w:tc>
          <w:tcPr>
            <w:tcW w:w="613" w:type="pct"/>
            <w:vAlign w:val="bottom"/>
          </w:tcPr>
          <w:p w14:paraId="0918F32C" w14:textId="475890CD"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59.7</w:t>
            </w:r>
          </w:p>
        </w:tc>
        <w:tc>
          <w:tcPr>
            <w:tcW w:w="592" w:type="pct"/>
            <w:vAlign w:val="bottom"/>
          </w:tcPr>
          <w:p w14:paraId="1D359071" w14:textId="2BB7E742"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10.2</w:t>
            </w:r>
          </w:p>
        </w:tc>
      </w:tr>
      <w:tr w:rsidR="00D52CDB" w:rsidRPr="005A6B20" w14:paraId="64ECA7BC" w14:textId="77777777" w:rsidTr="00D52CDB">
        <w:trPr>
          <w:trHeight w:val="261"/>
        </w:trPr>
        <w:tc>
          <w:tcPr>
            <w:tcW w:w="1251" w:type="pct"/>
          </w:tcPr>
          <w:p w14:paraId="44A27E79"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3rd tier city districts</w:t>
            </w:r>
          </w:p>
        </w:tc>
        <w:tc>
          <w:tcPr>
            <w:tcW w:w="757" w:type="pct"/>
            <w:vAlign w:val="bottom"/>
          </w:tcPr>
          <w:p w14:paraId="28DAD26F" w14:textId="492FA033"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63.7</w:t>
            </w:r>
          </w:p>
        </w:tc>
        <w:tc>
          <w:tcPr>
            <w:tcW w:w="696" w:type="pct"/>
            <w:vAlign w:val="bottom"/>
          </w:tcPr>
          <w:p w14:paraId="6DC7A412" w14:textId="43219A7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14.5</w:t>
            </w:r>
          </w:p>
        </w:tc>
        <w:tc>
          <w:tcPr>
            <w:tcW w:w="449" w:type="pct"/>
            <w:vAlign w:val="bottom"/>
          </w:tcPr>
          <w:p w14:paraId="1EEE25C6" w14:textId="7B2FD48B"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17.8</w:t>
            </w:r>
          </w:p>
        </w:tc>
        <w:tc>
          <w:tcPr>
            <w:tcW w:w="642" w:type="pct"/>
            <w:vAlign w:val="bottom"/>
          </w:tcPr>
          <w:p w14:paraId="312BF1AD" w14:textId="74F9C85C"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39.4</w:t>
            </w:r>
          </w:p>
        </w:tc>
        <w:tc>
          <w:tcPr>
            <w:tcW w:w="613" w:type="pct"/>
            <w:vAlign w:val="bottom"/>
          </w:tcPr>
          <w:p w14:paraId="7DE33E07" w14:textId="2D8878F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34.1</w:t>
            </w:r>
          </w:p>
        </w:tc>
        <w:tc>
          <w:tcPr>
            <w:tcW w:w="592" w:type="pct"/>
            <w:vAlign w:val="bottom"/>
          </w:tcPr>
          <w:p w14:paraId="11CF9DFD" w14:textId="67958C32"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17.4</w:t>
            </w:r>
          </w:p>
        </w:tc>
      </w:tr>
      <w:tr w:rsidR="00D52CDB" w:rsidRPr="005A6B20" w14:paraId="1F36190D" w14:textId="77777777" w:rsidTr="00D52CDB">
        <w:trPr>
          <w:trHeight w:val="261"/>
        </w:trPr>
        <w:tc>
          <w:tcPr>
            <w:tcW w:w="1251" w:type="pct"/>
          </w:tcPr>
          <w:p w14:paraId="65EBB34F"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Non-city districts</w:t>
            </w:r>
          </w:p>
        </w:tc>
        <w:tc>
          <w:tcPr>
            <w:tcW w:w="757" w:type="pct"/>
            <w:vAlign w:val="bottom"/>
          </w:tcPr>
          <w:p w14:paraId="1E4AB9A3" w14:textId="6F304CA7"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67.5</w:t>
            </w:r>
          </w:p>
        </w:tc>
        <w:tc>
          <w:tcPr>
            <w:tcW w:w="696" w:type="pct"/>
            <w:vAlign w:val="bottom"/>
          </w:tcPr>
          <w:p w14:paraId="33C0772F" w14:textId="2AF9917D"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10.5</w:t>
            </w:r>
          </w:p>
        </w:tc>
        <w:tc>
          <w:tcPr>
            <w:tcW w:w="449" w:type="pct"/>
            <w:vAlign w:val="bottom"/>
          </w:tcPr>
          <w:p w14:paraId="79A91F29" w14:textId="434F34C3"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18.6</w:t>
            </w:r>
          </w:p>
        </w:tc>
        <w:tc>
          <w:tcPr>
            <w:tcW w:w="642" w:type="pct"/>
            <w:vAlign w:val="bottom"/>
          </w:tcPr>
          <w:p w14:paraId="681D66F9" w14:textId="50A7FA33"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53.4</w:t>
            </w:r>
          </w:p>
        </w:tc>
        <w:tc>
          <w:tcPr>
            <w:tcW w:w="613" w:type="pct"/>
            <w:vAlign w:val="bottom"/>
          </w:tcPr>
          <w:p w14:paraId="4B043AB2" w14:textId="57365CCE"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23.0</w:t>
            </w:r>
          </w:p>
        </w:tc>
        <w:tc>
          <w:tcPr>
            <w:tcW w:w="592" w:type="pct"/>
            <w:vAlign w:val="bottom"/>
          </w:tcPr>
          <w:p w14:paraId="7C4C8924" w14:textId="5B93225A"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17.0</w:t>
            </w:r>
          </w:p>
        </w:tc>
      </w:tr>
      <w:tr w:rsidR="00D52CDB" w:rsidRPr="005A6B20" w14:paraId="1C01F389" w14:textId="77777777" w:rsidTr="00D52CDB">
        <w:trPr>
          <w:trHeight w:val="198"/>
        </w:trPr>
        <w:tc>
          <w:tcPr>
            <w:tcW w:w="1251" w:type="pct"/>
          </w:tcPr>
          <w:p w14:paraId="796BBBA5" w14:textId="3699B688"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Regional total</w:t>
            </w:r>
          </w:p>
        </w:tc>
        <w:tc>
          <w:tcPr>
            <w:tcW w:w="757" w:type="pct"/>
            <w:vAlign w:val="bottom"/>
          </w:tcPr>
          <w:p w14:paraId="350AA46D" w14:textId="41FC3F1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64.7</w:t>
            </w:r>
          </w:p>
        </w:tc>
        <w:tc>
          <w:tcPr>
            <w:tcW w:w="696" w:type="pct"/>
            <w:vAlign w:val="bottom"/>
          </w:tcPr>
          <w:p w14:paraId="7452AA42" w14:textId="050D64B2"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13.0</w:t>
            </w:r>
          </w:p>
        </w:tc>
        <w:tc>
          <w:tcPr>
            <w:tcW w:w="449" w:type="pct"/>
            <w:vAlign w:val="bottom"/>
          </w:tcPr>
          <w:p w14:paraId="225A9CD1" w14:textId="6DDCC67F"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18.5</w:t>
            </w:r>
          </w:p>
        </w:tc>
        <w:tc>
          <w:tcPr>
            <w:tcW w:w="642" w:type="pct"/>
            <w:vAlign w:val="bottom"/>
          </w:tcPr>
          <w:p w14:paraId="093EB4B4" w14:textId="49B7DB11"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45.6</w:t>
            </w:r>
          </w:p>
        </w:tc>
        <w:tc>
          <w:tcPr>
            <w:tcW w:w="613" w:type="pct"/>
            <w:vAlign w:val="bottom"/>
          </w:tcPr>
          <w:p w14:paraId="45A70866" w14:textId="2D5BE86E"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29.7</w:t>
            </w:r>
          </w:p>
        </w:tc>
        <w:tc>
          <w:tcPr>
            <w:tcW w:w="592" w:type="pct"/>
            <w:vAlign w:val="bottom"/>
          </w:tcPr>
          <w:p w14:paraId="33FA14EF" w14:textId="39F081DA"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16.7</w:t>
            </w:r>
          </w:p>
        </w:tc>
      </w:tr>
      <w:tr w:rsidR="00D52CDB" w:rsidRPr="00656517" w14:paraId="34AC3BC3" w14:textId="77777777" w:rsidTr="00D52CDB">
        <w:trPr>
          <w:trHeight w:val="234"/>
        </w:trPr>
        <w:tc>
          <w:tcPr>
            <w:tcW w:w="1251" w:type="pct"/>
          </w:tcPr>
          <w:p w14:paraId="3EC397EF" w14:textId="51567528" w:rsidR="00656517" w:rsidRPr="00656517" w:rsidRDefault="00656517" w:rsidP="00656517">
            <w:pPr>
              <w:rPr>
                <w:rFonts w:ascii="Times New Roman" w:hAnsi="Times New Roman" w:cs="Times New Roman"/>
                <w:i/>
                <w:sz w:val="22"/>
                <w:szCs w:val="22"/>
              </w:rPr>
            </w:pPr>
            <w:r w:rsidRPr="00656517">
              <w:rPr>
                <w:rFonts w:ascii="Times New Roman" w:hAnsi="Times New Roman" w:cs="Times New Roman"/>
                <w:i/>
                <w:sz w:val="22"/>
                <w:szCs w:val="22"/>
              </w:rPr>
              <w:t>Difference in 2000-10</w:t>
            </w:r>
          </w:p>
        </w:tc>
        <w:tc>
          <w:tcPr>
            <w:tcW w:w="757" w:type="pct"/>
          </w:tcPr>
          <w:p w14:paraId="70A87D32" w14:textId="77777777" w:rsidR="00656517" w:rsidRPr="00656517" w:rsidRDefault="00656517" w:rsidP="00EF7FD9">
            <w:pPr>
              <w:jc w:val="both"/>
              <w:rPr>
                <w:rFonts w:ascii="Times New Roman" w:hAnsi="Times New Roman" w:cs="Times New Roman"/>
                <w:sz w:val="22"/>
                <w:szCs w:val="22"/>
              </w:rPr>
            </w:pPr>
          </w:p>
        </w:tc>
        <w:tc>
          <w:tcPr>
            <w:tcW w:w="696" w:type="pct"/>
          </w:tcPr>
          <w:p w14:paraId="0AD7CB0C" w14:textId="77777777" w:rsidR="00656517" w:rsidRPr="00656517" w:rsidRDefault="00656517" w:rsidP="00EF7FD9">
            <w:pPr>
              <w:jc w:val="both"/>
              <w:rPr>
                <w:rFonts w:ascii="Times New Roman" w:hAnsi="Times New Roman" w:cs="Times New Roman"/>
                <w:sz w:val="22"/>
                <w:szCs w:val="22"/>
              </w:rPr>
            </w:pPr>
          </w:p>
        </w:tc>
        <w:tc>
          <w:tcPr>
            <w:tcW w:w="449" w:type="pct"/>
          </w:tcPr>
          <w:p w14:paraId="139543C9" w14:textId="77777777" w:rsidR="00656517" w:rsidRPr="00656517" w:rsidRDefault="00656517" w:rsidP="00EF7FD9">
            <w:pPr>
              <w:jc w:val="both"/>
              <w:rPr>
                <w:rFonts w:ascii="Times New Roman" w:hAnsi="Times New Roman" w:cs="Times New Roman"/>
                <w:sz w:val="22"/>
                <w:szCs w:val="22"/>
              </w:rPr>
            </w:pPr>
          </w:p>
        </w:tc>
        <w:tc>
          <w:tcPr>
            <w:tcW w:w="642" w:type="pct"/>
            <w:vAlign w:val="bottom"/>
          </w:tcPr>
          <w:p w14:paraId="605620E0" w14:textId="77777777" w:rsidR="00656517" w:rsidRPr="00656517" w:rsidRDefault="00656517" w:rsidP="005A6B20">
            <w:pPr>
              <w:jc w:val="center"/>
              <w:rPr>
                <w:rFonts w:ascii="Times New Roman" w:hAnsi="Times New Roman" w:cs="Times New Roman"/>
                <w:sz w:val="22"/>
                <w:szCs w:val="22"/>
              </w:rPr>
            </w:pPr>
          </w:p>
        </w:tc>
        <w:tc>
          <w:tcPr>
            <w:tcW w:w="613" w:type="pct"/>
            <w:vAlign w:val="bottom"/>
          </w:tcPr>
          <w:p w14:paraId="63382DAE" w14:textId="77777777" w:rsidR="00656517" w:rsidRPr="00656517" w:rsidRDefault="00656517" w:rsidP="005A6B20">
            <w:pPr>
              <w:jc w:val="center"/>
              <w:rPr>
                <w:rFonts w:ascii="Times New Roman" w:hAnsi="Times New Roman" w:cs="Times New Roman"/>
                <w:sz w:val="22"/>
                <w:szCs w:val="22"/>
              </w:rPr>
            </w:pPr>
          </w:p>
        </w:tc>
        <w:tc>
          <w:tcPr>
            <w:tcW w:w="592" w:type="pct"/>
            <w:vAlign w:val="bottom"/>
          </w:tcPr>
          <w:p w14:paraId="7D3D5329" w14:textId="77777777" w:rsidR="00656517" w:rsidRPr="00656517" w:rsidRDefault="00656517" w:rsidP="005A6B20">
            <w:pPr>
              <w:jc w:val="center"/>
              <w:rPr>
                <w:rFonts w:ascii="Times New Roman" w:hAnsi="Times New Roman" w:cs="Times New Roman"/>
                <w:sz w:val="22"/>
                <w:szCs w:val="22"/>
              </w:rPr>
            </w:pPr>
          </w:p>
        </w:tc>
      </w:tr>
      <w:tr w:rsidR="00D52CDB" w:rsidRPr="00CD704D" w14:paraId="648BC671" w14:textId="77777777" w:rsidTr="00D52CDB">
        <w:trPr>
          <w:trHeight w:val="234"/>
        </w:trPr>
        <w:tc>
          <w:tcPr>
            <w:tcW w:w="1251" w:type="pct"/>
          </w:tcPr>
          <w:p w14:paraId="692A1219" w14:textId="77777777" w:rsidR="00212D38" w:rsidRPr="005A6B20" w:rsidRDefault="00212D38" w:rsidP="00656517">
            <w:pPr>
              <w:rPr>
                <w:rFonts w:ascii="Times New Roman" w:hAnsi="Times New Roman" w:cs="Times New Roman"/>
                <w:sz w:val="22"/>
                <w:szCs w:val="22"/>
              </w:rPr>
            </w:pPr>
            <w:r w:rsidRPr="005A6B20">
              <w:rPr>
                <w:rFonts w:ascii="Times New Roman" w:hAnsi="Times New Roman" w:cs="Times New Roman"/>
                <w:sz w:val="22"/>
                <w:szCs w:val="22"/>
              </w:rPr>
              <w:t>Big city districts</w:t>
            </w:r>
          </w:p>
        </w:tc>
        <w:tc>
          <w:tcPr>
            <w:tcW w:w="757" w:type="pct"/>
          </w:tcPr>
          <w:p w14:paraId="0E053C7A" w14:textId="5AB26362" w:rsidR="00212D38" w:rsidRPr="005A6B20" w:rsidRDefault="00212D38" w:rsidP="00EF7FD9">
            <w:pPr>
              <w:jc w:val="both"/>
              <w:rPr>
                <w:rFonts w:ascii="Times New Roman" w:hAnsi="Times New Roman" w:cs="Times New Roman"/>
                <w:sz w:val="22"/>
                <w:szCs w:val="22"/>
              </w:rPr>
            </w:pPr>
          </w:p>
        </w:tc>
        <w:tc>
          <w:tcPr>
            <w:tcW w:w="696" w:type="pct"/>
          </w:tcPr>
          <w:p w14:paraId="79EDBD4E" w14:textId="089B829E" w:rsidR="00212D38" w:rsidRPr="005A6B20" w:rsidRDefault="00212D38" w:rsidP="00EF7FD9">
            <w:pPr>
              <w:jc w:val="both"/>
              <w:rPr>
                <w:rFonts w:ascii="Times New Roman" w:hAnsi="Times New Roman" w:cs="Times New Roman"/>
                <w:sz w:val="22"/>
                <w:szCs w:val="22"/>
              </w:rPr>
            </w:pPr>
          </w:p>
        </w:tc>
        <w:tc>
          <w:tcPr>
            <w:tcW w:w="449" w:type="pct"/>
          </w:tcPr>
          <w:p w14:paraId="308440E3" w14:textId="50EE9CF9" w:rsidR="00212D38" w:rsidRPr="005A6B20" w:rsidRDefault="00212D38" w:rsidP="00EF7FD9">
            <w:pPr>
              <w:jc w:val="both"/>
              <w:rPr>
                <w:rFonts w:ascii="Times New Roman" w:hAnsi="Times New Roman" w:cs="Times New Roman"/>
                <w:sz w:val="22"/>
                <w:szCs w:val="22"/>
              </w:rPr>
            </w:pPr>
          </w:p>
        </w:tc>
        <w:tc>
          <w:tcPr>
            <w:tcW w:w="642" w:type="pct"/>
            <w:vAlign w:val="bottom"/>
          </w:tcPr>
          <w:p w14:paraId="5CBA1F80" w14:textId="6D08D16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-18.7</w:t>
            </w:r>
          </w:p>
        </w:tc>
        <w:tc>
          <w:tcPr>
            <w:tcW w:w="613" w:type="pct"/>
            <w:vAlign w:val="bottom"/>
          </w:tcPr>
          <w:p w14:paraId="6B5765F0" w14:textId="06571BB1"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23.8</w:t>
            </w:r>
          </w:p>
        </w:tc>
        <w:tc>
          <w:tcPr>
            <w:tcW w:w="592" w:type="pct"/>
            <w:vAlign w:val="bottom"/>
          </w:tcPr>
          <w:p w14:paraId="12EE8C5F" w14:textId="56CE07BA"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-5.8</w:t>
            </w:r>
          </w:p>
        </w:tc>
      </w:tr>
      <w:tr w:rsidR="00D52CDB" w:rsidRPr="00CD704D" w14:paraId="212E1980" w14:textId="77777777" w:rsidTr="00D52CDB">
        <w:trPr>
          <w:trHeight w:val="216"/>
        </w:trPr>
        <w:tc>
          <w:tcPr>
            <w:tcW w:w="1251" w:type="pct"/>
          </w:tcPr>
          <w:p w14:paraId="6148C427" w14:textId="77777777" w:rsidR="007D6A7E" w:rsidRPr="005A6B20" w:rsidRDefault="007D6A7E" w:rsidP="00656517">
            <w:pPr>
              <w:rPr>
                <w:rFonts w:ascii="Times New Roman" w:hAnsi="Times New Roman" w:cs="Times New Roman"/>
                <w:sz w:val="22"/>
                <w:szCs w:val="22"/>
              </w:rPr>
            </w:pPr>
            <w:r w:rsidRPr="005A6B20">
              <w:rPr>
                <w:rFonts w:ascii="Times New Roman" w:hAnsi="Times New Roman" w:cs="Times New Roman"/>
                <w:sz w:val="22"/>
                <w:szCs w:val="22"/>
              </w:rPr>
              <w:t>2nd tier city districts</w:t>
            </w:r>
          </w:p>
        </w:tc>
        <w:tc>
          <w:tcPr>
            <w:tcW w:w="757" w:type="pct"/>
            <w:vAlign w:val="bottom"/>
          </w:tcPr>
          <w:p w14:paraId="3F99E39C" w14:textId="390B4DC7"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-16.1</w:t>
            </w:r>
          </w:p>
        </w:tc>
        <w:tc>
          <w:tcPr>
            <w:tcW w:w="696" w:type="pct"/>
            <w:vAlign w:val="bottom"/>
          </w:tcPr>
          <w:p w14:paraId="0DBDB08A" w14:textId="01B391A8"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16.6</w:t>
            </w:r>
          </w:p>
        </w:tc>
        <w:tc>
          <w:tcPr>
            <w:tcW w:w="449" w:type="pct"/>
            <w:vAlign w:val="bottom"/>
          </w:tcPr>
          <w:p w14:paraId="412A61F1" w14:textId="60E77CA5"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0.0</w:t>
            </w:r>
          </w:p>
        </w:tc>
        <w:tc>
          <w:tcPr>
            <w:tcW w:w="642" w:type="pct"/>
            <w:vAlign w:val="bottom"/>
          </w:tcPr>
          <w:p w14:paraId="11FC4327" w14:textId="2BA5C300"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-23.4</w:t>
            </w:r>
          </w:p>
        </w:tc>
        <w:tc>
          <w:tcPr>
            <w:tcW w:w="613" w:type="pct"/>
            <w:vAlign w:val="bottom"/>
          </w:tcPr>
          <w:p w14:paraId="15A8F887" w14:textId="1136A78D"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27.4</w:t>
            </w:r>
          </w:p>
        </w:tc>
        <w:tc>
          <w:tcPr>
            <w:tcW w:w="592" w:type="pct"/>
            <w:vAlign w:val="bottom"/>
          </w:tcPr>
          <w:p w14:paraId="0E52FFDA" w14:textId="78C689D0"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-4.7</w:t>
            </w:r>
          </w:p>
        </w:tc>
      </w:tr>
      <w:tr w:rsidR="00D52CDB" w:rsidRPr="00CD704D" w14:paraId="49A24469" w14:textId="77777777" w:rsidTr="00D52CDB">
        <w:trPr>
          <w:trHeight w:val="126"/>
        </w:trPr>
        <w:tc>
          <w:tcPr>
            <w:tcW w:w="1251" w:type="pct"/>
          </w:tcPr>
          <w:p w14:paraId="00950C09" w14:textId="77777777" w:rsidR="00212D38" w:rsidRPr="005A6B20" w:rsidRDefault="00212D38" w:rsidP="00656517">
            <w:pPr>
              <w:rPr>
                <w:rFonts w:ascii="Times New Roman" w:hAnsi="Times New Roman" w:cs="Times New Roman"/>
                <w:sz w:val="22"/>
                <w:szCs w:val="22"/>
              </w:rPr>
            </w:pPr>
            <w:r w:rsidRPr="005A6B20">
              <w:rPr>
                <w:rFonts w:ascii="Times New Roman" w:hAnsi="Times New Roman" w:cs="Times New Roman"/>
                <w:sz w:val="22"/>
                <w:szCs w:val="22"/>
              </w:rPr>
              <w:t>3rd tier city districts</w:t>
            </w:r>
          </w:p>
        </w:tc>
        <w:tc>
          <w:tcPr>
            <w:tcW w:w="757" w:type="pct"/>
            <w:vAlign w:val="bottom"/>
          </w:tcPr>
          <w:p w14:paraId="70FB6226" w14:textId="73A1D63D"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5.5</w:t>
            </w:r>
          </w:p>
        </w:tc>
        <w:tc>
          <w:tcPr>
            <w:tcW w:w="696" w:type="pct"/>
            <w:vAlign w:val="bottom"/>
          </w:tcPr>
          <w:p w14:paraId="76F14470" w14:textId="22A4CEB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3.2</w:t>
            </w:r>
          </w:p>
        </w:tc>
        <w:tc>
          <w:tcPr>
            <w:tcW w:w="449" w:type="pct"/>
            <w:vAlign w:val="bottom"/>
          </w:tcPr>
          <w:p w14:paraId="20DB7300" w14:textId="279BBD6B"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-1.3</w:t>
            </w:r>
          </w:p>
        </w:tc>
        <w:tc>
          <w:tcPr>
            <w:tcW w:w="642" w:type="pct"/>
            <w:vAlign w:val="bottom"/>
          </w:tcPr>
          <w:p w14:paraId="1DD799A6" w14:textId="1CBE716A"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-10.7</w:t>
            </w:r>
          </w:p>
        </w:tc>
        <w:tc>
          <w:tcPr>
            <w:tcW w:w="613" w:type="pct"/>
            <w:vAlign w:val="bottom"/>
          </w:tcPr>
          <w:p w14:paraId="732E3631" w14:textId="5111A42F"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12.9</w:t>
            </w:r>
          </w:p>
        </w:tc>
        <w:tc>
          <w:tcPr>
            <w:tcW w:w="592" w:type="pct"/>
            <w:vAlign w:val="bottom"/>
          </w:tcPr>
          <w:p w14:paraId="4EE1DB2E" w14:textId="2CD46D27"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-1.4</w:t>
            </w:r>
          </w:p>
        </w:tc>
      </w:tr>
      <w:tr w:rsidR="00D52CDB" w:rsidRPr="00CD704D" w14:paraId="63B241AB" w14:textId="77777777" w:rsidTr="00D52CDB">
        <w:trPr>
          <w:trHeight w:val="207"/>
        </w:trPr>
        <w:tc>
          <w:tcPr>
            <w:tcW w:w="1251" w:type="pct"/>
          </w:tcPr>
          <w:p w14:paraId="71273BAB" w14:textId="77777777" w:rsidR="00212D38" w:rsidRPr="005A6B20" w:rsidRDefault="00212D38" w:rsidP="00656517">
            <w:pPr>
              <w:rPr>
                <w:rFonts w:ascii="Times New Roman" w:hAnsi="Times New Roman" w:cs="Times New Roman"/>
                <w:sz w:val="22"/>
                <w:szCs w:val="22"/>
              </w:rPr>
            </w:pPr>
            <w:r w:rsidRPr="005A6B20">
              <w:rPr>
                <w:rFonts w:ascii="Times New Roman" w:hAnsi="Times New Roman" w:cs="Times New Roman"/>
                <w:sz w:val="22"/>
                <w:szCs w:val="22"/>
              </w:rPr>
              <w:t>Non-city districts</w:t>
            </w:r>
          </w:p>
        </w:tc>
        <w:tc>
          <w:tcPr>
            <w:tcW w:w="757" w:type="pct"/>
            <w:vAlign w:val="bottom"/>
          </w:tcPr>
          <w:p w14:paraId="092912EC" w14:textId="6C6C2EFB"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4.9</w:t>
            </w:r>
          </w:p>
        </w:tc>
        <w:tc>
          <w:tcPr>
            <w:tcW w:w="696" w:type="pct"/>
            <w:vAlign w:val="bottom"/>
          </w:tcPr>
          <w:p w14:paraId="07C7AEB2" w14:textId="0D534DC5"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2.3</w:t>
            </w:r>
          </w:p>
        </w:tc>
        <w:tc>
          <w:tcPr>
            <w:tcW w:w="449" w:type="pct"/>
            <w:vAlign w:val="bottom"/>
          </w:tcPr>
          <w:p w14:paraId="128596AB" w14:textId="4FDB3856"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-0.4</w:t>
            </w:r>
          </w:p>
        </w:tc>
        <w:tc>
          <w:tcPr>
            <w:tcW w:w="642" w:type="pct"/>
            <w:vAlign w:val="bottom"/>
          </w:tcPr>
          <w:p w14:paraId="29F1D3D9" w14:textId="280D16CE"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-8.0</w:t>
            </w:r>
          </w:p>
        </w:tc>
        <w:tc>
          <w:tcPr>
            <w:tcW w:w="613" w:type="pct"/>
            <w:vAlign w:val="bottom"/>
          </w:tcPr>
          <w:p w14:paraId="3D58E860" w14:textId="1930B554"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9.1</w:t>
            </w:r>
          </w:p>
        </w:tc>
        <w:tc>
          <w:tcPr>
            <w:tcW w:w="592" w:type="pct"/>
            <w:vAlign w:val="bottom"/>
          </w:tcPr>
          <w:p w14:paraId="16D77BBA" w14:textId="7CA91ED8"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-0.9</w:t>
            </w:r>
          </w:p>
        </w:tc>
      </w:tr>
      <w:tr w:rsidR="00D52CDB" w:rsidRPr="00CD704D" w14:paraId="7FD49162" w14:textId="77777777" w:rsidTr="00D52CDB">
        <w:trPr>
          <w:trHeight w:val="198"/>
        </w:trPr>
        <w:tc>
          <w:tcPr>
            <w:tcW w:w="1251" w:type="pct"/>
          </w:tcPr>
          <w:p w14:paraId="488E38AD" w14:textId="68D8D1F2" w:rsidR="00212D38" w:rsidRPr="005A6B20" w:rsidRDefault="009F4197" w:rsidP="00656517">
            <w:pPr>
              <w:rPr>
                <w:rFonts w:ascii="Times New Roman" w:hAnsi="Times New Roman" w:cs="Times New Roman"/>
                <w:sz w:val="22"/>
                <w:szCs w:val="22"/>
              </w:rPr>
            </w:pPr>
            <w:r w:rsidRPr="005A6B20">
              <w:rPr>
                <w:rFonts w:ascii="Times New Roman" w:hAnsi="Times New Roman" w:cs="Times New Roman"/>
                <w:sz w:val="22"/>
                <w:szCs w:val="22"/>
              </w:rPr>
              <w:t>Regional total</w:t>
            </w:r>
          </w:p>
        </w:tc>
        <w:tc>
          <w:tcPr>
            <w:tcW w:w="757" w:type="pct"/>
            <w:vAlign w:val="bottom"/>
          </w:tcPr>
          <w:p w14:paraId="132132D8" w14:textId="7F1141A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3.8</w:t>
            </w:r>
          </w:p>
        </w:tc>
        <w:tc>
          <w:tcPr>
            <w:tcW w:w="696" w:type="pct"/>
            <w:vAlign w:val="bottom"/>
          </w:tcPr>
          <w:p w14:paraId="7BA854D1" w14:textId="54115167"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3.3</w:t>
            </w:r>
          </w:p>
        </w:tc>
        <w:tc>
          <w:tcPr>
            <w:tcW w:w="449" w:type="pct"/>
            <w:vAlign w:val="bottom"/>
          </w:tcPr>
          <w:p w14:paraId="03CAD9A7" w14:textId="376CC83E"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-0.6</w:t>
            </w:r>
          </w:p>
        </w:tc>
        <w:tc>
          <w:tcPr>
            <w:tcW w:w="642" w:type="pct"/>
            <w:vAlign w:val="bottom"/>
          </w:tcPr>
          <w:p w14:paraId="180C9BBC" w14:textId="634AB49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-9.6</w:t>
            </w:r>
          </w:p>
        </w:tc>
        <w:tc>
          <w:tcPr>
            <w:tcW w:w="613" w:type="pct"/>
            <w:vAlign w:val="bottom"/>
          </w:tcPr>
          <w:p w14:paraId="36BF3A63" w14:textId="43FFA674"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11.3</w:t>
            </w:r>
          </w:p>
        </w:tc>
        <w:tc>
          <w:tcPr>
            <w:tcW w:w="592" w:type="pct"/>
            <w:vAlign w:val="bottom"/>
          </w:tcPr>
          <w:p w14:paraId="612FBF8E" w14:textId="41A18B8E"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-1.3</w:t>
            </w:r>
          </w:p>
        </w:tc>
      </w:tr>
    </w:tbl>
    <w:p w14:paraId="2552F1A3" w14:textId="60FB25BA" w:rsidR="00B656A4" w:rsidRPr="00C3532A" w:rsidRDefault="00B656A4" w:rsidP="00EF7FD9">
      <w:pPr>
        <w:jc w:val="both"/>
        <w:rPr>
          <w:rFonts w:ascii="Times New Roman" w:hAnsi="Times New Roman" w:cs="Times New Roman"/>
          <w:sz w:val="20"/>
          <w:szCs w:val="20"/>
        </w:rPr>
      </w:pPr>
      <w:r w:rsidRPr="00C3532A">
        <w:rPr>
          <w:rFonts w:ascii="Times New Roman" w:hAnsi="Times New Roman" w:cs="Times New Roman"/>
          <w:sz w:val="20"/>
          <w:szCs w:val="20"/>
        </w:rPr>
        <w:t>Note: the households that did not report any primary job are not reported in the table</w:t>
      </w:r>
      <w:r w:rsidR="00B80115" w:rsidRPr="00C3532A">
        <w:rPr>
          <w:rFonts w:ascii="Times New Roman" w:hAnsi="Times New Roman" w:cs="Times New Roman"/>
          <w:sz w:val="20"/>
          <w:szCs w:val="20"/>
        </w:rPr>
        <w:t>;</w:t>
      </w:r>
      <w:r w:rsidRPr="00C3532A">
        <w:rPr>
          <w:rFonts w:ascii="Times New Roman" w:hAnsi="Times New Roman" w:cs="Times New Roman"/>
          <w:sz w:val="20"/>
          <w:szCs w:val="20"/>
        </w:rPr>
        <w:t xml:space="preserve"> therefore the sum of the three groups does not equal 100</w:t>
      </w:r>
      <w:r w:rsidR="00B80115" w:rsidRPr="00C3532A">
        <w:rPr>
          <w:rFonts w:ascii="Times New Roman" w:hAnsi="Times New Roman" w:cs="Times New Roman"/>
          <w:sz w:val="20"/>
          <w:szCs w:val="20"/>
        </w:rPr>
        <w:t>.</w:t>
      </w:r>
      <w:r w:rsidR="00B87F76" w:rsidRPr="00C3532A">
        <w:rPr>
          <w:rFonts w:ascii="Times New Roman" w:hAnsi="Times New Roman" w:cs="Times New Roman"/>
          <w:sz w:val="20"/>
          <w:szCs w:val="20"/>
        </w:rPr>
        <w:t xml:space="preserve"> </w:t>
      </w:r>
    </w:p>
    <w:p w14:paraId="1D6A387B" w14:textId="7A0CBD1F" w:rsidR="00985A58" w:rsidRPr="006F2C34" w:rsidRDefault="00B87F76" w:rsidP="00EF7FD9">
      <w:pPr>
        <w:jc w:val="both"/>
        <w:rPr>
          <w:rFonts w:ascii="Times New Roman" w:hAnsi="Times New Roman" w:cs="Times New Roman"/>
        </w:rPr>
      </w:pPr>
      <w:r w:rsidRPr="00C3532A">
        <w:rPr>
          <w:rFonts w:ascii="Times New Roman" w:hAnsi="Times New Roman" w:cs="Times New Roman"/>
          <w:sz w:val="20"/>
          <w:szCs w:val="20"/>
        </w:rPr>
        <w:t xml:space="preserve">Source: </w:t>
      </w:r>
      <w:r w:rsidR="00BA2864" w:rsidRPr="00C3532A">
        <w:rPr>
          <w:rFonts w:ascii="Times New Roman" w:hAnsi="Times New Roman" w:cs="Times New Roman"/>
          <w:sz w:val="20"/>
          <w:szCs w:val="20"/>
        </w:rPr>
        <w:t xml:space="preserve">2000 and 2010 </w:t>
      </w:r>
      <w:r w:rsidRPr="00C3532A">
        <w:rPr>
          <w:rFonts w:ascii="Times New Roman" w:hAnsi="Times New Roman" w:cs="Times New Roman"/>
          <w:sz w:val="20"/>
          <w:szCs w:val="20"/>
        </w:rPr>
        <w:t>Census data</w:t>
      </w:r>
      <w:r w:rsidR="0063240E" w:rsidRPr="00C3532A">
        <w:rPr>
          <w:rFonts w:ascii="Times New Roman" w:hAnsi="Times New Roman" w:cs="Times New Roman"/>
          <w:sz w:val="20"/>
          <w:szCs w:val="20"/>
        </w:rPr>
        <w:t xml:space="preserve"> (GSS 2003; 2013)</w:t>
      </w:r>
    </w:p>
    <w:p w14:paraId="599F2436" w14:textId="77777777" w:rsidR="00C3532A" w:rsidRPr="009417F8" w:rsidRDefault="00C3532A" w:rsidP="00EF7FD9">
      <w:pPr>
        <w:pStyle w:val="ListParagraph"/>
        <w:ind w:left="360" w:hanging="360"/>
        <w:jc w:val="both"/>
        <w:rPr>
          <w:rFonts w:ascii="Times New Roman" w:hAnsi="Times New Roman" w:cs="Times New Roman"/>
        </w:rPr>
      </w:pPr>
      <w:r w:rsidRPr="00870D55">
        <w:rPr>
          <w:rFonts w:ascii="Times New Roman" w:hAnsi="Times New Roman" w:cs="Times New Roman"/>
          <w:highlight w:val="yellow"/>
        </w:rPr>
        <w:lastRenderedPageBreak/>
        <w:t>The excel file is in Daily\2015\GSSP\youth\Jed\Districtypes-CensusGLSS_Sep22-2016_Rawurban.xlsx, sheet “calculation” row 37</w:t>
      </w:r>
    </w:p>
    <w:p w14:paraId="62B02B98" w14:textId="77777777" w:rsidR="00985A58" w:rsidRDefault="00985A58" w:rsidP="00EF7FD9">
      <w:pPr>
        <w:jc w:val="both"/>
        <w:rPr>
          <w:rFonts w:ascii="Times New Roman" w:hAnsi="Times New Roman" w:cs="Times New Roman"/>
          <w:sz w:val="24"/>
          <w:szCs w:val="24"/>
        </w:rPr>
      </w:pPr>
    </w:p>
    <w:p w14:paraId="59350CAD" w14:textId="63E90EC7" w:rsidR="00F534CE" w:rsidRPr="00CD704D" w:rsidRDefault="003A4553" w:rsidP="00EF7FD9">
      <w:pPr>
        <w:spacing w:line="360" w:lineRule="auto"/>
        <w:jc w:val="both"/>
        <w:rPr>
          <w:rFonts w:ascii="Times New Roman" w:hAnsi="Times New Roman" w:cs="Times New Roman"/>
          <w:sz w:val="24"/>
          <w:szCs w:val="24"/>
        </w:rPr>
      </w:pPr>
      <w:r>
        <w:rPr>
          <w:rFonts w:ascii="Times New Roman" w:hAnsi="Times New Roman" w:cs="Times New Roman"/>
          <w:sz w:val="24"/>
          <w:szCs w:val="24"/>
        </w:rPr>
        <w:t>In both</w:t>
      </w:r>
      <w:r w:rsidR="00712B73">
        <w:rPr>
          <w:rFonts w:ascii="Times New Roman" w:hAnsi="Times New Roman" w:cs="Times New Roman"/>
          <w:sz w:val="24"/>
          <w:szCs w:val="24"/>
        </w:rPr>
        <w:t xml:space="preserve"> the</w:t>
      </w:r>
      <w:r>
        <w:rPr>
          <w:rFonts w:ascii="Times New Roman" w:hAnsi="Times New Roman" w:cs="Times New Roman"/>
          <w:sz w:val="24"/>
          <w:szCs w:val="24"/>
        </w:rPr>
        <w:t xml:space="preserve"> South and North,</w:t>
      </w:r>
      <w:r w:rsidR="00712B73">
        <w:rPr>
          <w:rFonts w:ascii="Times New Roman" w:hAnsi="Times New Roman" w:cs="Times New Roman"/>
          <w:sz w:val="24"/>
          <w:szCs w:val="24"/>
        </w:rPr>
        <w:t xml:space="preserve"> </w:t>
      </w:r>
      <w:r>
        <w:rPr>
          <w:rFonts w:ascii="Times New Roman" w:hAnsi="Times New Roman" w:cs="Times New Roman"/>
          <w:sz w:val="24"/>
          <w:szCs w:val="24"/>
        </w:rPr>
        <w:t xml:space="preserve">rural households’ exit from agriculture has been </w:t>
      </w:r>
      <w:r w:rsidRPr="00CD704D">
        <w:rPr>
          <w:rFonts w:ascii="Times New Roman" w:hAnsi="Times New Roman" w:cs="Times New Roman"/>
          <w:sz w:val="24"/>
          <w:szCs w:val="24"/>
        </w:rPr>
        <w:t xml:space="preserve">highly correlated with proximity to cities. </w:t>
      </w:r>
      <w:r w:rsidR="00C3610C">
        <w:rPr>
          <w:rFonts w:ascii="Times New Roman" w:hAnsi="Times New Roman" w:cs="Times New Roman"/>
          <w:sz w:val="24"/>
          <w:szCs w:val="24"/>
        </w:rPr>
        <w:t>Th</w:t>
      </w:r>
      <w:r w:rsidR="00D12E3C" w:rsidRPr="00CD704D">
        <w:rPr>
          <w:rFonts w:ascii="Times New Roman" w:hAnsi="Times New Roman" w:cs="Times New Roman"/>
          <w:sz w:val="24"/>
          <w:szCs w:val="24"/>
        </w:rPr>
        <w:t xml:space="preserve">e share of </w:t>
      </w:r>
      <w:r w:rsidR="00CD5CC8">
        <w:rPr>
          <w:rFonts w:ascii="Times New Roman" w:hAnsi="Times New Roman" w:cs="Times New Roman"/>
          <w:sz w:val="24"/>
          <w:szCs w:val="24"/>
        </w:rPr>
        <w:t>‘</w:t>
      </w:r>
      <w:r w:rsidR="00D12E3C" w:rsidRPr="00CD704D">
        <w:rPr>
          <w:rFonts w:ascii="Times New Roman" w:hAnsi="Times New Roman" w:cs="Times New Roman"/>
          <w:sz w:val="24"/>
          <w:szCs w:val="24"/>
        </w:rPr>
        <w:t>non</w:t>
      </w:r>
      <w:r w:rsidR="00B33DE9">
        <w:rPr>
          <w:rFonts w:ascii="Times New Roman" w:hAnsi="Times New Roman" w:cs="Times New Roman"/>
          <w:sz w:val="24"/>
          <w:szCs w:val="24"/>
        </w:rPr>
        <w:t>-</w:t>
      </w:r>
      <w:r w:rsidR="00D12E3C" w:rsidRPr="00CD704D">
        <w:rPr>
          <w:rFonts w:ascii="Times New Roman" w:hAnsi="Times New Roman" w:cs="Times New Roman"/>
          <w:sz w:val="24"/>
          <w:szCs w:val="24"/>
        </w:rPr>
        <w:t>agricultur</w:t>
      </w:r>
      <w:r w:rsidR="00CD5CC8">
        <w:rPr>
          <w:rFonts w:ascii="Times New Roman" w:hAnsi="Times New Roman" w:cs="Times New Roman"/>
          <w:sz w:val="24"/>
          <w:szCs w:val="24"/>
        </w:rPr>
        <w:t>e only’</w:t>
      </w:r>
      <w:r w:rsidR="00D12E3C" w:rsidRPr="00CD704D">
        <w:rPr>
          <w:rFonts w:ascii="Times New Roman" w:hAnsi="Times New Roman" w:cs="Times New Roman"/>
          <w:sz w:val="24"/>
          <w:szCs w:val="24"/>
        </w:rPr>
        <w:t xml:space="preserve"> </w:t>
      </w:r>
      <w:r w:rsidR="00A30FDC">
        <w:rPr>
          <w:rFonts w:ascii="Times New Roman" w:hAnsi="Times New Roman" w:cs="Times New Roman"/>
          <w:sz w:val="24"/>
          <w:szCs w:val="24"/>
        </w:rPr>
        <w:t xml:space="preserve">rural </w:t>
      </w:r>
      <w:r w:rsidR="00D12E3C" w:rsidRPr="00CD704D">
        <w:rPr>
          <w:rFonts w:ascii="Times New Roman" w:hAnsi="Times New Roman" w:cs="Times New Roman"/>
          <w:sz w:val="24"/>
          <w:szCs w:val="24"/>
        </w:rPr>
        <w:t>households</w:t>
      </w:r>
      <w:r w:rsidR="00F534CE" w:rsidRPr="00CD704D">
        <w:rPr>
          <w:rFonts w:ascii="Times New Roman" w:hAnsi="Times New Roman" w:cs="Times New Roman"/>
          <w:sz w:val="24"/>
          <w:szCs w:val="24"/>
        </w:rPr>
        <w:t xml:space="preserve"> increase</w:t>
      </w:r>
      <w:r w:rsidR="00985A58">
        <w:rPr>
          <w:rFonts w:ascii="Times New Roman" w:hAnsi="Times New Roman" w:cs="Times New Roman"/>
          <w:sz w:val="24"/>
          <w:szCs w:val="24"/>
        </w:rPr>
        <w:t xml:space="preserve">d </w:t>
      </w:r>
      <w:r w:rsidR="00224135">
        <w:rPr>
          <w:rFonts w:ascii="Times New Roman" w:hAnsi="Times New Roman" w:cs="Times New Roman"/>
          <w:sz w:val="24"/>
          <w:szCs w:val="24"/>
        </w:rPr>
        <w:t>in all</w:t>
      </w:r>
      <w:r w:rsidR="00F534CE" w:rsidRPr="00CD704D">
        <w:rPr>
          <w:rFonts w:ascii="Times New Roman" w:hAnsi="Times New Roman" w:cs="Times New Roman"/>
          <w:sz w:val="24"/>
          <w:szCs w:val="24"/>
        </w:rPr>
        <w:t xml:space="preserve"> district groups</w:t>
      </w:r>
      <w:r w:rsidR="00C3610C">
        <w:rPr>
          <w:rFonts w:ascii="Times New Roman" w:hAnsi="Times New Roman" w:cs="Times New Roman"/>
          <w:sz w:val="24"/>
          <w:szCs w:val="24"/>
        </w:rPr>
        <w:t xml:space="preserve"> </w:t>
      </w:r>
      <w:r w:rsidR="00B33DE9">
        <w:rPr>
          <w:rFonts w:ascii="Times New Roman" w:hAnsi="Times New Roman" w:cs="Times New Roman"/>
          <w:sz w:val="24"/>
          <w:szCs w:val="24"/>
        </w:rPr>
        <w:t xml:space="preserve">in </w:t>
      </w:r>
      <w:r>
        <w:rPr>
          <w:rFonts w:ascii="Times New Roman" w:hAnsi="Times New Roman" w:cs="Times New Roman"/>
          <w:sz w:val="24"/>
          <w:szCs w:val="24"/>
        </w:rPr>
        <w:t>Ghana</w:t>
      </w:r>
      <w:r w:rsidR="00B33DE9">
        <w:rPr>
          <w:rFonts w:ascii="Times New Roman" w:hAnsi="Times New Roman" w:cs="Times New Roman"/>
          <w:sz w:val="24"/>
          <w:szCs w:val="24"/>
        </w:rPr>
        <w:t xml:space="preserve"> </w:t>
      </w:r>
      <w:r w:rsidR="00C3610C">
        <w:rPr>
          <w:rFonts w:ascii="Times New Roman" w:hAnsi="Times New Roman" w:cs="Times New Roman"/>
          <w:sz w:val="24"/>
          <w:szCs w:val="24"/>
        </w:rPr>
        <w:t>between 2000 and 2010</w:t>
      </w:r>
      <w:r w:rsidR="00F534CE" w:rsidRPr="00CD704D">
        <w:rPr>
          <w:rFonts w:ascii="Times New Roman" w:hAnsi="Times New Roman" w:cs="Times New Roman"/>
          <w:sz w:val="24"/>
          <w:szCs w:val="24"/>
        </w:rPr>
        <w:t xml:space="preserve">, </w:t>
      </w:r>
      <w:r w:rsidR="00285D1C">
        <w:rPr>
          <w:rFonts w:ascii="Times New Roman" w:hAnsi="Times New Roman" w:cs="Times New Roman"/>
          <w:sz w:val="24"/>
          <w:szCs w:val="24"/>
        </w:rPr>
        <w:t>though</w:t>
      </w:r>
      <w:r w:rsidR="00F534CE" w:rsidRPr="00CD704D">
        <w:rPr>
          <w:rFonts w:ascii="Times New Roman" w:hAnsi="Times New Roman" w:cs="Times New Roman"/>
          <w:sz w:val="24"/>
          <w:szCs w:val="24"/>
        </w:rPr>
        <w:t xml:space="preserve"> mo</w:t>
      </w:r>
      <w:r w:rsidR="00BD5549">
        <w:rPr>
          <w:rFonts w:ascii="Times New Roman" w:hAnsi="Times New Roman" w:cs="Times New Roman"/>
          <w:sz w:val="24"/>
          <w:szCs w:val="24"/>
        </w:rPr>
        <w:t>re</w:t>
      </w:r>
      <w:r w:rsidR="00F534CE" w:rsidRPr="00CD704D">
        <w:rPr>
          <w:rFonts w:ascii="Times New Roman" w:hAnsi="Times New Roman" w:cs="Times New Roman"/>
          <w:sz w:val="24"/>
          <w:szCs w:val="24"/>
        </w:rPr>
        <w:t xml:space="preserve"> rapidly in </w:t>
      </w:r>
      <w:r w:rsidR="00985A58">
        <w:rPr>
          <w:rFonts w:ascii="Times New Roman" w:hAnsi="Times New Roman" w:cs="Times New Roman"/>
          <w:sz w:val="24"/>
          <w:szCs w:val="24"/>
        </w:rPr>
        <w:t>the</w:t>
      </w:r>
      <w:r w:rsidR="00B33DE9">
        <w:rPr>
          <w:rFonts w:ascii="Times New Roman" w:hAnsi="Times New Roman" w:cs="Times New Roman"/>
          <w:sz w:val="24"/>
          <w:szCs w:val="24"/>
        </w:rPr>
        <w:t xml:space="preserve"> South</w:t>
      </w:r>
      <w:r>
        <w:rPr>
          <w:rFonts w:ascii="Times New Roman" w:hAnsi="Times New Roman" w:cs="Times New Roman"/>
          <w:sz w:val="24"/>
          <w:szCs w:val="24"/>
        </w:rPr>
        <w:t xml:space="preserve"> and </w:t>
      </w:r>
      <w:r w:rsidR="00B33DE9">
        <w:rPr>
          <w:rFonts w:ascii="Times New Roman" w:hAnsi="Times New Roman" w:cs="Times New Roman"/>
          <w:sz w:val="24"/>
          <w:szCs w:val="24"/>
        </w:rPr>
        <w:t xml:space="preserve">especially </w:t>
      </w:r>
      <w:r w:rsidR="00A30FDC">
        <w:rPr>
          <w:rFonts w:ascii="Times New Roman" w:hAnsi="Times New Roman" w:cs="Times New Roman"/>
          <w:sz w:val="24"/>
          <w:szCs w:val="24"/>
        </w:rPr>
        <w:t xml:space="preserve">in </w:t>
      </w:r>
      <w:r w:rsidR="00B33DE9">
        <w:rPr>
          <w:rFonts w:ascii="Times New Roman" w:hAnsi="Times New Roman" w:cs="Times New Roman"/>
          <w:sz w:val="24"/>
          <w:szCs w:val="24"/>
        </w:rPr>
        <w:t>the</w:t>
      </w:r>
      <w:r w:rsidR="00985A58">
        <w:rPr>
          <w:rFonts w:ascii="Times New Roman" w:hAnsi="Times New Roman" w:cs="Times New Roman"/>
          <w:sz w:val="24"/>
          <w:szCs w:val="24"/>
        </w:rPr>
        <w:t xml:space="preserve"> </w:t>
      </w:r>
      <w:r w:rsidR="00285D1C">
        <w:rPr>
          <w:rFonts w:ascii="Times New Roman" w:hAnsi="Times New Roman" w:cs="Times New Roman"/>
          <w:sz w:val="24"/>
          <w:szCs w:val="24"/>
        </w:rPr>
        <w:t>big city and 2</w:t>
      </w:r>
      <w:r w:rsidR="00285D1C" w:rsidRPr="00285D1C">
        <w:rPr>
          <w:rFonts w:ascii="Times New Roman" w:hAnsi="Times New Roman" w:cs="Times New Roman"/>
          <w:sz w:val="24"/>
          <w:szCs w:val="24"/>
          <w:vertAlign w:val="superscript"/>
        </w:rPr>
        <w:t>nd</w:t>
      </w:r>
      <w:r w:rsidR="00285D1C">
        <w:rPr>
          <w:rFonts w:ascii="Times New Roman" w:hAnsi="Times New Roman" w:cs="Times New Roman"/>
          <w:sz w:val="24"/>
          <w:szCs w:val="24"/>
        </w:rPr>
        <w:t xml:space="preserve"> tier city </w:t>
      </w:r>
      <w:r w:rsidR="00B33DE9">
        <w:rPr>
          <w:rFonts w:ascii="Times New Roman" w:hAnsi="Times New Roman" w:cs="Times New Roman"/>
          <w:sz w:val="24"/>
          <w:szCs w:val="24"/>
        </w:rPr>
        <w:t xml:space="preserve">district </w:t>
      </w:r>
      <w:r w:rsidR="00285D1C">
        <w:rPr>
          <w:rFonts w:ascii="Times New Roman" w:hAnsi="Times New Roman" w:cs="Times New Roman"/>
          <w:sz w:val="24"/>
          <w:szCs w:val="24"/>
        </w:rPr>
        <w:t xml:space="preserve">groups. This was mirrored by an almost equivalent </w:t>
      </w:r>
      <w:r w:rsidR="00C3610C">
        <w:rPr>
          <w:rFonts w:ascii="Times New Roman" w:hAnsi="Times New Roman" w:cs="Times New Roman"/>
          <w:sz w:val="24"/>
          <w:szCs w:val="24"/>
        </w:rPr>
        <w:t xml:space="preserve">pattern of </w:t>
      </w:r>
      <w:r w:rsidR="00285D1C">
        <w:rPr>
          <w:rFonts w:ascii="Times New Roman" w:hAnsi="Times New Roman" w:cs="Times New Roman"/>
          <w:sz w:val="24"/>
          <w:szCs w:val="24"/>
        </w:rPr>
        <w:t xml:space="preserve">decline in the shares of </w:t>
      </w:r>
      <w:r w:rsidR="00CD5CC8">
        <w:rPr>
          <w:rFonts w:ascii="Times New Roman" w:hAnsi="Times New Roman" w:cs="Times New Roman"/>
          <w:sz w:val="24"/>
          <w:szCs w:val="24"/>
        </w:rPr>
        <w:t>‘</w:t>
      </w:r>
      <w:r w:rsidR="00B33DE9">
        <w:rPr>
          <w:rFonts w:ascii="Times New Roman" w:hAnsi="Times New Roman" w:cs="Times New Roman"/>
          <w:sz w:val="24"/>
          <w:szCs w:val="24"/>
        </w:rPr>
        <w:t xml:space="preserve">agriculture </w:t>
      </w:r>
      <w:r w:rsidR="00CD5CC8">
        <w:rPr>
          <w:rFonts w:ascii="Times New Roman" w:hAnsi="Times New Roman" w:cs="Times New Roman"/>
          <w:sz w:val="24"/>
          <w:szCs w:val="24"/>
        </w:rPr>
        <w:t xml:space="preserve">only’ </w:t>
      </w:r>
      <w:r w:rsidR="00A30FDC">
        <w:rPr>
          <w:rFonts w:ascii="Times New Roman" w:hAnsi="Times New Roman" w:cs="Times New Roman"/>
          <w:sz w:val="24"/>
          <w:szCs w:val="24"/>
        </w:rPr>
        <w:t xml:space="preserve">rural </w:t>
      </w:r>
      <w:r w:rsidR="00285D1C">
        <w:rPr>
          <w:rFonts w:ascii="Times New Roman" w:hAnsi="Times New Roman" w:cs="Times New Roman"/>
          <w:sz w:val="24"/>
          <w:szCs w:val="24"/>
        </w:rPr>
        <w:t>households</w:t>
      </w:r>
      <w:r w:rsidR="00B33DE9">
        <w:rPr>
          <w:rFonts w:ascii="Times New Roman" w:hAnsi="Times New Roman" w:cs="Times New Roman"/>
          <w:sz w:val="24"/>
          <w:szCs w:val="24"/>
        </w:rPr>
        <w:t xml:space="preserve"> in the South and the district group with 2</w:t>
      </w:r>
      <w:r w:rsidR="00B33DE9" w:rsidRPr="00550946">
        <w:rPr>
          <w:rFonts w:ascii="Times New Roman" w:hAnsi="Times New Roman" w:cs="Times New Roman"/>
          <w:sz w:val="24"/>
          <w:szCs w:val="24"/>
          <w:vertAlign w:val="superscript"/>
        </w:rPr>
        <w:t>nd</w:t>
      </w:r>
      <w:r w:rsidR="00B33DE9">
        <w:rPr>
          <w:rFonts w:ascii="Times New Roman" w:hAnsi="Times New Roman" w:cs="Times New Roman"/>
          <w:sz w:val="24"/>
          <w:szCs w:val="24"/>
        </w:rPr>
        <w:t xml:space="preserve"> tier cit</w:t>
      </w:r>
      <w:r>
        <w:rPr>
          <w:rFonts w:ascii="Times New Roman" w:hAnsi="Times New Roman" w:cs="Times New Roman"/>
          <w:sz w:val="24"/>
          <w:szCs w:val="24"/>
        </w:rPr>
        <w:t>ies</w:t>
      </w:r>
      <w:r w:rsidR="00B33DE9">
        <w:rPr>
          <w:rFonts w:ascii="Times New Roman" w:hAnsi="Times New Roman" w:cs="Times New Roman"/>
          <w:sz w:val="24"/>
          <w:szCs w:val="24"/>
        </w:rPr>
        <w:t xml:space="preserve"> in the North</w:t>
      </w:r>
      <w:r w:rsidR="00285D1C">
        <w:rPr>
          <w:rFonts w:ascii="Times New Roman" w:hAnsi="Times New Roman" w:cs="Times New Roman"/>
          <w:sz w:val="24"/>
          <w:szCs w:val="24"/>
        </w:rPr>
        <w:t xml:space="preserve">. </w:t>
      </w:r>
      <w:r w:rsidR="00B33DE9">
        <w:rPr>
          <w:rFonts w:ascii="Times New Roman" w:hAnsi="Times New Roman" w:cs="Times New Roman"/>
          <w:sz w:val="24"/>
          <w:szCs w:val="24"/>
        </w:rPr>
        <w:t>However, in the other district groups that either have small cit</w:t>
      </w:r>
      <w:r>
        <w:rPr>
          <w:rFonts w:ascii="Times New Roman" w:hAnsi="Times New Roman" w:cs="Times New Roman"/>
          <w:sz w:val="24"/>
          <w:szCs w:val="24"/>
        </w:rPr>
        <w:t>ies</w:t>
      </w:r>
      <w:r w:rsidR="00B33DE9">
        <w:rPr>
          <w:rFonts w:ascii="Times New Roman" w:hAnsi="Times New Roman" w:cs="Times New Roman"/>
          <w:sz w:val="24"/>
          <w:szCs w:val="24"/>
        </w:rPr>
        <w:t xml:space="preserve"> or no cit</w:t>
      </w:r>
      <w:r>
        <w:rPr>
          <w:rFonts w:ascii="Times New Roman" w:hAnsi="Times New Roman" w:cs="Times New Roman"/>
          <w:sz w:val="24"/>
          <w:szCs w:val="24"/>
        </w:rPr>
        <w:t>ies</w:t>
      </w:r>
      <w:r w:rsidR="00B33DE9">
        <w:rPr>
          <w:rFonts w:ascii="Times New Roman" w:hAnsi="Times New Roman" w:cs="Times New Roman"/>
          <w:sz w:val="24"/>
          <w:szCs w:val="24"/>
        </w:rPr>
        <w:t xml:space="preserve"> in the North, share of agriculture only households increased in this period. </w:t>
      </w:r>
      <w:r w:rsidR="00F534CE" w:rsidRPr="00CD704D">
        <w:rPr>
          <w:rFonts w:ascii="Times New Roman" w:hAnsi="Times New Roman" w:cs="Times New Roman"/>
          <w:sz w:val="24"/>
          <w:szCs w:val="24"/>
        </w:rPr>
        <w:t>Thus, the</w:t>
      </w:r>
      <w:r w:rsidR="00224135">
        <w:rPr>
          <w:rFonts w:ascii="Times New Roman" w:hAnsi="Times New Roman" w:cs="Times New Roman"/>
          <w:sz w:val="24"/>
          <w:szCs w:val="24"/>
        </w:rPr>
        <w:t xml:space="preserve">re has been a sizeable </w:t>
      </w:r>
      <w:r>
        <w:rPr>
          <w:rFonts w:ascii="Times New Roman" w:hAnsi="Times New Roman" w:cs="Times New Roman"/>
          <w:sz w:val="24"/>
          <w:szCs w:val="24"/>
        </w:rPr>
        <w:t xml:space="preserve">movement of household from agriculture to the rural non-farm economy </w:t>
      </w:r>
      <w:r w:rsidR="00B33DE9">
        <w:rPr>
          <w:rFonts w:ascii="Times New Roman" w:hAnsi="Times New Roman" w:cs="Times New Roman"/>
          <w:sz w:val="24"/>
          <w:szCs w:val="24"/>
        </w:rPr>
        <w:t xml:space="preserve">in the South and districts with </w:t>
      </w:r>
      <w:r w:rsidR="00BD5549">
        <w:rPr>
          <w:rFonts w:ascii="Times New Roman" w:hAnsi="Times New Roman" w:cs="Times New Roman"/>
          <w:sz w:val="24"/>
          <w:szCs w:val="24"/>
        </w:rPr>
        <w:t>secondary</w:t>
      </w:r>
      <w:r w:rsidR="00B33DE9">
        <w:rPr>
          <w:rFonts w:ascii="Times New Roman" w:hAnsi="Times New Roman" w:cs="Times New Roman"/>
          <w:sz w:val="24"/>
          <w:szCs w:val="24"/>
        </w:rPr>
        <w:t xml:space="preserve"> cit</w:t>
      </w:r>
      <w:r w:rsidR="00BD5549">
        <w:rPr>
          <w:rFonts w:ascii="Times New Roman" w:hAnsi="Times New Roman" w:cs="Times New Roman"/>
          <w:sz w:val="24"/>
          <w:szCs w:val="24"/>
        </w:rPr>
        <w:t>ies</w:t>
      </w:r>
      <w:r w:rsidR="00B33DE9">
        <w:rPr>
          <w:rFonts w:ascii="Times New Roman" w:hAnsi="Times New Roman" w:cs="Times New Roman"/>
          <w:sz w:val="24"/>
          <w:szCs w:val="24"/>
        </w:rPr>
        <w:t xml:space="preserve"> in the North. </w:t>
      </w:r>
      <w:r w:rsidR="00C3610C">
        <w:rPr>
          <w:rFonts w:ascii="Times New Roman" w:hAnsi="Times New Roman" w:cs="Times New Roman"/>
          <w:sz w:val="24"/>
          <w:szCs w:val="24"/>
        </w:rPr>
        <w:t>Despite th</w:t>
      </w:r>
      <w:r w:rsidR="003F7A0A">
        <w:rPr>
          <w:rFonts w:ascii="Times New Roman" w:hAnsi="Times New Roman" w:cs="Times New Roman"/>
          <w:sz w:val="24"/>
          <w:szCs w:val="24"/>
        </w:rPr>
        <w:t>is exit,</w:t>
      </w:r>
      <w:r w:rsidR="00224135">
        <w:rPr>
          <w:rFonts w:ascii="Times New Roman" w:hAnsi="Times New Roman" w:cs="Times New Roman"/>
          <w:sz w:val="24"/>
          <w:szCs w:val="24"/>
        </w:rPr>
        <w:t xml:space="preserve"> </w:t>
      </w:r>
      <w:r w:rsidR="00EB3379">
        <w:rPr>
          <w:rFonts w:ascii="Times New Roman" w:hAnsi="Times New Roman" w:cs="Times New Roman"/>
          <w:sz w:val="24"/>
          <w:szCs w:val="24"/>
        </w:rPr>
        <w:t>the share of</w:t>
      </w:r>
      <w:r w:rsidR="00721AB8">
        <w:rPr>
          <w:rFonts w:ascii="Times New Roman" w:hAnsi="Times New Roman" w:cs="Times New Roman"/>
          <w:sz w:val="24"/>
          <w:szCs w:val="24"/>
        </w:rPr>
        <w:t xml:space="preserve"> rural</w:t>
      </w:r>
      <w:r w:rsidR="00EB3379">
        <w:rPr>
          <w:rFonts w:ascii="Times New Roman" w:hAnsi="Times New Roman" w:cs="Times New Roman"/>
          <w:sz w:val="24"/>
          <w:szCs w:val="24"/>
        </w:rPr>
        <w:t xml:space="preserve"> </w:t>
      </w:r>
      <w:r w:rsidR="00CD5CC8">
        <w:rPr>
          <w:rFonts w:ascii="Times New Roman" w:hAnsi="Times New Roman" w:cs="Times New Roman"/>
          <w:sz w:val="24"/>
          <w:szCs w:val="24"/>
        </w:rPr>
        <w:t>‘</w:t>
      </w:r>
      <w:r w:rsidR="00C3610C">
        <w:rPr>
          <w:rFonts w:ascii="Times New Roman" w:hAnsi="Times New Roman" w:cs="Times New Roman"/>
          <w:sz w:val="24"/>
          <w:szCs w:val="24"/>
        </w:rPr>
        <w:t>agriculture only</w:t>
      </w:r>
      <w:r w:rsidR="00CD5CC8">
        <w:rPr>
          <w:rFonts w:ascii="Times New Roman" w:hAnsi="Times New Roman" w:cs="Times New Roman"/>
          <w:sz w:val="24"/>
          <w:szCs w:val="24"/>
        </w:rPr>
        <w:t>’</w:t>
      </w:r>
      <w:r w:rsidR="00C3610C">
        <w:rPr>
          <w:rFonts w:ascii="Times New Roman" w:hAnsi="Times New Roman" w:cs="Times New Roman"/>
          <w:sz w:val="24"/>
          <w:szCs w:val="24"/>
        </w:rPr>
        <w:t xml:space="preserve"> households</w:t>
      </w:r>
      <w:r w:rsidR="00224135">
        <w:rPr>
          <w:rFonts w:ascii="Times New Roman" w:hAnsi="Times New Roman" w:cs="Times New Roman"/>
          <w:sz w:val="24"/>
          <w:szCs w:val="24"/>
        </w:rPr>
        <w:t xml:space="preserve"> remain</w:t>
      </w:r>
      <w:r w:rsidR="003F7A0A">
        <w:rPr>
          <w:rFonts w:ascii="Times New Roman" w:hAnsi="Times New Roman" w:cs="Times New Roman"/>
          <w:sz w:val="24"/>
          <w:szCs w:val="24"/>
        </w:rPr>
        <w:t>s</w:t>
      </w:r>
      <w:r w:rsidR="00224135">
        <w:rPr>
          <w:rFonts w:ascii="Times New Roman" w:hAnsi="Times New Roman" w:cs="Times New Roman"/>
          <w:sz w:val="24"/>
          <w:szCs w:val="24"/>
        </w:rPr>
        <w:t xml:space="preserve"> high in district groups</w:t>
      </w:r>
      <w:r w:rsidR="00B33DE9">
        <w:rPr>
          <w:rFonts w:ascii="Times New Roman" w:hAnsi="Times New Roman" w:cs="Times New Roman"/>
          <w:sz w:val="24"/>
          <w:szCs w:val="24"/>
        </w:rPr>
        <w:t xml:space="preserve"> without big and secondary cities in both</w:t>
      </w:r>
      <w:r>
        <w:rPr>
          <w:rFonts w:ascii="Times New Roman" w:hAnsi="Times New Roman" w:cs="Times New Roman"/>
          <w:sz w:val="24"/>
          <w:szCs w:val="24"/>
        </w:rPr>
        <w:t xml:space="preserve"> the</w:t>
      </w:r>
      <w:r w:rsidR="00B33DE9">
        <w:rPr>
          <w:rFonts w:ascii="Times New Roman" w:hAnsi="Times New Roman" w:cs="Times New Roman"/>
          <w:sz w:val="24"/>
          <w:szCs w:val="24"/>
        </w:rPr>
        <w:t xml:space="preserve"> North and South</w:t>
      </w:r>
      <w:r w:rsidR="00224135">
        <w:rPr>
          <w:rFonts w:ascii="Times New Roman" w:hAnsi="Times New Roman" w:cs="Times New Roman"/>
          <w:sz w:val="24"/>
          <w:szCs w:val="24"/>
        </w:rPr>
        <w:t>, averag</w:t>
      </w:r>
      <w:r w:rsidR="003F7A0A">
        <w:rPr>
          <w:rFonts w:ascii="Times New Roman" w:hAnsi="Times New Roman" w:cs="Times New Roman"/>
          <w:sz w:val="24"/>
          <w:szCs w:val="24"/>
        </w:rPr>
        <w:t>ing</w:t>
      </w:r>
      <w:r w:rsidR="00224135">
        <w:rPr>
          <w:rFonts w:ascii="Times New Roman" w:hAnsi="Times New Roman" w:cs="Times New Roman"/>
          <w:sz w:val="24"/>
          <w:szCs w:val="24"/>
        </w:rPr>
        <w:t xml:space="preserve"> </w:t>
      </w:r>
      <w:r w:rsidR="00B33DE9">
        <w:rPr>
          <w:rFonts w:ascii="Times New Roman" w:hAnsi="Times New Roman" w:cs="Times New Roman"/>
          <w:sz w:val="24"/>
          <w:szCs w:val="24"/>
        </w:rPr>
        <w:t xml:space="preserve">46 </w:t>
      </w:r>
      <w:r w:rsidR="0025348D">
        <w:rPr>
          <w:rFonts w:ascii="Times New Roman" w:hAnsi="Times New Roman" w:cs="Times New Roman"/>
          <w:sz w:val="24"/>
          <w:szCs w:val="24"/>
        </w:rPr>
        <w:t xml:space="preserve">percent </w:t>
      </w:r>
      <w:r w:rsidR="00224135">
        <w:rPr>
          <w:rFonts w:ascii="Times New Roman" w:hAnsi="Times New Roman" w:cs="Times New Roman"/>
          <w:sz w:val="24"/>
          <w:szCs w:val="24"/>
        </w:rPr>
        <w:t xml:space="preserve">even </w:t>
      </w:r>
      <w:r w:rsidR="00EB3379">
        <w:rPr>
          <w:rFonts w:ascii="Times New Roman" w:hAnsi="Times New Roman" w:cs="Times New Roman"/>
          <w:sz w:val="24"/>
          <w:szCs w:val="24"/>
        </w:rPr>
        <w:t>in</w:t>
      </w:r>
      <w:r w:rsidR="0025348D">
        <w:rPr>
          <w:rFonts w:ascii="Times New Roman" w:hAnsi="Times New Roman" w:cs="Times New Roman"/>
          <w:sz w:val="24"/>
          <w:szCs w:val="24"/>
        </w:rPr>
        <w:t xml:space="preserve"> the </w:t>
      </w:r>
      <w:r w:rsidR="00B33DE9">
        <w:rPr>
          <w:rFonts w:ascii="Times New Roman" w:hAnsi="Times New Roman" w:cs="Times New Roman"/>
          <w:sz w:val="24"/>
          <w:szCs w:val="24"/>
        </w:rPr>
        <w:t>South</w:t>
      </w:r>
      <w:r w:rsidR="00224135">
        <w:rPr>
          <w:rFonts w:ascii="Times New Roman" w:hAnsi="Times New Roman" w:cs="Times New Roman"/>
          <w:sz w:val="24"/>
          <w:szCs w:val="24"/>
        </w:rPr>
        <w:t xml:space="preserve"> in 2010</w:t>
      </w:r>
      <w:r w:rsidR="00EB3379">
        <w:rPr>
          <w:rFonts w:ascii="Times New Roman" w:hAnsi="Times New Roman" w:cs="Times New Roman"/>
          <w:sz w:val="24"/>
          <w:szCs w:val="24"/>
        </w:rPr>
        <w:t xml:space="preserve">. </w:t>
      </w:r>
      <w:r w:rsidR="003101E4">
        <w:rPr>
          <w:rFonts w:ascii="Times New Roman" w:hAnsi="Times New Roman" w:cs="Times New Roman"/>
          <w:sz w:val="24"/>
          <w:szCs w:val="24"/>
        </w:rPr>
        <w:t xml:space="preserve">Only </w:t>
      </w:r>
      <w:r w:rsidR="0025348D">
        <w:rPr>
          <w:rFonts w:ascii="Times New Roman" w:hAnsi="Times New Roman" w:cs="Times New Roman"/>
          <w:sz w:val="24"/>
          <w:szCs w:val="24"/>
        </w:rPr>
        <w:t xml:space="preserve">in the areas </w:t>
      </w:r>
      <w:r w:rsidR="00A30FDC">
        <w:rPr>
          <w:rFonts w:ascii="Times New Roman" w:hAnsi="Times New Roman" w:cs="Times New Roman"/>
          <w:sz w:val="24"/>
          <w:szCs w:val="24"/>
        </w:rPr>
        <w:t xml:space="preserve">with relatively larger cities </w:t>
      </w:r>
      <w:r w:rsidR="003101E4">
        <w:rPr>
          <w:rFonts w:ascii="Times New Roman" w:hAnsi="Times New Roman" w:cs="Times New Roman"/>
          <w:sz w:val="24"/>
          <w:szCs w:val="24"/>
        </w:rPr>
        <w:t xml:space="preserve">did </w:t>
      </w:r>
      <w:r w:rsidR="00CD5CC8">
        <w:rPr>
          <w:rFonts w:ascii="Times New Roman" w:hAnsi="Times New Roman" w:cs="Times New Roman"/>
          <w:sz w:val="24"/>
          <w:szCs w:val="24"/>
        </w:rPr>
        <w:t>‘</w:t>
      </w:r>
      <w:r w:rsidR="0025348D">
        <w:rPr>
          <w:rFonts w:ascii="Times New Roman" w:hAnsi="Times New Roman" w:cs="Times New Roman"/>
          <w:sz w:val="24"/>
          <w:szCs w:val="24"/>
        </w:rPr>
        <w:t>non</w:t>
      </w:r>
      <w:r w:rsidR="00B33DE9">
        <w:rPr>
          <w:rFonts w:ascii="Times New Roman" w:hAnsi="Times New Roman" w:cs="Times New Roman"/>
          <w:sz w:val="24"/>
          <w:szCs w:val="24"/>
        </w:rPr>
        <w:t>-</w:t>
      </w:r>
      <w:r w:rsidR="0025348D">
        <w:rPr>
          <w:rFonts w:ascii="Times New Roman" w:hAnsi="Times New Roman" w:cs="Times New Roman"/>
          <w:sz w:val="24"/>
          <w:szCs w:val="24"/>
        </w:rPr>
        <w:t>agric</w:t>
      </w:r>
      <w:r w:rsidR="003101E4">
        <w:rPr>
          <w:rFonts w:ascii="Times New Roman" w:hAnsi="Times New Roman" w:cs="Times New Roman"/>
          <w:sz w:val="24"/>
          <w:szCs w:val="24"/>
        </w:rPr>
        <w:t>ulture only</w:t>
      </w:r>
      <w:r w:rsidR="00CD5CC8">
        <w:rPr>
          <w:rFonts w:ascii="Times New Roman" w:hAnsi="Times New Roman" w:cs="Times New Roman"/>
          <w:sz w:val="24"/>
          <w:szCs w:val="24"/>
        </w:rPr>
        <w:t>’</w:t>
      </w:r>
      <w:r w:rsidR="003101E4">
        <w:rPr>
          <w:rFonts w:ascii="Times New Roman" w:hAnsi="Times New Roman" w:cs="Times New Roman"/>
          <w:sz w:val="24"/>
          <w:szCs w:val="24"/>
        </w:rPr>
        <w:t xml:space="preserve"> households dominate</w:t>
      </w:r>
      <w:r w:rsidR="00EB3379">
        <w:rPr>
          <w:rFonts w:ascii="Times New Roman" w:hAnsi="Times New Roman" w:cs="Times New Roman"/>
          <w:sz w:val="24"/>
          <w:szCs w:val="24"/>
        </w:rPr>
        <w:t xml:space="preserve"> </w:t>
      </w:r>
      <w:r w:rsidR="00BD5549">
        <w:rPr>
          <w:rFonts w:ascii="Times New Roman" w:hAnsi="Times New Roman" w:cs="Times New Roman"/>
          <w:sz w:val="24"/>
          <w:szCs w:val="24"/>
        </w:rPr>
        <w:t xml:space="preserve">in the </w:t>
      </w:r>
      <w:r w:rsidR="00A30FDC">
        <w:rPr>
          <w:rFonts w:ascii="Times New Roman" w:hAnsi="Times New Roman" w:cs="Times New Roman"/>
          <w:sz w:val="24"/>
          <w:szCs w:val="24"/>
        </w:rPr>
        <w:t xml:space="preserve">rural areas </w:t>
      </w:r>
      <w:r w:rsidR="00EB3379">
        <w:rPr>
          <w:rFonts w:ascii="Times New Roman" w:hAnsi="Times New Roman" w:cs="Times New Roman"/>
          <w:sz w:val="24"/>
          <w:szCs w:val="24"/>
        </w:rPr>
        <w:t>in 2010</w:t>
      </w:r>
      <w:r w:rsidR="0025348D">
        <w:rPr>
          <w:rFonts w:ascii="Times New Roman" w:hAnsi="Times New Roman" w:cs="Times New Roman"/>
          <w:sz w:val="24"/>
          <w:szCs w:val="24"/>
        </w:rPr>
        <w:t xml:space="preserve">. </w:t>
      </w:r>
    </w:p>
    <w:p w14:paraId="5E1C32E1" w14:textId="77777777" w:rsidR="00D52F18" w:rsidRDefault="00D52F18" w:rsidP="003A4553">
      <w:pPr>
        <w:spacing w:after="240" w:line="360" w:lineRule="auto"/>
        <w:ind w:firstLine="357"/>
        <w:jc w:val="both"/>
        <w:rPr>
          <w:rFonts w:ascii="Times New Roman" w:hAnsi="Times New Roman" w:cs="Times New Roman"/>
          <w:sz w:val="24"/>
          <w:szCs w:val="24"/>
        </w:rPr>
      </w:pPr>
    </w:p>
    <w:p w14:paraId="5E5E1A92" w14:textId="14B4D20E" w:rsidR="003A4553" w:rsidRDefault="00F00BA8" w:rsidP="003A4553">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T</w:t>
      </w:r>
      <w:r w:rsidR="00F534CE" w:rsidRPr="00CD704D">
        <w:rPr>
          <w:rFonts w:ascii="Times New Roman" w:hAnsi="Times New Roman" w:cs="Times New Roman"/>
          <w:sz w:val="24"/>
          <w:szCs w:val="24"/>
        </w:rPr>
        <w:t xml:space="preserve">here </w:t>
      </w:r>
      <w:r w:rsidR="00314E0F">
        <w:rPr>
          <w:rFonts w:ascii="Times New Roman" w:hAnsi="Times New Roman" w:cs="Times New Roman"/>
          <w:sz w:val="24"/>
          <w:szCs w:val="24"/>
        </w:rPr>
        <w:t>ha</w:t>
      </w:r>
      <w:r>
        <w:rPr>
          <w:rFonts w:ascii="Times New Roman" w:hAnsi="Times New Roman" w:cs="Times New Roman"/>
          <w:sz w:val="24"/>
          <w:szCs w:val="24"/>
        </w:rPr>
        <w:t>s</w:t>
      </w:r>
      <w:r w:rsidR="00314E0F">
        <w:rPr>
          <w:rFonts w:ascii="Times New Roman" w:hAnsi="Times New Roman" w:cs="Times New Roman"/>
          <w:sz w:val="24"/>
          <w:szCs w:val="24"/>
        </w:rPr>
        <w:t xml:space="preserve"> been </w:t>
      </w:r>
      <w:r w:rsidR="003F7A0A">
        <w:rPr>
          <w:rFonts w:ascii="Times New Roman" w:hAnsi="Times New Roman" w:cs="Times New Roman"/>
          <w:sz w:val="24"/>
          <w:szCs w:val="24"/>
        </w:rPr>
        <w:t>a</w:t>
      </w:r>
      <w:r w:rsidR="00314E0F">
        <w:rPr>
          <w:rFonts w:ascii="Times New Roman" w:hAnsi="Times New Roman" w:cs="Times New Roman"/>
          <w:sz w:val="24"/>
          <w:szCs w:val="24"/>
        </w:rPr>
        <w:t xml:space="preserve"> modest </w:t>
      </w:r>
      <w:r w:rsidR="009730A4">
        <w:rPr>
          <w:rFonts w:ascii="Times New Roman" w:hAnsi="Times New Roman" w:cs="Times New Roman"/>
          <w:sz w:val="24"/>
          <w:szCs w:val="24"/>
        </w:rPr>
        <w:t xml:space="preserve">but surprising </w:t>
      </w:r>
      <w:r w:rsidR="003F7A0A">
        <w:rPr>
          <w:rFonts w:ascii="Times New Roman" w:hAnsi="Times New Roman" w:cs="Times New Roman"/>
          <w:sz w:val="24"/>
          <w:szCs w:val="24"/>
        </w:rPr>
        <w:t>decline</w:t>
      </w:r>
      <w:r w:rsidR="00314E0F">
        <w:rPr>
          <w:rFonts w:ascii="Times New Roman" w:hAnsi="Times New Roman" w:cs="Times New Roman"/>
          <w:sz w:val="24"/>
          <w:szCs w:val="24"/>
        </w:rPr>
        <w:t xml:space="preserve"> in the </w:t>
      </w:r>
      <w:r w:rsidR="00314E0F" w:rsidRPr="00CD704D">
        <w:rPr>
          <w:rFonts w:ascii="Times New Roman" w:hAnsi="Times New Roman" w:cs="Times New Roman"/>
          <w:sz w:val="24"/>
          <w:szCs w:val="24"/>
        </w:rPr>
        <w:t>share</w:t>
      </w:r>
      <w:r w:rsidR="00314E0F">
        <w:rPr>
          <w:rFonts w:ascii="Times New Roman" w:hAnsi="Times New Roman" w:cs="Times New Roman"/>
          <w:sz w:val="24"/>
          <w:szCs w:val="24"/>
        </w:rPr>
        <w:t>s</w:t>
      </w:r>
      <w:r w:rsidR="00314E0F" w:rsidRPr="00CD704D">
        <w:rPr>
          <w:rFonts w:ascii="Times New Roman" w:hAnsi="Times New Roman" w:cs="Times New Roman"/>
          <w:sz w:val="24"/>
          <w:szCs w:val="24"/>
        </w:rPr>
        <w:t xml:space="preserve"> of </w:t>
      </w:r>
      <w:r w:rsidR="00BD5549">
        <w:rPr>
          <w:rFonts w:ascii="Times New Roman" w:hAnsi="Times New Roman" w:cs="Times New Roman"/>
          <w:sz w:val="24"/>
          <w:szCs w:val="24"/>
        </w:rPr>
        <w:t xml:space="preserve">agriculture/non-agriculture </w:t>
      </w:r>
      <w:r w:rsidR="00314E0F" w:rsidRPr="00CD704D">
        <w:rPr>
          <w:rFonts w:ascii="Times New Roman" w:hAnsi="Times New Roman" w:cs="Times New Roman"/>
          <w:sz w:val="24"/>
          <w:szCs w:val="24"/>
        </w:rPr>
        <w:t xml:space="preserve">mixed </w:t>
      </w:r>
      <w:r w:rsidR="00A30FDC">
        <w:rPr>
          <w:rFonts w:ascii="Times New Roman" w:hAnsi="Times New Roman" w:cs="Times New Roman"/>
          <w:sz w:val="24"/>
          <w:szCs w:val="24"/>
        </w:rPr>
        <w:t xml:space="preserve">rural </w:t>
      </w:r>
      <w:r w:rsidR="00314E0F" w:rsidRPr="00CD704D">
        <w:rPr>
          <w:rFonts w:ascii="Times New Roman" w:hAnsi="Times New Roman" w:cs="Times New Roman"/>
          <w:sz w:val="24"/>
          <w:szCs w:val="24"/>
        </w:rPr>
        <w:t>households</w:t>
      </w:r>
      <w:r w:rsidR="003F7A0A">
        <w:rPr>
          <w:rFonts w:ascii="Times New Roman" w:hAnsi="Times New Roman" w:cs="Times New Roman"/>
          <w:sz w:val="24"/>
          <w:szCs w:val="24"/>
        </w:rPr>
        <w:t xml:space="preserve"> </w:t>
      </w:r>
      <w:r w:rsidR="00A30FDC">
        <w:rPr>
          <w:rFonts w:ascii="Times New Roman" w:hAnsi="Times New Roman" w:cs="Times New Roman"/>
          <w:sz w:val="24"/>
          <w:szCs w:val="24"/>
        </w:rPr>
        <w:t xml:space="preserve">in both North and South </w:t>
      </w:r>
      <w:r w:rsidR="003F7A0A">
        <w:rPr>
          <w:rFonts w:ascii="Times New Roman" w:hAnsi="Times New Roman" w:cs="Times New Roman"/>
          <w:sz w:val="24"/>
          <w:szCs w:val="24"/>
        </w:rPr>
        <w:t>(</w:t>
      </w:r>
      <w:r w:rsidR="00314E0F">
        <w:rPr>
          <w:rFonts w:ascii="Times New Roman" w:hAnsi="Times New Roman" w:cs="Times New Roman"/>
          <w:sz w:val="24"/>
          <w:szCs w:val="24"/>
        </w:rPr>
        <w:t>T</w:t>
      </w:r>
      <w:r w:rsidR="00314E0F" w:rsidRPr="00CD704D">
        <w:rPr>
          <w:rFonts w:ascii="Times New Roman" w:hAnsi="Times New Roman" w:cs="Times New Roman"/>
          <w:sz w:val="24"/>
          <w:szCs w:val="24"/>
        </w:rPr>
        <w:t xml:space="preserve">able </w:t>
      </w:r>
      <w:r w:rsidR="00D52F18">
        <w:rPr>
          <w:rFonts w:ascii="Times New Roman" w:hAnsi="Times New Roman" w:cs="Times New Roman"/>
          <w:sz w:val="24"/>
          <w:szCs w:val="24"/>
        </w:rPr>
        <w:t>9</w:t>
      </w:r>
      <w:r w:rsidR="00314E0F">
        <w:rPr>
          <w:rFonts w:ascii="Times New Roman" w:hAnsi="Times New Roman" w:cs="Times New Roman"/>
          <w:sz w:val="24"/>
          <w:szCs w:val="24"/>
        </w:rPr>
        <w:t>.</w:t>
      </w:r>
      <w:r w:rsidR="00314E0F" w:rsidRPr="00CD704D">
        <w:rPr>
          <w:rFonts w:ascii="Times New Roman" w:hAnsi="Times New Roman" w:cs="Times New Roman"/>
          <w:sz w:val="24"/>
          <w:szCs w:val="24"/>
        </w:rPr>
        <w:t>2</w:t>
      </w:r>
      <w:r w:rsidR="003F7A0A">
        <w:rPr>
          <w:rFonts w:ascii="Times New Roman" w:hAnsi="Times New Roman" w:cs="Times New Roman"/>
          <w:sz w:val="24"/>
          <w:szCs w:val="24"/>
        </w:rPr>
        <w:t>)</w:t>
      </w:r>
      <w:r w:rsidR="00314E0F" w:rsidRPr="00CD704D">
        <w:rPr>
          <w:rFonts w:ascii="Times New Roman" w:hAnsi="Times New Roman" w:cs="Times New Roman"/>
          <w:sz w:val="24"/>
          <w:szCs w:val="24"/>
        </w:rPr>
        <w:t>.</w:t>
      </w:r>
      <w:r w:rsidR="00314E0F">
        <w:rPr>
          <w:rFonts w:ascii="Times New Roman" w:hAnsi="Times New Roman" w:cs="Times New Roman"/>
          <w:sz w:val="24"/>
          <w:szCs w:val="24"/>
        </w:rPr>
        <w:t xml:space="preserve"> </w:t>
      </w:r>
      <w:r w:rsidR="009730A4">
        <w:rPr>
          <w:rFonts w:ascii="Times New Roman" w:hAnsi="Times New Roman" w:cs="Times New Roman"/>
          <w:sz w:val="24"/>
          <w:szCs w:val="24"/>
        </w:rPr>
        <w:t xml:space="preserve">Thus, while many </w:t>
      </w:r>
      <w:r w:rsidR="00A30FDC">
        <w:rPr>
          <w:rFonts w:ascii="Times New Roman" w:hAnsi="Times New Roman" w:cs="Times New Roman"/>
          <w:sz w:val="24"/>
          <w:szCs w:val="24"/>
        </w:rPr>
        <w:t xml:space="preserve">rural </w:t>
      </w:r>
      <w:r w:rsidR="009730A4">
        <w:rPr>
          <w:rFonts w:ascii="Times New Roman" w:hAnsi="Times New Roman" w:cs="Times New Roman"/>
          <w:sz w:val="24"/>
          <w:szCs w:val="24"/>
        </w:rPr>
        <w:t>households have switched entirely from agriculture to non</w:t>
      </w:r>
      <w:r w:rsidR="00A30FDC">
        <w:rPr>
          <w:rFonts w:ascii="Times New Roman" w:hAnsi="Times New Roman" w:cs="Times New Roman"/>
          <w:sz w:val="24"/>
          <w:szCs w:val="24"/>
        </w:rPr>
        <w:t>-</w:t>
      </w:r>
      <w:r w:rsidR="009730A4">
        <w:rPr>
          <w:rFonts w:ascii="Times New Roman" w:hAnsi="Times New Roman" w:cs="Times New Roman"/>
          <w:sz w:val="24"/>
          <w:szCs w:val="24"/>
        </w:rPr>
        <w:t xml:space="preserve">agriculture, a declining share of </w:t>
      </w:r>
      <w:r w:rsidR="00A30FDC">
        <w:rPr>
          <w:rFonts w:ascii="Times New Roman" w:hAnsi="Times New Roman" w:cs="Times New Roman"/>
          <w:sz w:val="24"/>
          <w:szCs w:val="24"/>
        </w:rPr>
        <w:t xml:space="preserve">rural </w:t>
      </w:r>
      <w:r w:rsidR="009730A4">
        <w:rPr>
          <w:rFonts w:ascii="Times New Roman" w:hAnsi="Times New Roman" w:cs="Times New Roman"/>
          <w:sz w:val="24"/>
          <w:szCs w:val="24"/>
        </w:rPr>
        <w:t>households are straddling the two sectors through their primary occupations.</w:t>
      </w:r>
      <w:r w:rsidR="003A4553">
        <w:rPr>
          <w:rFonts w:ascii="Times New Roman" w:hAnsi="Times New Roman" w:cs="Times New Roman"/>
          <w:sz w:val="24"/>
          <w:szCs w:val="24"/>
        </w:rPr>
        <w:t xml:space="preserve"> </w:t>
      </w:r>
      <w:r w:rsidR="009730A4">
        <w:rPr>
          <w:rFonts w:ascii="Times New Roman" w:hAnsi="Times New Roman" w:cs="Times New Roman"/>
          <w:sz w:val="24"/>
          <w:szCs w:val="24"/>
        </w:rPr>
        <w:t>However, t</w:t>
      </w:r>
      <w:r>
        <w:rPr>
          <w:rFonts w:ascii="Times New Roman" w:hAnsi="Times New Roman" w:cs="Times New Roman"/>
          <w:sz w:val="24"/>
          <w:szCs w:val="24"/>
        </w:rPr>
        <w:t xml:space="preserve">he census data do not capture secondary or part time occupations, </w:t>
      </w:r>
      <w:r w:rsidR="007A65C2">
        <w:rPr>
          <w:rFonts w:ascii="Times New Roman" w:hAnsi="Times New Roman" w:cs="Times New Roman"/>
          <w:sz w:val="24"/>
          <w:szCs w:val="24"/>
        </w:rPr>
        <w:t>so</w:t>
      </w:r>
      <w:r>
        <w:rPr>
          <w:rFonts w:ascii="Times New Roman" w:hAnsi="Times New Roman" w:cs="Times New Roman"/>
          <w:sz w:val="24"/>
          <w:szCs w:val="24"/>
        </w:rPr>
        <w:t xml:space="preserve"> it is possible that </w:t>
      </w:r>
      <w:r w:rsidR="006F2C34">
        <w:rPr>
          <w:rFonts w:ascii="Times New Roman" w:hAnsi="Times New Roman" w:cs="Times New Roman"/>
          <w:sz w:val="24"/>
          <w:szCs w:val="24"/>
        </w:rPr>
        <w:t xml:space="preserve">many </w:t>
      </w:r>
      <w:r w:rsidR="00A30FDC">
        <w:rPr>
          <w:rFonts w:ascii="Times New Roman" w:hAnsi="Times New Roman" w:cs="Times New Roman"/>
          <w:sz w:val="24"/>
          <w:szCs w:val="24"/>
        </w:rPr>
        <w:t xml:space="preserve">rural </w:t>
      </w:r>
      <w:r>
        <w:rPr>
          <w:rFonts w:ascii="Times New Roman" w:hAnsi="Times New Roman" w:cs="Times New Roman"/>
          <w:sz w:val="24"/>
          <w:szCs w:val="24"/>
        </w:rPr>
        <w:t xml:space="preserve">households </w:t>
      </w:r>
      <w:r w:rsidR="009730A4">
        <w:rPr>
          <w:rFonts w:ascii="Times New Roman" w:hAnsi="Times New Roman" w:cs="Times New Roman"/>
          <w:sz w:val="24"/>
          <w:szCs w:val="24"/>
        </w:rPr>
        <w:t>have maintained a mixed strategy</w:t>
      </w:r>
      <w:r>
        <w:rPr>
          <w:rFonts w:ascii="Times New Roman" w:hAnsi="Times New Roman" w:cs="Times New Roman"/>
          <w:sz w:val="24"/>
          <w:szCs w:val="24"/>
        </w:rPr>
        <w:t xml:space="preserve"> </w:t>
      </w:r>
      <w:r w:rsidR="00BD5549">
        <w:rPr>
          <w:rFonts w:ascii="Times New Roman" w:hAnsi="Times New Roman" w:cs="Times New Roman"/>
          <w:sz w:val="24"/>
          <w:szCs w:val="24"/>
        </w:rPr>
        <w:t xml:space="preserve">more </w:t>
      </w:r>
      <w:r w:rsidR="007A65C2">
        <w:rPr>
          <w:rFonts w:ascii="Times New Roman" w:hAnsi="Times New Roman" w:cs="Times New Roman"/>
          <w:sz w:val="24"/>
          <w:szCs w:val="24"/>
        </w:rPr>
        <w:t xml:space="preserve">than </w:t>
      </w:r>
      <w:r w:rsidR="00BD5549">
        <w:rPr>
          <w:rFonts w:ascii="Times New Roman" w:hAnsi="Times New Roman" w:cs="Times New Roman"/>
          <w:sz w:val="24"/>
          <w:szCs w:val="24"/>
        </w:rPr>
        <w:t xml:space="preserve">that </w:t>
      </w:r>
      <w:r w:rsidR="007A65C2">
        <w:rPr>
          <w:rFonts w:ascii="Times New Roman" w:hAnsi="Times New Roman" w:cs="Times New Roman"/>
          <w:sz w:val="24"/>
          <w:szCs w:val="24"/>
        </w:rPr>
        <w:t xml:space="preserve">shown in Table </w:t>
      </w:r>
      <w:r w:rsidR="00D52F18">
        <w:rPr>
          <w:rFonts w:ascii="Times New Roman" w:hAnsi="Times New Roman" w:cs="Times New Roman"/>
          <w:sz w:val="24"/>
          <w:szCs w:val="24"/>
        </w:rPr>
        <w:t>9</w:t>
      </w:r>
      <w:r w:rsidR="007A65C2">
        <w:rPr>
          <w:rFonts w:ascii="Times New Roman" w:hAnsi="Times New Roman" w:cs="Times New Roman"/>
          <w:sz w:val="24"/>
          <w:szCs w:val="24"/>
        </w:rPr>
        <w:t xml:space="preserve">.2, </w:t>
      </w:r>
      <w:r>
        <w:rPr>
          <w:rFonts w:ascii="Times New Roman" w:hAnsi="Times New Roman" w:cs="Times New Roman"/>
          <w:sz w:val="24"/>
          <w:szCs w:val="24"/>
        </w:rPr>
        <w:t xml:space="preserve">but on a part time basis. </w:t>
      </w:r>
    </w:p>
    <w:p w14:paraId="2B257C26" w14:textId="77EB0EB1" w:rsidR="00BD5549" w:rsidRDefault="00F00BA8" w:rsidP="003A4553">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Some</w:t>
      </w:r>
      <w:r w:rsidR="00D24DF6">
        <w:rPr>
          <w:rFonts w:ascii="Times New Roman" w:hAnsi="Times New Roman" w:cs="Times New Roman"/>
          <w:sz w:val="24"/>
          <w:szCs w:val="24"/>
        </w:rPr>
        <w:t xml:space="preserve"> insights </w:t>
      </w:r>
      <w:r>
        <w:rPr>
          <w:rFonts w:ascii="Times New Roman" w:hAnsi="Times New Roman" w:cs="Times New Roman"/>
          <w:sz w:val="24"/>
          <w:szCs w:val="24"/>
        </w:rPr>
        <w:t xml:space="preserve">about this </w:t>
      </w:r>
      <w:r w:rsidR="00D24DF6">
        <w:rPr>
          <w:rFonts w:ascii="Times New Roman" w:hAnsi="Times New Roman" w:cs="Times New Roman"/>
          <w:sz w:val="24"/>
          <w:szCs w:val="24"/>
        </w:rPr>
        <w:t xml:space="preserve">can be gained from </w:t>
      </w:r>
      <w:r w:rsidR="009730A4">
        <w:rPr>
          <w:rFonts w:ascii="Times New Roman" w:hAnsi="Times New Roman" w:cs="Times New Roman"/>
          <w:sz w:val="24"/>
          <w:szCs w:val="24"/>
        </w:rPr>
        <w:t xml:space="preserve">the </w:t>
      </w:r>
      <w:r w:rsidR="00D24DF6">
        <w:rPr>
          <w:rFonts w:ascii="Times New Roman" w:hAnsi="Times New Roman" w:cs="Times New Roman"/>
          <w:sz w:val="24"/>
          <w:szCs w:val="24"/>
        </w:rPr>
        <w:t xml:space="preserve">GLSS data. Figure </w:t>
      </w:r>
      <w:r w:rsidR="00D52F18">
        <w:rPr>
          <w:rFonts w:ascii="Times New Roman" w:hAnsi="Times New Roman" w:cs="Times New Roman"/>
          <w:sz w:val="24"/>
          <w:szCs w:val="24"/>
        </w:rPr>
        <w:t>9</w:t>
      </w:r>
      <w:r w:rsidR="00D24DF6">
        <w:rPr>
          <w:rFonts w:ascii="Times New Roman" w:hAnsi="Times New Roman" w:cs="Times New Roman"/>
          <w:sz w:val="24"/>
          <w:szCs w:val="24"/>
        </w:rPr>
        <w:t xml:space="preserve">.4 reports the share of </w:t>
      </w:r>
      <w:r w:rsidR="003A537F">
        <w:rPr>
          <w:rFonts w:ascii="Times New Roman" w:hAnsi="Times New Roman" w:cs="Times New Roman"/>
          <w:sz w:val="24"/>
          <w:szCs w:val="24"/>
        </w:rPr>
        <w:t>‘</w:t>
      </w:r>
      <w:r w:rsidR="00D24DF6">
        <w:rPr>
          <w:rFonts w:ascii="Times New Roman" w:hAnsi="Times New Roman" w:cs="Times New Roman"/>
          <w:sz w:val="24"/>
          <w:szCs w:val="24"/>
        </w:rPr>
        <w:t>non</w:t>
      </w:r>
      <w:r w:rsidR="00A30FDC">
        <w:rPr>
          <w:rFonts w:ascii="Times New Roman" w:hAnsi="Times New Roman" w:cs="Times New Roman"/>
          <w:sz w:val="24"/>
          <w:szCs w:val="24"/>
        </w:rPr>
        <w:t>-</w:t>
      </w:r>
      <w:r w:rsidR="00D24DF6">
        <w:rPr>
          <w:rFonts w:ascii="Times New Roman" w:hAnsi="Times New Roman" w:cs="Times New Roman"/>
          <w:sz w:val="24"/>
          <w:szCs w:val="24"/>
        </w:rPr>
        <w:t>agriculture only</w:t>
      </w:r>
      <w:r w:rsidR="003A537F">
        <w:rPr>
          <w:rFonts w:ascii="Times New Roman" w:hAnsi="Times New Roman" w:cs="Times New Roman"/>
          <w:sz w:val="24"/>
          <w:szCs w:val="24"/>
        </w:rPr>
        <w:t>’</w:t>
      </w:r>
      <w:r w:rsidR="00D24DF6">
        <w:rPr>
          <w:rFonts w:ascii="Times New Roman" w:hAnsi="Times New Roman" w:cs="Times New Roman"/>
          <w:sz w:val="24"/>
          <w:szCs w:val="24"/>
        </w:rPr>
        <w:t xml:space="preserve"> </w:t>
      </w:r>
      <w:r w:rsidR="00A30FDC">
        <w:rPr>
          <w:rFonts w:ascii="Times New Roman" w:hAnsi="Times New Roman" w:cs="Times New Roman"/>
          <w:sz w:val="24"/>
          <w:szCs w:val="24"/>
        </w:rPr>
        <w:t xml:space="preserve">rural </w:t>
      </w:r>
      <w:r w:rsidR="00D24DF6">
        <w:rPr>
          <w:rFonts w:ascii="Times New Roman" w:hAnsi="Times New Roman" w:cs="Times New Roman"/>
          <w:sz w:val="24"/>
          <w:szCs w:val="24"/>
        </w:rPr>
        <w:t xml:space="preserve">households that </w:t>
      </w:r>
      <w:r w:rsidR="00A30FDC">
        <w:rPr>
          <w:rFonts w:ascii="Times New Roman" w:hAnsi="Times New Roman" w:cs="Times New Roman"/>
          <w:sz w:val="24"/>
          <w:szCs w:val="24"/>
        </w:rPr>
        <w:t xml:space="preserve">reported </w:t>
      </w:r>
      <w:r w:rsidR="003A4553">
        <w:rPr>
          <w:rFonts w:ascii="Times New Roman" w:hAnsi="Times New Roman" w:cs="Times New Roman"/>
          <w:sz w:val="24"/>
          <w:szCs w:val="24"/>
        </w:rPr>
        <w:t>having</w:t>
      </w:r>
      <w:r w:rsidR="00D24DF6">
        <w:rPr>
          <w:rFonts w:ascii="Times New Roman" w:hAnsi="Times New Roman" w:cs="Times New Roman"/>
          <w:sz w:val="24"/>
          <w:szCs w:val="24"/>
        </w:rPr>
        <w:t xml:space="preserve"> cultivated farmland, </w:t>
      </w:r>
      <w:r w:rsidR="003A4553">
        <w:rPr>
          <w:rFonts w:ascii="Times New Roman" w:hAnsi="Times New Roman" w:cs="Times New Roman"/>
          <w:sz w:val="24"/>
          <w:szCs w:val="24"/>
        </w:rPr>
        <w:t xml:space="preserve">which in 2012/13 was about </w:t>
      </w:r>
      <w:r w:rsidR="002178D3">
        <w:rPr>
          <w:rFonts w:ascii="Times New Roman" w:hAnsi="Times New Roman" w:cs="Times New Roman"/>
          <w:sz w:val="24"/>
          <w:szCs w:val="24"/>
        </w:rPr>
        <w:t xml:space="preserve">60 </w:t>
      </w:r>
      <w:r w:rsidR="00D24DF6">
        <w:rPr>
          <w:rFonts w:ascii="Times New Roman" w:hAnsi="Times New Roman" w:cs="Times New Roman"/>
          <w:sz w:val="24"/>
          <w:szCs w:val="24"/>
        </w:rPr>
        <w:t xml:space="preserve">percent in the </w:t>
      </w:r>
      <w:r w:rsidR="00A30FDC">
        <w:rPr>
          <w:rFonts w:ascii="Times New Roman" w:hAnsi="Times New Roman" w:cs="Times New Roman"/>
          <w:sz w:val="24"/>
          <w:szCs w:val="24"/>
        </w:rPr>
        <w:t>North</w:t>
      </w:r>
      <w:r w:rsidR="003A537F">
        <w:rPr>
          <w:rFonts w:ascii="Times New Roman" w:hAnsi="Times New Roman" w:cs="Times New Roman"/>
          <w:sz w:val="24"/>
          <w:szCs w:val="24"/>
        </w:rPr>
        <w:t xml:space="preserve"> </w:t>
      </w:r>
      <w:r w:rsidR="002178D3">
        <w:rPr>
          <w:rFonts w:ascii="Times New Roman" w:hAnsi="Times New Roman" w:cs="Times New Roman"/>
          <w:sz w:val="24"/>
          <w:szCs w:val="24"/>
        </w:rPr>
        <w:t xml:space="preserve">but less than </w:t>
      </w:r>
      <w:r w:rsidR="003A537F">
        <w:rPr>
          <w:rFonts w:ascii="Times New Roman" w:hAnsi="Times New Roman" w:cs="Times New Roman"/>
          <w:sz w:val="24"/>
          <w:szCs w:val="24"/>
        </w:rPr>
        <w:t xml:space="preserve">30 percent in the </w:t>
      </w:r>
      <w:r w:rsidR="00A30FDC">
        <w:rPr>
          <w:rFonts w:ascii="Times New Roman" w:hAnsi="Times New Roman" w:cs="Times New Roman"/>
          <w:sz w:val="24"/>
          <w:szCs w:val="24"/>
        </w:rPr>
        <w:t>South</w:t>
      </w:r>
      <w:r w:rsidR="003A537F">
        <w:rPr>
          <w:rFonts w:ascii="Times New Roman" w:hAnsi="Times New Roman" w:cs="Times New Roman"/>
          <w:sz w:val="24"/>
          <w:szCs w:val="24"/>
        </w:rPr>
        <w:t xml:space="preserve">. The size of the land area held </w:t>
      </w:r>
      <w:r w:rsidR="00A30FDC">
        <w:rPr>
          <w:rFonts w:ascii="Times New Roman" w:hAnsi="Times New Roman" w:cs="Times New Roman"/>
          <w:sz w:val="24"/>
          <w:szCs w:val="24"/>
        </w:rPr>
        <w:t xml:space="preserve">by such households </w:t>
      </w:r>
      <w:r w:rsidR="003A537F">
        <w:rPr>
          <w:rFonts w:ascii="Times New Roman" w:hAnsi="Times New Roman" w:cs="Times New Roman"/>
          <w:sz w:val="24"/>
          <w:szCs w:val="24"/>
        </w:rPr>
        <w:t>is small</w:t>
      </w:r>
      <w:r w:rsidR="00270C60">
        <w:rPr>
          <w:rFonts w:ascii="Times New Roman" w:hAnsi="Times New Roman" w:cs="Times New Roman"/>
          <w:sz w:val="24"/>
          <w:szCs w:val="24"/>
        </w:rPr>
        <w:t>,</w:t>
      </w:r>
      <w:r w:rsidR="003A537F">
        <w:rPr>
          <w:rFonts w:ascii="Times New Roman" w:hAnsi="Times New Roman" w:cs="Times New Roman"/>
          <w:sz w:val="24"/>
          <w:szCs w:val="24"/>
        </w:rPr>
        <w:t xml:space="preserve"> mostly less than 2 hectares</w:t>
      </w:r>
      <w:r w:rsidR="003A4553">
        <w:rPr>
          <w:rFonts w:ascii="Times New Roman" w:hAnsi="Times New Roman" w:cs="Times New Roman"/>
          <w:sz w:val="24"/>
          <w:szCs w:val="24"/>
        </w:rPr>
        <w:t>. However,</w:t>
      </w:r>
      <w:r w:rsidR="007A65C2">
        <w:rPr>
          <w:rFonts w:ascii="Times New Roman" w:hAnsi="Times New Roman" w:cs="Times New Roman"/>
          <w:sz w:val="24"/>
          <w:szCs w:val="24"/>
        </w:rPr>
        <w:t xml:space="preserve"> it does</w:t>
      </w:r>
      <w:r w:rsidR="003A537F">
        <w:rPr>
          <w:rFonts w:ascii="Times New Roman" w:hAnsi="Times New Roman" w:cs="Times New Roman"/>
          <w:sz w:val="24"/>
          <w:szCs w:val="24"/>
        </w:rPr>
        <w:t xml:space="preserve"> seem that many households whose </w:t>
      </w:r>
      <w:r w:rsidR="007A65C2">
        <w:rPr>
          <w:rFonts w:ascii="Times New Roman" w:hAnsi="Times New Roman" w:cs="Times New Roman"/>
          <w:sz w:val="24"/>
          <w:szCs w:val="24"/>
        </w:rPr>
        <w:t xml:space="preserve">members’ </w:t>
      </w:r>
      <w:r w:rsidR="003A537F">
        <w:rPr>
          <w:rFonts w:ascii="Times New Roman" w:hAnsi="Times New Roman" w:cs="Times New Roman"/>
          <w:sz w:val="24"/>
          <w:szCs w:val="24"/>
        </w:rPr>
        <w:t>primary occupation</w:t>
      </w:r>
      <w:r w:rsidR="007A65C2">
        <w:rPr>
          <w:rFonts w:ascii="Times New Roman" w:hAnsi="Times New Roman" w:cs="Times New Roman"/>
          <w:sz w:val="24"/>
          <w:szCs w:val="24"/>
        </w:rPr>
        <w:t>s lie</w:t>
      </w:r>
      <w:r w:rsidR="003A537F">
        <w:rPr>
          <w:rFonts w:ascii="Times New Roman" w:hAnsi="Times New Roman" w:cs="Times New Roman"/>
          <w:sz w:val="24"/>
          <w:szCs w:val="24"/>
        </w:rPr>
        <w:t xml:space="preserve"> outside </w:t>
      </w:r>
      <w:r w:rsidR="007A65C2">
        <w:rPr>
          <w:rFonts w:ascii="Times New Roman" w:hAnsi="Times New Roman" w:cs="Times New Roman"/>
          <w:sz w:val="24"/>
          <w:szCs w:val="24"/>
        </w:rPr>
        <w:t>agriculture</w:t>
      </w:r>
      <w:r w:rsidR="003A537F">
        <w:rPr>
          <w:rFonts w:ascii="Times New Roman" w:hAnsi="Times New Roman" w:cs="Times New Roman"/>
          <w:sz w:val="24"/>
          <w:szCs w:val="24"/>
        </w:rPr>
        <w:t xml:space="preserve"> are </w:t>
      </w:r>
      <w:r w:rsidR="00270C60">
        <w:rPr>
          <w:rFonts w:ascii="Times New Roman" w:hAnsi="Times New Roman" w:cs="Times New Roman"/>
          <w:sz w:val="24"/>
          <w:szCs w:val="24"/>
        </w:rPr>
        <w:t xml:space="preserve">still </w:t>
      </w:r>
      <w:r w:rsidR="003A537F">
        <w:rPr>
          <w:rFonts w:ascii="Times New Roman" w:hAnsi="Times New Roman" w:cs="Times New Roman"/>
          <w:sz w:val="24"/>
          <w:szCs w:val="24"/>
        </w:rPr>
        <w:t>engaged in farming as a secondary or part time occupation.</w:t>
      </w:r>
    </w:p>
    <w:p w14:paraId="68E8B400" w14:textId="77A0257D" w:rsidR="00C01A34" w:rsidRDefault="00F534CE"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lastRenderedPageBreak/>
        <w:t xml:space="preserve">Additionally, some rural households classified as </w:t>
      </w:r>
      <w:r w:rsidR="00F00BA8">
        <w:rPr>
          <w:rFonts w:ascii="Times New Roman" w:hAnsi="Times New Roman" w:cs="Times New Roman"/>
          <w:sz w:val="24"/>
          <w:szCs w:val="24"/>
        </w:rPr>
        <w:t>‘</w:t>
      </w:r>
      <w:r w:rsidRPr="00CD704D">
        <w:rPr>
          <w:rFonts w:ascii="Times New Roman" w:hAnsi="Times New Roman" w:cs="Times New Roman"/>
          <w:sz w:val="24"/>
          <w:szCs w:val="24"/>
        </w:rPr>
        <w:t>agricultur</w:t>
      </w:r>
      <w:r w:rsidR="00F00BA8">
        <w:rPr>
          <w:rFonts w:ascii="Times New Roman" w:hAnsi="Times New Roman" w:cs="Times New Roman"/>
          <w:sz w:val="24"/>
          <w:szCs w:val="24"/>
        </w:rPr>
        <w:t xml:space="preserve">e only’ </w:t>
      </w:r>
      <w:r w:rsidRPr="00CD704D">
        <w:rPr>
          <w:rFonts w:ascii="Times New Roman" w:hAnsi="Times New Roman" w:cs="Times New Roman"/>
          <w:sz w:val="24"/>
          <w:szCs w:val="24"/>
        </w:rPr>
        <w:t>also report having nonfarm household enterprises</w:t>
      </w:r>
      <w:r w:rsidR="003A537F">
        <w:rPr>
          <w:rFonts w:ascii="Times New Roman" w:hAnsi="Times New Roman" w:cs="Times New Roman"/>
          <w:sz w:val="24"/>
          <w:szCs w:val="24"/>
        </w:rPr>
        <w:t xml:space="preserve">, though these </w:t>
      </w:r>
      <w:r w:rsidR="007A65C2">
        <w:rPr>
          <w:rFonts w:ascii="Times New Roman" w:hAnsi="Times New Roman" w:cs="Times New Roman"/>
          <w:sz w:val="24"/>
          <w:szCs w:val="24"/>
        </w:rPr>
        <w:t xml:space="preserve">are likely to </w:t>
      </w:r>
      <w:r w:rsidR="003A537F">
        <w:rPr>
          <w:rFonts w:ascii="Times New Roman" w:hAnsi="Times New Roman" w:cs="Times New Roman"/>
          <w:sz w:val="24"/>
          <w:szCs w:val="24"/>
        </w:rPr>
        <w:t xml:space="preserve">be seasonal or part time activities. </w:t>
      </w:r>
      <w:r w:rsidR="007A65C2">
        <w:rPr>
          <w:rFonts w:ascii="Times New Roman" w:hAnsi="Times New Roman" w:cs="Times New Roman"/>
          <w:sz w:val="24"/>
          <w:szCs w:val="24"/>
        </w:rPr>
        <w:t>This phenomen</w:t>
      </w:r>
      <w:r w:rsidR="003A4553">
        <w:rPr>
          <w:rFonts w:ascii="Times New Roman" w:hAnsi="Times New Roman" w:cs="Times New Roman"/>
          <w:sz w:val="24"/>
          <w:szCs w:val="24"/>
        </w:rPr>
        <w:t>on</w:t>
      </w:r>
      <w:r w:rsidR="007A65C2">
        <w:rPr>
          <w:rFonts w:ascii="Times New Roman" w:hAnsi="Times New Roman" w:cs="Times New Roman"/>
          <w:sz w:val="24"/>
          <w:szCs w:val="24"/>
        </w:rPr>
        <w:t xml:space="preserve"> </w:t>
      </w:r>
      <w:r w:rsidR="006F2C34">
        <w:rPr>
          <w:rFonts w:ascii="Times New Roman" w:hAnsi="Times New Roman" w:cs="Times New Roman"/>
          <w:sz w:val="24"/>
          <w:szCs w:val="24"/>
        </w:rPr>
        <w:t>wa</w:t>
      </w:r>
      <w:r w:rsidR="007A65C2">
        <w:rPr>
          <w:rFonts w:ascii="Times New Roman" w:hAnsi="Times New Roman" w:cs="Times New Roman"/>
          <w:sz w:val="24"/>
          <w:szCs w:val="24"/>
        </w:rPr>
        <w:t xml:space="preserve">s </w:t>
      </w:r>
      <w:r w:rsidRPr="00CD704D">
        <w:rPr>
          <w:rFonts w:ascii="Times New Roman" w:hAnsi="Times New Roman" w:cs="Times New Roman"/>
          <w:sz w:val="24"/>
          <w:szCs w:val="24"/>
        </w:rPr>
        <w:t xml:space="preserve">more prevalent in the relatively less urbanized </w:t>
      </w:r>
      <w:r w:rsidR="007A65C2">
        <w:rPr>
          <w:rFonts w:ascii="Times New Roman" w:hAnsi="Times New Roman" w:cs="Times New Roman"/>
          <w:sz w:val="24"/>
          <w:szCs w:val="24"/>
        </w:rPr>
        <w:t>districts</w:t>
      </w:r>
      <w:r w:rsidRPr="00CD704D">
        <w:rPr>
          <w:rFonts w:ascii="Times New Roman" w:hAnsi="Times New Roman" w:cs="Times New Roman"/>
          <w:sz w:val="24"/>
          <w:szCs w:val="24"/>
        </w:rPr>
        <w:t xml:space="preserve">, </w:t>
      </w:r>
      <w:r w:rsidR="007A65C2">
        <w:rPr>
          <w:rFonts w:ascii="Times New Roman" w:hAnsi="Times New Roman" w:cs="Times New Roman"/>
          <w:sz w:val="24"/>
          <w:szCs w:val="24"/>
        </w:rPr>
        <w:t>though its importance fell between 2005/06 and 2012/13</w:t>
      </w:r>
      <w:r w:rsidR="00E63B8C">
        <w:rPr>
          <w:rFonts w:ascii="Times New Roman" w:hAnsi="Times New Roman" w:cs="Times New Roman"/>
          <w:sz w:val="24"/>
          <w:szCs w:val="24"/>
        </w:rPr>
        <w:t xml:space="preserve"> (GSS 2008; 2014- not pictured in </w:t>
      </w:r>
      <w:r w:rsidR="00D52F18">
        <w:rPr>
          <w:rFonts w:ascii="Times New Roman" w:hAnsi="Times New Roman" w:cs="Times New Roman"/>
          <w:sz w:val="24"/>
          <w:szCs w:val="24"/>
        </w:rPr>
        <w:t>Figure 9</w:t>
      </w:r>
      <w:r w:rsidR="00E63B8C">
        <w:rPr>
          <w:rFonts w:ascii="Times New Roman" w:hAnsi="Times New Roman" w:cs="Times New Roman"/>
          <w:sz w:val="24"/>
          <w:szCs w:val="24"/>
        </w:rPr>
        <w:t>.4).</w:t>
      </w:r>
      <w:r w:rsidR="00601E20" w:rsidRPr="00CD704D" w:rsidDel="00601E20">
        <w:rPr>
          <w:rFonts w:ascii="Times New Roman" w:hAnsi="Times New Roman" w:cs="Times New Roman"/>
          <w:sz w:val="24"/>
          <w:szCs w:val="24"/>
        </w:rPr>
        <w:t xml:space="preserve"> </w:t>
      </w:r>
    </w:p>
    <w:p w14:paraId="424E4CC0" w14:textId="55CB26FE" w:rsidR="00C01A34" w:rsidRDefault="00C01A34" w:rsidP="00EF7FD9">
      <w:pPr>
        <w:spacing w:line="360" w:lineRule="auto"/>
        <w:jc w:val="both"/>
        <w:rPr>
          <w:rFonts w:ascii="Times New Roman" w:hAnsi="Times New Roman" w:cs="Times New Roman"/>
          <w:sz w:val="24"/>
          <w:szCs w:val="24"/>
        </w:rPr>
      </w:pPr>
      <w:r w:rsidRPr="00FC1B5D">
        <w:rPr>
          <w:rFonts w:ascii="Times New Roman" w:hAnsi="Times New Roman" w:cs="Times New Roman"/>
          <w:sz w:val="24"/>
          <w:szCs w:val="24"/>
        </w:rPr>
        <w:t xml:space="preserve">Figure </w:t>
      </w:r>
      <w:r w:rsidR="00D52F18">
        <w:rPr>
          <w:rFonts w:ascii="Times New Roman" w:hAnsi="Times New Roman" w:cs="Times New Roman"/>
          <w:sz w:val="24"/>
          <w:szCs w:val="24"/>
        </w:rPr>
        <w:t>9</w:t>
      </w:r>
      <w:r w:rsidRPr="00FC1B5D">
        <w:rPr>
          <w:rFonts w:ascii="Times New Roman" w:hAnsi="Times New Roman" w:cs="Times New Roman"/>
          <w:sz w:val="24"/>
          <w:szCs w:val="24"/>
        </w:rPr>
        <w:t>.4: Share</w:t>
      </w:r>
      <w:r w:rsidR="005618A7">
        <w:rPr>
          <w:rFonts w:ascii="Times New Roman" w:hAnsi="Times New Roman" w:cs="Times New Roman"/>
          <w:sz w:val="24"/>
          <w:szCs w:val="24"/>
        </w:rPr>
        <w:t>s</w:t>
      </w:r>
      <w:r w:rsidRPr="00FC1B5D">
        <w:rPr>
          <w:rFonts w:ascii="Times New Roman" w:hAnsi="Times New Roman" w:cs="Times New Roman"/>
          <w:sz w:val="24"/>
          <w:szCs w:val="24"/>
        </w:rPr>
        <w:t xml:space="preserve"> of </w:t>
      </w:r>
      <w:r w:rsidR="005618A7">
        <w:rPr>
          <w:rFonts w:ascii="Times New Roman" w:hAnsi="Times New Roman" w:cs="Times New Roman"/>
          <w:sz w:val="24"/>
          <w:szCs w:val="24"/>
        </w:rPr>
        <w:t xml:space="preserve">no-land households and </w:t>
      </w:r>
      <w:r w:rsidRPr="00FC1B5D">
        <w:rPr>
          <w:rFonts w:ascii="Times New Roman" w:hAnsi="Times New Roman" w:cs="Times New Roman"/>
          <w:sz w:val="24"/>
          <w:szCs w:val="24"/>
        </w:rPr>
        <w:t>households with cultivated land</w:t>
      </w:r>
      <w:r>
        <w:rPr>
          <w:rFonts w:ascii="Times New Roman" w:hAnsi="Times New Roman" w:cs="Times New Roman"/>
          <w:sz w:val="24"/>
          <w:szCs w:val="24"/>
        </w:rPr>
        <w:t xml:space="preserve"> </w:t>
      </w:r>
      <w:r w:rsidR="005618A7">
        <w:rPr>
          <w:rFonts w:ascii="Times New Roman" w:hAnsi="Times New Roman" w:cs="Times New Roman"/>
          <w:sz w:val="24"/>
          <w:szCs w:val="24"/>
        </w:rPr>
        <w:t xml:space="preserve">less than 2ha </w:t>
      </w:r>
      <w:r>
        <w:rPr>
          <w:rFonts w:ascii="Times New Roman" w:hAnsi="Times New Roman" w:cs="Times New Roman"/>
          <w:sz w:val="24"/>
          <w:szCs w:val="24"/>
        </w:rPr>
        <w:t>by types of district groups</w:t>
      </w:r>
    </w:p>
    <w:p w14:paraId="381025ED" w14:textId="10CE6F6D" w:rsidR="00C01A34" w:rsidRDefault="006847C6" w:rsidP="00EF7FD9">
      <w:pPr>
        <w:spacing w:line="360" w:lineRule="auto"/>
        <w:jc w:val="both"/>
        <w:rPr>
          <w:rFonts w:ascii="Times New Roman" w:hAnsi="Times New Roman" w:cs="Times New Roman"/>
          <w:sz w:val="24"/>
          <w:szCs w:val="24"/>
        </w:rPr>
      </w:pPr>
      <w:r>
        <w:rPr>
          <w:noProof/>
        </w:rPr>
        <w:drawing>
          <wp:inline distT="0" distB="0" distL="0" distR="0" wp14:anchorId="614E5B2B" wp14:editId="6749879A">
            <wp:extent cx="5270500" cy="2593975"/>
            <wp:effectExtent l="0" t="0" r="635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58E7BC" w14:textId="77777777" w:rsidR="002C246E" w:rsidRDefault="00601E20" w:rsidP="00EF7FD9">
      <w:pPr>
        <w:spacing w:line="240" w:lineRule="auto"/>
        <w:jc w:val="both"/>
      </w:pPr>
      <w:r w:rsidRPr="00601E20">
        <w:rPr>
          <w:rFonts w:ascii="Times New Roman" w:hAnsi="Times New Roman" w:cs="Times New Roman"/>
          <w:sz w:val="20"/>
          <w:szCs w:val="20"/>
        </w:rPr>
        <w:t>Source: Authors’ calculations using data from GLSS5 for 2005) and GLSS6 for 2012 (GSS 2007 and 2014</w:t>
      </w:r>
      <w:r w:rsidR="002C246E">
        <w:rPr>
          <w:rFonts w:ascii="Times New Roman" w:hAnsi="Times New Roman" w:cs="Times New Roman"/>
          <w:sz w:val="20"/>
          <w:szCs w:val="20"/>
        </w:rPr>
        <w:t>)</w:t>
      </w:r>
      <w:r w:rsidR="002C246E" w:rsidRPr="002C246E">
        <w:t xml:space="preserve"> </w:t>
      </w:r>
    </w:p>
    <w:p w14:paraId="1378998E" w14:textId="6C8EA8DE" w:rsidR="00601E20" w:rsidRPr="00601E20" w:rsidRDefault="002C246E" w:rsidP="00EF7FD9">
      <w:pPr>
        <w:spacing w:line="240" w:lineRule="auto"/>
        <w:jc w:val="both"/>
        <w:rPr>
          <w:rFonts w:ascii="Times New Roman" w:hAnsi="Times New Roman" w:cs="Times New Roman"/>
          <w:sz w:val="20"/>
          <w:szCs w:val="20"/>
        </w:rPr>
      </w:pPr>
      <w:r w:rsidRPr="002C246E">
        <w:rPr>
          <w:rFonts w:ascii="Times New Roman" w:hAnsi="Times New Roman" w:cs="Times New Roman"/>
          <w:sz w:val="20"/>
          <w:szCs w:val="20"/>
        </w:rPr>
        <w:t>The excel file is in Daily\2015\GSSP\youth</w:t>
      </w:r>
      <w:r>
        <w:rPr>
          <w:rFonts w:ascii="Times New Roman" w:hAnsi="Times New Roman" w:cs="Times New Roman"/>
          <w:sz w:val="20"/>
          <w:szCs w:val="20"/>
        </w:rPr>
        <w:t>\</w:t>
      </w:r>
      <w:proofErr w:type="spellStart"/>
      <w:r>
        <w:rPr>
          <w:rFonts w:ascii="Times New Roman" w:hAnsi="Times New Roman" w:cs="Times New Roman"/>
          <w:sz w:val="20"/>
          <w:szCs w:val="20"/>
        </w:rPr>
        <w:t>land&amp;input</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landinputcosts</w:t>
      </w:r>
      <w:proofErr w:type="spellEnd"/>
      <w:r>
        <w:rPr>
          <w:rFonts w:ascii="Times New Roman" w:hAnsi="Times New Roman" w:cs="Times New Roman"/>
          <w:sz w:val="20"/>
          <w:szCs w:val="20"/>
        </w:rPr>
        <w:t>(</w:t>
      </w:r>
      <w:proofErr w:type="gramEnd"/>
      <w:r w:rsidR="00F64ED0">
        <w:rPr>
          <w:rFonts w:ascii="Times New Roman" w:hAnsi="Times New Roman" w:cs="Times New Roman"/>
          <w:sz w:val="20"/>
          <w:szCs w:val="20"/>
        </w:rPr>
        <w:t>Oct10</w:t>
      </w:r>
      <w:r w:rsidRPr="002C246E">
        <w:rPr>
          <w:rFonts w:ascii="Times New Roman" w:hAnsi="Times New Roman" w:cs="Times New Roman"/>
          <w:sz w:val="20"/>
          <w:szCs w:val="20"/>
        </w:rPr>
        <w:t>-2016)</w:t>
      </w:r>
      <w:r w:rsidR="00F64ED0">
        <w:rPr>
          <w:rFonts w:ascii="Times New Roman" w:hAnsi="Times New Roman" w:cs="Times New Roman"/>
          <w:sz w:val="20"/>
          <w:szCs w:val="20"/>
        </w:rPr>
        <w:t>_new types reg</w:t>
      </w:r>
      <w:r w:rsidRPr="002C246E">
        <w:rPr>
          <w:rFonts w:ascii="Times New Roman" w:hAnsi="Times New Roman" w:cs="Times New Roman"/>
          <w:sz w:val="20"/>
          <w:szCs w:val="20"/>
        </w:rPr>
        <w:t>.xlsx, sheet “GLSS</w:t>
      </w:r>
      <w:r>
        <w:rPr>
          <w:rFonts w:ascii="Times New Roman" w:hAnsi="Times New Roman" w:cs="Times New Roman"/>
          <w:sz w:val="20"/>
          <w:szCs w:val="20"/>
        </w:rPr>
        <w:t xml:space="preserve"> type compare</w:t>
      </w:r>
      <w:r w:rsidRPr="002C246E">
        <w:rPr>
          <w:rFonts w:ascii="Times New Roman" w:hAnsi="Times New Roman" w:cs="Times New Roman"/>
          <w:sz w:val="20"/>
          <w:szCs w:val="20"/>
        </w:rPr>
        <w:t>”</w:t>
      </w:r>
      <w:r w:rsidR="00571B65">
        <w:rPr>
          <w:rFonts w:ascii="Times New Roman" w:hAnsi="Times New Roman" w:cs="Times New Roman"/>
          <w:sz w:val="20"/>
          <w:szCs w:val="20"/>
        </w:rPr>
        <w:t>, row AU15</w:t>
      </w:r>
    </w:p>
    <w:p w14:paraId="598A20FA" w14:textId="77777777" w:rsidR="00C01A34" w:rsidRDefault="00C01A34" w:rsidP="00EF7FD9">
      <w:pPr>
        <w:spacing w:line="360" w:lineRule="auto"/>
        <w:ind w:firstLine="357"/>
        <w:jc w:val="both"/>
        <w:rPr>
          <w:rFonts w:ascii="Times New Roman" w:hAnsi="Times New Roman" w:cs="Times New Roman"/>
          <w:sz w:val="24"/>
          <w:szCs w:val="24"/>
        </w:rPr>
      </w:pPr>
    </w:p>
    <w:p w14:paraId="43EA9CAB" w14:textId="6DA3BE67" w:rsidR="00F52337" w:rsidRPr="00CD704D" w:rsidRDefault="00F52337"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The </w:t>
      </w:r>
      <w:r w:rsidR="009E5925">
        <w:rPr>
          <w:rFonts w:ascii="Times New Roman" w:hAnsi="Times New Roman" w:cs="Times New Roman"/>
          <w:sz w:val="24"/>
          <w:szCs w:val="24"/>
        </w:rPr>
        <w:t xml:space="preserve">census data </w:t>
      </w:r>
      <w:r w:rsidR="006F2C34">
        <w:rPr>
          <w:rFonts w:ascii="Times New Roman" w:hAnsi="Times New Roman" w:cs="Times New Roman"/>
          <w:sz w:val="24"/>
          <w:szCs w:val="24"/>
        </w:rPr>
        <w:t xml:space="preserve">also </w:t>
      </w:r>
      <w:r w:rsidR="009E5925">
        <w:rPr>
          <w:rFonts w:ascii="Times New Roman" w:hAnsi="Times New Roman" w:cs="Times New Roman"/>
          <w:sz w:val="24"/>
          <w:szCs w:val="24"/>
        </w:rPr>
        <w:t>provide</w:t>
      </w:r>
      <w:r w:rsidR="00BD5549">
        <w:rPr>
          <w:rFonts w:ascii="Times New Roman" w:hAnsi="Times New Roman" w:cs="Times New Roman"/>
          <w:sz w:val="24"/>
          <w:szCs w:val="24"/>
        </w:rPr>
        <w:t>s</w:t>
      </w:r>
      <w:r w:rsidR="009E5925">
        <w:rPr>
          <w:rFonts w:ascii="Times New Roman" w:hAnsi="Times New Roman" w:cs="Times New Roman"/>
          <w:sz w:val="24"/>
          <w:szCs w:val="24"/>
        </w:rPr>
        <w:t xml:space="preserve"> detailed insights into the types </w:t>
      </w:r>
      <w:r w:rsidR="00BD5549">
        <w:rPr>
          <w:rFonts w:ascii="Times New Roman" w:hAnsi="Times New Roman" w:cs="Times New Roman"/>
          <w:sz w:val="24"/>
          <w:szCs w:val="24"/>
        </w:rPr>
        <w:t xml:space="preserve">of </w:t>
      </w:r>
      <w:r w:rsidR="009E5925">
        <w:rPr>
          <w:rFonts w:ascii="Times New Roman" w:hAnsi="Times New Roman" w:cs="Times New Roman"/>
          <w:sz w:val="24"/>
          <w:szCs w:val="24"/>
        </w:rPr>
        <w:t>primary employment</w:t>
      </w:r>
      <w:r w:rsidR="00A57EDA">
        <w:rPr>
          <w:rFonts w:ascii="Times New Roman" w:hAnsi="Times New Roman" w:cs="Times New Roman"/>
          <w:sz w:val="24"/>
          <w:szCs w:val="24"/>
        </w:rPr>
        <w:t>, and we</w:t>
      </w:r>
      <w:r w:rsidR="009E5925">
        <w:rPr>
          <w:rFonts w:ascii="Times New Roman" w:hAnsi="Times New Roman" w:cs="Times New Roman"/>
          <w:sz w:val="24"/>
          <w:szCs w:val="24"/>
        </w:rPr>
        <w:t xml:space="preserve"> </w:t>
      </w:r>
      <w:r w:rsidR="00A57EDA">
        <w:rPr>
          <w:rFonts w:ascii="Times New Roman" w:hAnsi="Times New Roman" w:cs="Times New Roman"/>
          <w:sz w:val="24"/>
          <w:szCs w:val="24"/>
        </w:rPr>
        <w:t xml:space="preserve">focus on </w:t>
      </w:r>
      <w:r w:rsidR="004258AA">
        <w:rPr>
          <w:rFonts w:ascii="Times New Roman" w:hAnsi="Times New Roman" w:cs="Times New Roman"/>
          <w:sz w:val="24"/>
          <w:szCs w:val="24"/>
        </w:rPr>
        <w:t>‘</w:t>
      </w:r>
      <w:r w:rsidR="009E5925">
        <w:rPr>
          <w:rFonts w:ascii="Times New Roman" w:hAnsi="Times New Roman" w:cs="Times New Roman"/>
          <w:sz w:val="24"/>
          <w:szCs w:val="24"/>
        </w:rPr>
        <w:t>non</w:t>
      </w:r>
      <w:r w:rsidR="005D7421">
        <w:rPr>
          <w:rFonts w:ascii="Times New Roman" w:hAnsi="Times New Roman" w:cs="Times New Roman"/>
          <w:sz w:val="24"/>
          <w:szCs w:val="24"/>
        </w:rPr>
        <w:t>-</w:t>
      </w:r>
      <w:r w:rsidR="009E5925">
        <w:rPr>
          <w:rFonts w:ascii="Times New Roman" w:hAnsi="Times New Roman" w:cs="Times New Roman"/>
          <w:sz w:val="24"/>
          <w:szCs w:val="24"/>
        </w:rPr>
        <w:t>agricultur</w:t>
      </w:r>
      <w:r w:rsidR="004258AA">
        <w:rPr>
          <w:rFonts w:ascii="Times New Roman" w:hAnsi="Times New Roman" w:cs="Times New Roman"/>
          <w:sz w:val="24"/>
          <w:szCs w:val="24"/>
        </w:rPr>
        <w:t xml:space="preserve">e only’ households </w:t>
      </w:r>
      <w:r w:rsidR="00A57EDA">
        <w:rPr>
          <w:rFonts w:ascii="Times New Roman" w:hAnsi="Times New Roman" w:cs="Times New Roman"/>
          <w:sz w:val="24"/>
          <w:szCs w:val="24"/>
        </w:rPr>
        <w:t xml:space="preserve">in </w:t>
      </w:r>
      <w:r w:rsidR="009E5925">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9E5925">
        <w:rPr>
          <w:rFonts w:ascii="Times New Roman" w:hAnsi="Times New Roman" w:cs="Times New Roman"/>
          <w:sz w:val="24"/>
          <w:szCs w:val="24"/>
        </w:rPr>
        <w:t>.3</w:t>
      </w:r>
      <w:r w:rsidR="00A57EDA">
        <w:rPr>
          <w:rFonts w:ascii="Times New Roman" w:hAnsi="Times New Roman" w:cs="Times New Roman"/>
          <w:sz w:val="24"/>
          <w:szCs w:val="24"/>
        </w:rPr>
        <w:t xml:space="preserve"> for such information</w:t>
      </w:r>
      <w:r w:rsidR="009E5925">
        <w:rPr>
          <w:rFonts w:ascii="Times New Roman" w:hAnsi="Times New Roman" w:cs="Times New Roman"/>
          <w:sz w:val="24"/>
          <w:szCs w:val="24"/>
        </w:rPr>
        <w:t xml:space="preserve">. </w:t>
      </w:r>
      <w:r w:rsidR="004258AA">
        <w:rPr>
          <w:rFonts w:ascii="Times New Roman" w:hAnsi="Times New Roman" w:cs="Times New Roman"/>
          <w:sz w:val="24"/>
          <w:szCs w:val="24"/>
        </w:rPr>
        <w:t xml:space="preserve">By far the largest share of </w:t>
      </w:r>
      <w:r w:rsidR="00A57EDA">
        <w:rPr>
          <w:rFonts w:ascii="Times New Roman" w:hAnsi="Times New Roman" w:cs="Times New Roman"/>
          <w:sz w:val="24"/>
          <w:szCs w:val="24"/>
        </w:rPr>
        <w:t xml:space="preserve">nonagricultural </w:t>
      </w:r>
      <w:r w:rsidR="004258AA">
        <w:rPr>
          <w:rFonts w:ascii="Times New Roman" w:hAnsi="Times New Roman" w:cs="Times New Roman"/>
          <w:sz w:val="24"/>
          <w:szCs w:val="24"/>
        </w:rPr>
        <w:t xml:space="preserve">employment </w:t>
      </w:r>
      <w:r w:rsidR="00A57EDA">
        <w:rPr>
          <w:rFonts w:ascii="Times New Roman" w:hAnsi="Times New Roman" w:cs="Times New Roman"/>
          <w:sz w:val="24"/>
          <w:szCs w:val="24"/>
        </w:rPr>
        <w:t xml:space="preserve">in the rural areas </w:t>
      </w:r>
      <w:r w:rsidR="004258AA">
        <w:rPr>
          <w:rFonts w:ascii="Times New Roman" w:hAnsi="Times New Roman" w:cs="Times New Roman"/>
          <w:sz w:val="24"/>
          <w:szCs w:val="24"/>
        </w:rPr>
        <w:t xml:space="preserve">is in informal activities, and this is true </w:t>
      </w:r>
      <w:r w:rsidR="00AB7002">
        <w:rPr>
          <w:rFonts w:ascii="Times New Roman" w:hAnsi="Times New Roman" w:cs="Times New Roman"/>
          <w:sz w:val="24"/>
          <w:szCs w:val="24"/>
        </w:rPr>
        <w:t xml:space="preserve">for all district groups </w:t>
      </w:r>
      <w:r w:rsidR="00BD5549">
        <w:rPr>
          <w:rFonts w:ascii="Times New Roman" w:hAnsi="Times New Roman" w:cs="Times New Roman"/>
          <w:sz w:val="24"/>
          <w:szCs w:val="24"/>
        </w:rPr>
        <w:t xml:space="preserve">in </w:t>
      </w:r>
      <w:r w:rsidR="009730A4">
        <w:rPr>
          <w:rFonts w:ascii="Times New Roman" w:hAnsi="Times New Roman" w:cs="Times New Roman"/>
          <w:sz w:val="24"/>
          <w:szCs w:val="24"/>
        </w:rPr>
        <w:t>both census years</w:t>
      </w:r>
      <w:r w:rsidR="004258AA">
        <w:rPr>
          <w:rFonts w:ascii="Times New Roman" w:hAnsi="Times New Roman" w:cs="Times New Roman"/>
          <w:sz w:val="24"/>
          <w:szCs w:val="24"/>
        </w:rPr>
        <w:t>.</w:t>
      </w:r>
      <w:r w:rsidR="00A57EDA">
        <w:rPr>
          <w:rFonts w:ascii="Times New Roman" w:hAnsi="Times New Roman" w:cs="Times New Roman"/>
          <w:sz w:val="24"/>
          <w:szCs w:val="24"/>
        </w:rPr>
        <w:t xml:space="preserve"> </w:t>
      </w:r>
      <w:r w:rsidR="004258AA">
        <w:rPr>
          <w:rFonts w:ascii="Times New Roman" w:hAnsi="Times New Roman" w:cs="Times New Roman"/>
          <w:sz w:val="24"/>
          <w:szCs w:val="24"/>
        </w:rPr>
        <w:t xml:space="preserve">Informal trade is more </w:t>
      </w:r>
      <w:r w:rsidR="003A4553">
        <w:rPr>
          <w:rFonts w:ascii="Times New Roman" w:hAnsi="Times New Roman" w:cs="Times New Roman"/>
          <w:sz w:val="24"/>
          <w:szCs w:val="24"/>
        </w:rPr>
        <w:t>prevalent</w:t>
      </w:r>
      <w:r w:rsidR="004258AA">
        <w:rPr>
          <w:rFonts w:ascii="Times New Roman" w:hAnsi="Times New Roman" w:cs="Times New Roman"/>
          <w:sz w:val="24"/>
          <w:szCs w:val="24"/>
        </w:rPr>
        <w:t xml:space="preserve"> than informal manufacturing, and more so in 2010 than in 2000. </w:t>
      </w:r>
      <w:r w:rsidR="00A57EDA" w:rsidRPr="00A57EDA">
        <w:rPr>
          <w:rFonts w:ascii="Times New Roman" w:hAnsi="Times New Roman" w:cs="Times New Roman"/>
          <w:sz w:val="24"/>
          <w:szCs w:val="24"/>
        </w:rPr>
        <w:t xml:space="preserve">Between the North and South </w:t>
      </w:r>
      <w:r w:rsidR="00A57EDA">
        <w:rPr>
          <w:rFonts w:ascii="Times New Roman" w:hAnsi="Times New Roman" w:cs="Times New Roman"/>
          <w:sz w:val="24"/>
          <w:szCs w:val="24"/>
        </w:rPr>
        <w:t>i</w:t>
      </w:r>
      <w:r w:rsidR="004258AA">
        <w:rPr>
          <w:rFonts w:ascii="Times New Roman" w:hAnsi="Times New Roman" w:cs="Times New Roman"/>
          <w:sz w:val="24"/>
          <w:szCs w:val="24"/>
        </w:rPr>
        <w:t xml:space="preserve">nformal manufacturing is </w:t>
      </w:r>
      <w:r w:rsidR="00AB7002">
        <w:rPr>
          <w:rFonts w:ascii="Times New Roman" w:hAnsi="Times New Roman" w:cs="Times New Roman"/>
          <w:sz w:val="24"/>
          <w:szCs w:val="24"/>
        </w:rPr>
        <w:t xml:space="preserve">also </w:t>
      </w:r>
      <w:r w:rsidR="004258AA">
        <w:rPr>
          <w:rFonts w:ascii="Times New Roman" w:hAnsi="Times New Roman" w:cs="Times New Roman"/>
          <w:sz w:val="24"/>
          <w:szCs w:val="24"/>
        </w:rPr>
        <w:t xml:space="preserve">more </w:t>
      </w:r>
      <w:r w:rsidR="003A4553">
        <w:rPr>
          <w:rFonts w:ascii="Times New Roman" w:hAnsi="Times New Roman" w:cs="Times New Roman"/>
          <w:sz w:val="24"/>
          <w:szCs w:val="24"/>
        </w:rPr>
        <w:t xml:space="preserve">prevalent </w:t>
      </w:r>
      <w:r w:rsidR="004258AA">
        <w:rPr>
          <w:rFonts w:ascii="Times New Roman" w:hAnsi="Times New Roman" w:cs="Times New Roman"/>
          <w:sz w:val="24"/>
          <w:szCs w:val="24"/>
        </w:rPr>
        <w:t>in less urbanized areas</w:t>
      </w:r>
      <w:r w:rsidR="00AB7002">
        <w:rPr>
          <w:rFonts w:ascii="Times New Roman" w:hAnsi="Times New Roman" w:cs="Times New Roman"/>
          <w:sz w:val="24"/>
          <w:szCs w:val="24"/>
        </w:rPr>
        <w:t xml:space="preserve"> </w:t>
      </w:r>
      <w:r w:rsidR="00A57EDA">
        <w:rPr>
          <w:rFonts w:ascii="Times New Roman" w:hAnsi="Times New Roman" w:cs="Times New Roman"/>
          <w:sz w:val="24"/>
          <w:szCs w:val="24"/>
        </w:rPr>
        <w:t>in the North</w:t>
      </w:r>
      <w:r w:rsidR="003A4553">
        <w:rPr>
          <w:rFonts w:ascii="Times New Roman" w:hAnsi="Times New Roman" w:cs="Times New Roman"/>
          <w:sz w:val="24"/>
          <w:szCs w:val="24"/>
        </w:rPr>
        <w:t>, as</w:t>
      </w:r>
      <w:r w:rsidR="00A57EDA">
        <w:rPr>
          <w:rFonts w:ascii="Times New Roman" w:hAnsi="Times New Roman" w:cs="Times New Roman"/>
          <w:sz w:val="24"/>
          <w:szCs w:val="24"/>
        </w:rPr>
        <w:t xml:space="preserve"> </w:t>
      </w:r>
      <w:r w:rsidR="00AB7002">
        <w:rPr>
          <w:rFonts w:ascii="Times New Roman" w:hAnsi="Times New Roman" w:cs="Times New Roman"/>
          <w:sz w:val="24"/>
          <w:szCs w:val="24"/>
        </w:rPr>
        <w:t xml:space="preserve">much of it involves </w:t>
      </w:r>
      <w:r w:rsidR="004258AA">
        <w:rPr>
          <w:rFonts w:ascii="Times New Roman" w:hAnsi="Times New Roman" w:cs="Times New Roman"/>
          <w:sz w:val="24"/>
          <w:szCs w:val="24"/>
        </w:rPr>
        <w:t xml:space="preserve">small-scale food processing for the local market. The growing importance of informal trade </w:t>
      </w:r>
      <w:r w:rsidR="001154A0">
        <w:rPr>
          <w:rFonts w:ascii="Times New Roman" w:hAnsi="Times New Roman" w:cs="Times New Roman"/>
          <w:sz w:val="24"/>
          <w:szCs w:val="24"/>
        </w:rPr>
        <w:t xml:space="preserve">suggests increasing </w:t>
      </w:r>
      <w:r w:rsidR="001154A0" w:rsidRPr="00CD704D">
        <w:rPr>
          <w:rFonts w:ascii="Times New Roman" w:hAnsi="Times New Roman" w:cs="Times New Roman"/>
          <w:sz w:val="24"/>
          <w:szCs w:val="24"/>
        </w:rPr>
        <w:t xml:space="preserve">integration </w:t>
      </w:r>
      <w:r w:rsidR="001154A0">
        <w:rPr>
          <w:rFonts w:ascii="Times New Roman" w:hAnsi="Times New Roman" w:cs="Times New Roman"/>
          <w:sz w:val="24"/>
          <w:szCs w:val="24"/>
        </w:rPr>
        <w:t xml:space="preserve">of rural areas </w:t>
      </w:r>
      <w:r w:rsidR="001154A0" w:rsidRPr="00CD704D">
        <w:rPr>
          <w:rFonts w:ascii="Times New Roman" w:hAnsi="Times New Roman" w:cs="Times New Roman"/>
          <w:sz w:val="24"/>
          <w:szCs w:val="24"/>
        </w:rPr>
        <w:t xml:space="preserve">with urban areas and the broader economy </w:t>
      </w:r>
      <w:r w:rsidR="004258AA">
        <w:rPr>
          <w:rFonts w:ascii="Times New Roman" w:hAnsi="Times New Roman" w:cs="Times New Roman"/>
          <w:sz w:val="24"/>
          <w:szCs w:val="24"/>
        </w:rPr>
        <w:t>(</w:t>
      </w:r>
      <w:proofErr w:type="spellStart"/>
      <w:r w:rsidR="00DE2FCB" w:rsidRPr="00CD704D">
        <w:rPr>
          <w:rFonts w:ascii="Times New Roman" w:hAnsi="Times New Roman" w:cs="Times New Roman"/>
          <w:sz w:val="24"/>
          <w:szCs w:val="24"/>
        </w:rPr>
        <w:t>Haggb</w:t>
      </w:r>
      <w:r w:rsidR="006F2C34">
        <w:rPr>
          <w:rFonts w:ascii="Times New Roman" w:hAnsi="Times New Roman" w:cs="Times New Roman"/>
          <w:sz w:val="24"/>
          <w:szCs w:val="24"/>
        </w:rPr>
        <w:t>lade</w:t>
      </w:r>
      <w:proofErr w:type="spellEnd"/>
      <w:r w:rsidR="00DE2FCB" w:rsidRPr="00CD704D">
        <w:rPr>
          <w:rFonts w:ascii="Times New Roman" w:hAnsi="Times New Roman" w:cs="Times New Roman"/>
          <w:sz w:val="24"/>
          <w:szCs w:val="24"/>
        </w:rPr>
        <w:t>, Hazell and Brown</w:t>
      </w:r>
      <w:r w:rsidR="004258AA">
        <w:rPr>
          <w:rFonts w:ascii="Times New Roman" w:hAnsi="Times New Roman" w:cs="Times New Roman"/>
          <w:sz w:val="24"/>
          <w:szCs w:val="24"/>
        </w:rPr>
        <w:t xml:space="preserve">, </w:t>
      </w:r>
      <w:r w:rsidR="00DE2FCB" w:rsidRPr="00CD704D">
        <w:rPr>
          <w:rFonts w:ascii="Times New Roman" w:hAnsi="Times New Roman" w:cs="Times New Roman"/>
          <w:sz w:val="24"/>
          <w:szCs w:val="24"/>
        </w:rPr>
        <w:t>1989)</w:t>
      </w:r>
      <w:r w:rsidR="004258AA">
        <w:rPr>
          <w:rFonts w:ascii="Times New Roman" w:hAnsi="Times New Roman" w:cs="Times New Roman"/>
          <w:sz w:val="24"/>
          <w:szCs w:val="24"/>
        </w:rPr>
        <w:t>.</w:t>
      </w:r>
      <w:r w:rsidRPr="00CD704D">
        <w:rPr>
          <w:rFonts w:ascii="Times New Roman" w:hAnsi="Times New Roman" w:cs="Times New Roman"/>
          <w:sz w:val="24"/>
          <w:szCs w:val="24"/>
        </w:rPr>
        <w:t xml:space="preserve"> </w:t>
      </w:r>
    </w:p>
    <w:p w14:paraId="33C6D406" w14:textId="3DCC7758" w:rsidR="00601E20" w:rsidRPr="00EC2957" w:rsidRDefault="00601E20" w:rsidP="00EF7FD9">
      <w:pPr>
        <w:jc w:val="both"/>
        <w:rPr>
          <w:rFonts w:ascii="Times New Roman" w:hAnsi="Times New Roman" w:cs="Times New Roman"/>
          <w:sz w:val="24"/>
          <w:szCs w:val="24"/>
        </w:rPr>
      </w:pPr>
      <w:r w:rsidRPr="00EC2957">
        <w:rPr>
          <w:rFonts w:ascii="Times New Roman" w:hAnsi="Times New Roman" w:cs="Times New Roman"/>
          <w:sz w:val="24"/>
          <w:szCs w:val="24"/>
        </w:rPr>
        <w:t xml:space="preserve">Table </w:t>
      </w:r>
      <w:r w:rsidR="00D52F18">
        <w:rPr>
          <w:rFonts w:ascii="Times New Roman" w:hAnsi="Times New Roman" w:cs="Times New Roman"/>
          <w:sz w:val="24"/>
          <w:szCs w:val="24"/>
        </w:rPr>
        <w:t>9</w:t>
      </w:r>
      <w:r w:rsidRPr="00EC2957">
        <w:rPr>
          <w:rFonts w:ascii="Times New Roman" w:hAnsi="Times New Roman" w:cs="Times New Roman"/>
          <w:sz w:val="24"/>
          <w:szCs w:val="24"/>
        </w:rPr>
        <w:t>.3: Types of primary employment amongst ‘non-agriculture only’ households, by type district, 2000 and 2010</w:t>
      </w:r>
    </w:p>
    <w:tbl>
      <w:tblPr>
        <w:tblW w:w="8832" w:type="dxa"/>
        <w:tblLook w:val="04A0" w:firstRow="1" w:lastRow="0" w:firstColumn="1" w:lastColumn="0" w:noHBand="0" w:noVBand="1"/>
      </w:tblPr>
      <w:tblGrid>
        <w:gridCol w:w="2036"/>
        <w:gridCol w:w="1321"/>
        <w:gridCol w:w="1011"/>
        <w:gridCol w:w="1038"/>
        <w:gridCol w:w="989"/>
        <w:gridCol w:w="1028"/>
        <w:gridCol w:w="1409"/>
      </w:tblGrid>
      <w:tr w:rsidR="00601E20" w:rsidRPr="00EC2957" w14:paraId="4759A4BB" w14:textId="77777777" w:rsidTr="00E72E84">
        <w:trPr>
          <w:trHeight w:val="288"/>
        </w:trPr>
        <w:tc>
          <w:tcPr>
            <w:tcW w:w="2036" w:type="dxa"/>
            <w:tcBorders>
              <w:top w:val="single" w:sz="4" w:space="0" w:color="auto"/>
              <w:left w:val="nil"/>
              <w:bottom w:val="nil"/>
              <w:right w:val="nil"/>
            </w:tcBorders>
            <w:shd w:val="clear" w:color="auto" w:fill="auto"/>
            <w:noWrap/>
            <w:vAlign w:val="bottom"/>
            <w:hideMark/>
          </w:tcPr>
          <w:p w14:paraId="6DC0BDF2"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lastRenderedPageBreak/>
              <w:t> </w:t>
            </w:r>
          </w:p>
        </w:tc>
        <w:tc>
          <w:tcPr>
            <w:tcW w:w="6796" w:type="dxa"/>
            <w:gridSpan w:val="6"/>
            <w:tcBorders>
              <w:top w:val="single" w:sz="4" w:space="0" w:color="auto"/>
              <w:left w:val="nil"/>
              <w:bottom w:val="nil"/>
              <w:right w:val="nil"/>
            </w:tcBorders>
            <w:shd w:val="clear" w:color="auto" w:fill="auto"/>
            <w:noWrap/>
            <w:vAlign w:val="bottom"/>
            <w:hideMark/>
          </w:tcPr>
          <w:p w14:paraId="1643EFF7"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of rural nonagricultural households with family members engaging in:</w:t>
            </w:r>
          </w:p>
        </w:tc>
      </w:tr>
      <w:tr w:rsidR="00601E20" w:rsidRPr="00EC2957" w14:paraId="01DA2C31" w14:textId="77777777" w:rsidTr="00E72E84">
        <w:trPr>
          <w:trHeight w:val="828"/>
        </w:trPr>
        <w:tc>
          <w:tcPr>
            <w:tcW w:w="2036" w:type="dxa"/>
            <w:tcBorders>
              <w:top w:val="nil"/>
              <w:left w:val="nil"/>
              <w:bottom w:val="single" w:sz="4" w:space="0" w:color="auto"/>
              <w:right w:val="nil"/>
            </w:tcBorders>
            <w:shd w:val="clear" w:color="auto" w:fill="auto"/>
            <w:noWrap/>
            <w:vAlign w:val="bottom"/>
            <w:hideMark/>
          </w:tcPr>
          <w:p w14:paraId="55117725"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321" w:type="dxa"/>
            <w:tcBorders>
              <w:top w:val="nil"/>
              <w:left w:val="nil"/>
              <w:bottom w:val="single" w:sz="4" w:space="0" w:color="auto"/>
              <w:right w:val="nil"/>
            </w:tcBorders>
            <w:shd w:val="clear" w:color="auto" w:fill="auto"/>
            <w:vAlign w:val="center"/>
            <w:hideMark/>
          </w:tcPr>
          <w:p w14:paraId="1A149EC9" w14:textId="25B9ADA4"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Formal only</w:t>
            </w:r>
          </w:p>
        </w:tc>
        <w:tc>
          <w:tcPr>
            <w:tcW w:w="1011" w:type="dxa"/>
            <w:tcBorders>
              <w:top w:val="nil"/>
              <w:left w:val="nil"/>
              <w:bottom w:val="single" w:sz="4" w:space="0" w:color="auto"/>
              <w:right w:val="nil"/>
            </w:tcBorders>
            <w:shd w:val="clear" w:color="auto" w:fill="auto"/>
            <w:vAlign w:val="center"/>
            <w:hideMark/>
          </w:tcPr>
          <w:p w14:paraId="241C3E6B" w14:textId="7371550C"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 xml:space="preserve">Inf. </w:t>
            </w:r>
            <w:proofErr w:type="spellStart"/>
            <w:r>
              <w:rPr>
                <w:rFonts w:ascii="Times New Roman" w:eastAsia="Times New Roman" w:hAnsi="Times New Roman" w:cs="Times New Roman"/>
              </w:rPr>
              <w:t>m</w:t>
            </w:r>
            <w:r w:rsidRPr="00EC2957">
              <w:rPr>
                <w:rFonts w:ascii="Times New Roman" w:eastAsia="Times New Roman" w:hAnsi="Times New Roman" w:cs="Times New Roman"/>
              </w:rPr>
              <w:t>fg</w:t>
            </w:r>
            <w:proofErr w:type="spellEnd"/>
            <w:r w:rsidRPr="00EC2957">
              <w:rPr>
                <w:rFonts w:ascii="Times New Roman" w:eastAsia="Times New Roman" w:hAnsi="Times New Roman" w:cs="Times New Roman"/>
              </w:rPr>
              <w:t xml:space="preserve"> only</w:t>
            </w:r>
          </w:p>
        </w:tc>
        <w:tc>
          <w:tcPr>
            <w:tcW w:w="1038" w:type="dxa"/>
            <w:tcBorders>
              <w:top w:val="nil"/>
              <w:left w:val="nil"/>
              <w:bottom w:val="single" w:sz="4" w:space="0" w:color="auto"/>
              <w:right w:val="nil"/>
            </w:tcBorders>
            <w:shd w:val="clear" w:color="auto" w:fill="auto"/>
            <w:vAlign w:val="center"/>
            <w:hideMark/>
          </w:tcPr>
          <w:p w14:paraId="6A934797" w14:textId="5DD89416"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 xml:space="preserve">Inf. </w:t>
            </w:r>
            <w:r>
              <w:rPr>
                <w:rFonts w:ascii="Times New Roman" w:eastAsia="Times New Roman" w:hAnsi="Times New Roman" w:cs="Times New Roman"/>
              </w:rPr>
              <w:t>t</w:t>
            </w:r>
            <w:r w:rsidRPr="00EC2957">
              <w:rPr>
                <w:rFonts w:ascii="Times New Roman" w:eastAsia="Times New Roman" w:hAnsi="Times New Roman" w:cs="Times New Roman"/>
              </w:rPr>
              <w:t>rade only</w:t>
            </w:r>
          </w:p>
        </w:tc>
        <w:tc>
          <w:tcPr>
            <w:tcW w:w="989" w:type="dxa"/>
            <w:tcBorders>
              <w:top w:val="nil"/>
              <w:left w:val="nil"/>
              <w:bottom w:val="single" w:sz="4" w:space="0" w:color="auto"/>
              <w:right w:val="nil"/>
            </w:tcBorders>
            <w:shd w:val="clear" w:color="auto" w:fill="auto"/>
            <w:vAlign w:val="center"/>
            <w:hideMark/>
          </w:tcPr>
          <w:p w14:paraId="2F2E58F4" w14:textId="58B5EB07"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Inf</w:t>
            </w:r>
            <w:r>
              <w:rPr>
                <w:rFonts w:ascii="Times New Roman" w:eastAsia="Times New Roman" w:hAnsi="Times New Roman" w:cs="Times New Roman"/>
              </w:rPr>
              <w:t>.</w:t>
            </w:r>
            <w:r w:rsidRPr="00EC2957">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sidRPr="00EC2957">
              <w:rPr>
                <w:rFonts w:ascii="Times New Roman" w:eastAsia="Times New Roman" w:hAnsi="Times New Roman" w:cs="Times New Roman"/>
              </w:rPr>
              <w:t>fg</w:t>
            </w:r>
            <w:proofErr w:type="spellEnd"/>
            <w:r w:rsidRPr="00EC2957">
              <w:rPr>
                <w:rFonts w:ascii="Times New Roman" w:eastAsia="Times New Roman" w:hAnsi="Times New Roman" w:cs="Times New Roman"/>
              </w:rPr>
              <w:t xml:space="preserve"> &amp; trade</w:t>
            </w:r>
          </w:p>
        </w:tc>
        <w:tc>
          <w:tcPr>
            <w:tcW w:w="1028" w:type="dxa"/>
            <w:tcBorders>
              <w:top w:val="nil"/>
              <w:left w:val="nil"/>
              <w:bottom w:val="single" w:sz="4" w:space="0" w:color="auto"/>
              <w:right w:val="nil"/>
            </w:tcBorders>
            <w:shd w:val="clear" w:color="auto" w:fill="auto"/>
            <w:vAlign w:val="center"/>
            <w:hideMark/>
          </w:tcPr>
          <w:p w14:paraId="20174E1A" w14:textId="77777777"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Inf. others</w:t>
            </w:r>
          </w:p>
        </w:tc>
        <w:tc>
          <w:tcPr>
            <w:tcW w:w="1409" w:type="dxa"/>
            <w:tcBorders>
              <w:top w:val="nil"/>
              <w:left w:val="nil"/>
              <w:bottom w:val="single" w:sz="4" w:space="0" w:color="auto"/>
              <w:right w:val="nil"/>
            </w:tcBorders>
            <w:shd w:val="clear" w:color="auto" w:fill="auto"/>
            <w:vAlign w:val="center"/>
            <w:hideMark/>
          </w:tcPr>
          <w:p w14:paraId="391BFD88" w14:textId="77777777" w:rsidR="00601E20" w:rsidRPr="00EC2957" w:rsidRDefault="00601E20" w:rsidP="00C84B7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Formal &amp; informal combined</w:t>
            </w:r>
          </w:p>
        </w:tc>
      </w:tr>
      <w:tr w:rsidR="00601E20" w:rsidRPr="00EC2957" w14:paraId="4AD11AE4" w14:textId="77777777" w:rsidTr="00601E20">
        <w:trPr>
          <w:trHeight w:val="288"/>
        </w:trPr>
        <w:tc>
          <w:tcPr>
            <w:tcW w:w="2036" w:type="dxa"/>
            <w:tcBorders>
              <w:top w:val="nil"/>
              <w:left w:val="nil"/>
              <w:bottom w:val="single" w:sz="4" w:space="0" w:color="auto"/>
              <w:right w:val="nil"/>
            </w:tcBorders>
            <w:shd w:val="clear" w:color="auto" w:fill="auto"/>
            <w:noWrap/>
            <w:vAlign w:val="bottom"/>
            <w:hideMark/>
          </w:tcPr>
          <w:p w14:paraId="29DE08DA"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321" w:type="dxa"/>
            <w:tcBorders>
              <w:top w:val="nil"/>
              <w:left w:val="nil"/>
              <w:bottom w:val="single" w:sz="4" w:space="0" w:color="auto"/>
              <w:right w:val="nil"/>
            </w:tcBorders>
            <w:shd w:val="clear" w:color="auto" w:fill="auto"/>
            <w:noWrap/>
            <w:vAlign w:val="bottom"/>
            <w:hideMark/>
          </w:tcPr>
          <w:p w14:paraId="46065DC0"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11" w:type="dxa"/>
            <w:tcBorders>
              <w:top w:val="nil"/>
              <w:left w:val="nil"/>
              <w:bottom w:val="single" w:sz="4" w:space="0" w:color="auto"/>
              <w:right w:val="nil"/>
            </w:tcBorders>
            <w:shd w:val="clear" w:color="auto" w:fill="auto"/>
            <w:noWrap/>
            <w:vAlign w:val="bottom"/>
            <w:hideMark/>
          </w:tcPr>
          <w:p w14:paraId="7D477553"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38" w:type="dxa"/>
            <w:tcBorders>
              <w:top w:val="nil"/>
              <w:left w:val="nil"/>
              <w:bottom w:val="single" w:sz="4" w:space="0" w:color="auto"/>
              <w:right w:val="nil"/>
            </w:tcBorders>
            <w:shd w:val="clear" w:color="auto" w:fill="auto"/>
            <w:noWrap/>
            <w:vAlign w:val="bottom"/>
            <w:hideMark/>
          </w:tcPr>
          <w:p w14:paraId="396CE48B"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2000</w:t>
            </w:r>
          </w:p>
        </w:tc>
        <w:tc>
          <w:tcPr>
            <w:tcW w:w="989" w:type="dxa"/>
            <w:tcBorders>
              <w:top w:val="nil"/>
              <w:left w:val="nil"/>
              <w:bottom w:val="single" w:sz="4" w:space="0" w:color="auto"/>
              <w:right w:val="nil"/>
            </w:tcBorders>
            <w:shd w:val="clear" w:color="auto" w:fill="auto"/>
            <w:noWrap/>
            <w:vAlign w:val="bottom"/>
            <w:hideMark/>
          </w:tcPr>
          <w:p w14:paraId="218877D9"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28" w:type="dxa"/>
            <w:tcBorders>
              <w:top w:val="nil"/>
              <w:left w:val="nil"/>
              <w:bottom w:val="single" w:sz="4" w:space="0" w:color="auto"/>
              <w:right w:val="nil"/>
            </w:tcBorders>
            <w:shd w:val="clear" w:color="auto" w:fill="auto"/>
            <w:noWrap/>
            <w:vAlign w:val="bottom"/>
            <w:hideMark/>
          </w:tcPr>
          <w:p w14:paraId="0B6A8106"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409" w:type="dxa"/>
            <w:tcBorders>
              <w:top w:val="nil"/>
              <w:left w:val="nil"/>
              <w:bottom w:val="single" w:sz="4" w:space="0" w:color="auto"/>
              <w:right w:val="nil"/>
            </w:tcBorders>
            <w:shd w:val="clear" w:color="auto" w:fill="auto"/>
            <w:noWrap/>
            <w:vAlign w:val="bottom"/>
            <w:hideMark/>
          </w:tcPr>
          <w:p w14:paraId="0FE477B5"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r>
      <w:tr w:rsidR="00601E20" w:rsidRPr="00EC2957" w14:paraId="12FE0AE2" w14:textId="77777777" w:rsidTr="00601E20">
        <w:trPr>
          <w:trHeight w:val="288"/>
        </w:trPr>
        <w:tc>
          <w:tcPr>
            <w:tcW w:w="2036" w:type="dxa"/>
            <w:tcBorders>
              <w:top w:val="single" w:sz="4" w:space="0" w:color="auto"/>
              <w:left w:val="nil"/>
              <w:bottom w:val="nil"/>
              <w:right w:val="nil"/>
            </w:tcBorders>
            <w:shd w:val="clear" w:color="auto" w:fill="auto"/>
            <w:noWrap/>
            <w:vAlign w:val="bottom"/>
            <w:hideMark/>
          </w:tcPr>
          <w:p w14:paraId="53018940" w14:textId="22A3FF57"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North</w:t>
            </w:r>
            <w:r w:rsidRPr="00EC2957">
              <w:rPr>
                <w:rFonts w:ascii="Times New Roman" w:eastAsia="Times New Roman" w:hAnsi="Times New Roman" w:cs="Times New Roman"/>
                <w:color w:val="000000"/>
              </w:rPr>
              <w:t xml:space="preserve"> </w:t>
            </w:r>
          </w:p>
        </w:tc>
        <w:tc>
          <w:tcPr>
            <w:tcW w:w="1321" w:type="dxa"/>
            <w:tcBorders>
              <w:top w:val="single" w:sz="4" w:space="0" w:color="auto"/>
              <w:left w:val="nil"/>
              <w:bottom w:val="nil"/>
              <w:right w:val="nil"/>
            </w:tcBorders>
            <w:shd w:val="clear" w:color="auto" w:fill="auto"/>
            <w:noWrap/>
            <w:vAlign w:val="bottom"/>
            <w:hideMark/>
          </w:tcPr>
          <w:p w14:paraId="7CFB2FB7" w14:textId="77777777" w:rsidR="00601E20" w:rsidRPr="00EC2957" w:rsidRDefault="00601E20" w:rsidP="00EF7FD9">
            <w:pPr>
              <w:spacing w:line="240" w:lineRule="auto"/>
              <w:jc w:val="both"/>
              <w:rPr>
                <w:rFonts w:ascii="Times New Roman" w:eastAsia="Times New Roman" w:hAnsi="Times New Roman" w:cs="Times New Roman"/>
                <w:color w:val="000000"/>
              </w:rPr>
            </w:pPr>
          </w:p>
        </w:tc>
        <w:tc>
          <w:tcPr>
            <w:tcW w:w="1011" w:type="dxa"/>
            <w:tcBorders>
              <w:top w:val="single" w:sz="4" w:space="0" w:color="auto"/>
              <w:left w:val="nil"/>
              <w:bottom w:val="nil"/>
              <w:right w:val="nil"/>
            </w:tcBorders>
            <w:shd w:val="clear" w:color="auto" w:fill="auto"/>
            <w:noWrap/>
            <w:vAlign w:val="bottom"/>
            <w:hideMark/>
          </w:tcPr>
          <w:p w14:paraId="4B628D05"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38" w:type="dxa"/>
            <w:tcBorders>
              <w:top w:val="single" w:sz="4" w:space="0" w:color="auto"/>
              <w:left w:val="nil"/>
              <w:bottom w:val="nil"/>
              <w:right w:val="nil"/>
            </w:tcBorders>
            <w:shd w:val="clear" w:color="auto" w:fill="auto"/>
            <w:noWrap/>
            <w:vAlign w:val="bottom"/>
            <w:hideMark/>
          </w:tcPr>
          <w:p w14:paraId="1EC8D74E"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989" w:type="dxa"/>
            <w:tcBorders>
              <w:top w:val="single" w:sz="4" w:space="0" w:color="auto"/>
              <w:left w:val="nil"/>
              <w:bottom w:val="nil"/>
              <w:right w:val="nil"/>
            </w:tcBorders>
            <w:shd w:val="clear" w:color="auto" w:fill="auto"/>
            <w:noWrap/>
            <w:vAlign w:val="bottom"/>
            <w:hideMark/>
          </w:tcPr>
          <w:p w14:paraId="19F880B0"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28" w:type="dxa"/>
            <w:tcBorders>
              <w:top w:val="single" w:sz="4" w:space="0" w:color="auto"/>
              <w:left w:val="nil"/>
              <w:bottom w:val="nil"/>
              <w:right w:val="nil"/>
            </w:tcBorders>
            <w:shd w:val="clear" w:color="auto" w:fill="auto"/>
            <w:noWrap/>
            <w:vAlign w:val="bottom"/>
            <w:hideMark/>
          </w:tcPr>
          <w:p w14:paraId="6D6DA000"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409" w:type="dxa"/>
            <w:tcBorders>
              <w:top w:val="single" w:sz="4" w:space="0" w:color="auto"/>
              <w:left w:val="nil"/>
              <w:bottom w:val="nil"/>
              <w:right w:val="nil"/>
            </w:tcBorders>
            <w:shd w:val="clear" w:color="auto" w:fill="auto"/>
            <w:noWrap/>
            <w:vAlign w:val="bottom"/>
            <w:hideMark/>
          </w:tcPr>
          <w:p w14:paraId="21A00575"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r>
      <w:tr w:rsidR="00601E20" w:rsidRPr="00EC2957" w14:paraId="78DE93F0" w14:textId="77777777" w:rsidTr="00E72E84">
        <w:trPr>
          <w:trHeight w:val="336"/>
        </w:trPr>
        <w:tc>
          <w:tcPr>
            <w:tcW w:w="2036" w:type="dxa"/>
            <w:tcBorders>
              <w:top w:val="nil"/>
              <w:left w:val="nil"/>
              <w:bottom w:val="nil"/>
              <w:right w:val="nil"/>
            </w:tcBorders>
            <w:shd w:val="clear" w:color="auto" w:fill="auto"/>
            <w:noWrap/>
            <w:vAlign w:val="center"/>
            <w:hideMark/>
          </w:tcPr>
          <w:p w14:paraId="36F44E7A"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5573780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30.1</w:t>
            </w:r>
          </w:p>
        </w:tc>
        <w:tc>
          <w:tcPr>
            <w:tcW w:w="1011" w:type="dxa"/>
            <w:tcBorders>
              <w:top w:val="nil"/>
              <w:left w:val="nil"/>
              <w:bottom w:val="nil"/>
              <w:right w:val="nil"/>
            </w:tcBorders>
            <w:shd w:val="clear" w:color="auto" w:fill="auto"/>
            <w:noWrap/>
            <w:vAlign w:val="bottom"/>
            <w:hideMark/>
          </w:tcPr>
          <w:p w14:paraId="49CFCED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10.5</w:t>
            </w:r>
          </w:p>
        </w:tc>
        <w:tc>
          <w:tcPr>
            <w:tcW w:w="1038" w:type="dxa"/>
            <w:tcBorders>
              <w:top w:val="nil"/>
              <w:left w:val="nil"/>
              <w:bottom w:val="nil"/>
              <w:right w:val="nil"/>
            </w:tcBorders>
            <w:shd w:val="clear" w:color="auto" w:fill="auto"/>
            <w:noWrap/>
            <w:vAlign w:val="bottom"/>
            <w:hideMark/>
          </w:tcPr>
          <w:p w14:paraId="443E564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21.6</w:t>
            </w:r>
          </w:p>
        </w:tc>
        <w:tc>
          <w:tcPr>
            <w:tcW w:w="989" w:type="dxa"/>
            <w:tcBorders>
              <w:top w:val="nil"/>
              <w:left w:val="nil"/>
              <w:bottom w:val="nil"/>
              <w:right w:val="nil"/>
            </w:tcBorders>
            <w:shd w:val="clear" w:color="auto" w:fill="auto"/>
            <w:noWrap/>
            <w:vAlign w:val="bottom"/>
            <w:hideMark/>
          </w:tcPr>
          <w:p w14:paraId="2680FBF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4.3</w:t>
            </w:r>
          </w:p>
        </w:tc>
        <w:tc>
          <w:tcPr>
            <w:tcW w:w="1028" w:type="dxa"/>
            <w:tcBorders>
              <w:top w:val="nil"/>
              <w:left w:val="nil"/>
              <w:bottom w:val="nil"/>
              <w:right w:val="nil"/>
            </w:tcBorders>
            <w:shd w:val="clear" w:color="auto" w:fill="auto"/>
            <w:noWrap/>
            <w:vAlign w:val="bottom"/>
            <w:hideMark/>
          </w:tcPr>
          <w:p w14:paraId="3D50386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9.7</w:t>
            </w:r>
          </w:p>
        </w:tc>
        <w:tc>
          <w:tcPr>
            <w:tcW w:w="1409" w:type="dxa"/>
            <w:tcBorders>
              <w:top w:val="nil"/>
              <w:left w:val="nil"/>
              <w:bottom w:val="nil"/>
              <w:right w:val="nil"/>
            </w:tcBorders>
            <w:shd w:val="clear" w:color="auto" w:fill="auto"/>
            <w:noWrap/>
            <w:vAlign w:val="bottom"/>
            <w:hideMark/>
          </w:tcPr>
          <w:p w14:paraId="4991C92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23.7</w:t>
            </w:r>
          </w:p>
        </w:tc>
      </w:tr>
      <w:tr w:rsidR="00601E20" w:rsidRPr="00EC2957" w14:paraId="268CF39C" w14:textId="77777777" w:rsidTr="00E72E84">
        <w:trPr>
          <w:trHeight w:val="336"/>
        </w:trPr>
        <w:tc>
          <w:tcPr>
            <w:tcW w:w="2036" w:type="dxa"/>
            <w:tcBorders>
              <w:top w:val="nil"/>
              <w:left w:val="nil"/>
              <w:bottom w:val="nil"/>
              <w:right w:val="nil"/>
            </w:tcBorders>
            <w:shd w:val="clear" w:color="auto" w:fill="auto"/>
            <w:noWrap/>
            <w:vAlign w:val="center"/>
            <w:hideMark/>
          </w:tcPr>
          <w:p w14:paraId="0DDE55ED"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259322C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16.1</w:t>
            </w:r>
          </w:p>
        </w:tc>
        <w:tc>
          <w:tcPr>
            <w:tcW w:w="1011" w:type="dxa"/>
            <w:tcBorders>
              <w:top w:val="nil"/>
              <w:left w:val="nil"/>
              <w:bottom w:val="nil"/>
              <w:right w:val="nil"/>
            </w:tcBorders>
            <w:shd w:val="clear" w:color="auto" w:fill="auto"/>
            <w:noWrap/>
            <w:vAlign w:val="bottom"/>
            <w:hideMark/>
          </w:tcPr>
          <w:p w14:paraId="18A97F7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27.5</w:t>
            </w:r>
          </w:p>
        </w:tc>
        <w:tc>
          <w:tcPr>
            <w:tcW w:w="1038" w:type="dxa"/>
            <w:tcBorders>
              <w:top w:val="nil"/>
              <w:left w:val="nil"/>
              <w:bottom w:val="nil"/>
              <w:right w:val="nil"/>
            </w:tcBorders>
            <w:shd w:val="clear" w:color="auto" w:fill="auto"/>
            <w:noWrap/>
            <w:vAlign w:val="bottom"/>
            <w:hideMark/>
          </w:tcPr>
          <w:p w14:paraId="398CA06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14.0</w:t>
            </w:r>
          </w:p>
        </w:tc>
        <w:tc>
          <w:tcPr>
            <w:tcW w:w="989" w:type="dxa"/>
            <w:tcBorders>
              <w:top w:val="nil"/>
              <w:left w:val="nil"/>
              <w:bottom w:val="nil"/>
              <w:right w:val="nil"/>
            </w:tcBorders>
            <w:shd w:val="clear" w:color="auto" w:fill="auto"/>
            <w:noWrap/>
            <w:vAlign w:val="bottom"/>
            <w:hideMark/>
          </w:tcPr>
          <w:p w14:paraId="62F32A0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5.0</w:t>
            </w:r>
          </w:p>
        </w:tc>
        <w:tc>
          <w:tcPr>
            <w:tcW w:w="1028" w:type="dxa"/>
            <w:tcBorders>
              <w:top w:val="nil"/>
              <w:left w:val="nil"/>
              <w:bottom w:val="nil"/>
              <w:right w:val="nil"/>
            </w:tcBorders>
            <w:shd w:val="clear" w:color="auto" w:fill="auto"/>
            <w:noWrap/>
            <w:vAlign w:val="bottom"/>
            <w:hideMark/>
          </w:tcPr>
          <w:p w14:paraId="25A0EDE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18.0</w:t>
            </w:r>
          </w:p>
        </w:tc>
        <w:tc>
          <w:tcPr>
            <w:tcW w:w="1409" w:type="dxa"/>
            <w:tcBorders>
              <w:top w:val="nil"/>
              <w:left w:val="nil"/>
              <w:bottom w:val="nil"/>
              <w:right w:val="nil"/>
            </w:tcBorders>
            <w:shd w:val="clear" w:color="auto" w:fill="auto"/>
            <w:noWrap/>
            <w:vAlign w:val="bottom"/>
            <w:hideMark/>
          </w:tcPr>
          <w:p w14:paraId="29D3345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19.3</w:t>
            </w:r>
          </w:p>
        </w:tc>
      </w:tr>
      <w:tr w:rsidR="00601E20" w:rsidRPr="00EC2957" w14:paraId="0BD30BF6" w14:textId="77777777" w:rsidTr="00E72E84">
        <w:trPr>
          <w:trHeight w:val="288"/>
        </w:trPr>
        <w:tc>
          <w:tcPr>
            <w:tcW w:w="2036" w:type="dxa"/>
            <w:tcBorders>
              <w:top w:val="nil"/>
              <w:left w:val="nil"/>
              <w:bottom w:val="nil"/>
              <w:right w:val="nil"/>
            </w:tcBorders>
            <w:shd w:val="clear" w:color="auto" w:fill="auto"/>
            <w:noWrap/>
            <w:vAlign w:val="center"/>
            <w:hideMark/>
          </w:tcPr>
          <w:p w14:paraId="086A6C03"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75BE5560"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21.7</w:t>
            </w:r>
          </w:p>
        </w:tc>
        <w:tc>
          <w:tcPr>
            <w:tcW w:w="1011" w:type="dxa"/>
            <w:tcBorders>
              <w:top w:val="nil"/>
              <w:left w:val="nil"/>
              <w:bottom w:val="nil"/>
              <w:right w:val="nil"/>
            </w:tcBorders>
            <w:shd w:val="clear" w:color="auto" w:fill="auto"/>
            <w:noWrap/>
            <w:vAlign w:val="bottom"/>
            <w:hideMark/>
          </w:tcPr>
          <w:p w14:paraId="21DE3D1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25.6</w:t>
            </w:r>
          </w:p>
        </w:tc>
        <w:tc>
          <w:tcPr>
            <w:tcW w:w="1038" w:type="dxa"/>
            <w:tcBorders>
              <w:top w:val="nil"/>
              <w:left w:val="nil"/>
              <w:bottom w:val="nil"/>
              <w:right w:val="nil"/>
            </w:tcBorders>
            <w:shd w:val="clear" w:color="auto" w:fill="auto"/>
            <w:noWrap/>
            <w:vAlign w:val="bottom"/>
            <w:hideMark/>
          </w:tcPr>
          <w:p w14:paraId="65DB311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18.7</w:t>
            </w:r>
          </w:p>
        </w:tc>
        <w:tc>
          <w:tcPr>
            <w:tcW w:w="989" w:type="dxa"/>
            <w:tcBorders>
              <w:top w:val="nil"/>
              <w:left w:val="nil"/>
              <w:bottom w:val="nil"/>
              <w:right w:val="nil"/>
            </w:tcBorders>
            <w:shd w:val="clear" w:color="auto" w:fill="auto"/>
            <w:noWrap/>
            <w:vAlign w:val="bottom"/>
            <w:hideMark/>
          </w:tcPr>
          <w:p w14:paraId="24F80C7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w:t>
            </w:r>
          </w:p>
        </w:tc>
        <w:tc>
          <w:tcPr>
            <w:tcW w:w="1028" w:type="dxa"/>
            <w:tcBorders>
              <w:top w:val="nil"/>
              <w:left w:val="nil"/>
              <w:bottom w:val="nil"/>
              <w:right w:val="nil"/>
            </w:tcBorders>
            <w:shd w:val="clear" w:color="auto" w:fill="auto"/>
            <w:noWrap/>
            <w:vAlign w:val="bottom"/>
            <w:hideMark/>
          </w:tcPr>
          <w:p w14:paraId="5B03E0E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15.6</w:t>
            </w:r>
          </w:p>
        </w:tc>
        <w:tc>
          <w:tcPr>
            <w:tcW w:w="1409" w:type="dxa"/>
            <w:tcBorders>
              <w:top w:val="nil"/>
              <w:left w:val="nil"/>
              <w:bottom w:val="nil"/>
              <w:right w:val="nil"/>
            </w:tcBorders>
            <w:shd w:val="clear" w:color="auto" w:fill="auto"/>
            <w:noWrap/>
            <w:vAlign w:val="bottom"/>
            <w:hideMark/>
          </w:tcPr>
          <w:p w14:paraId="3ED8521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15.7</w:t>
            </w:r>
          </w:p>
        </w:tc>
      </w:tr>
      <w:tr w:rsidR="00601E20" w:rsidRPr="00EC2957" w14:paraId="0B8A129F"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3A7EA5A6"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North total </w:t>
            </w:r>
          </w:p>
        </w:tc>
        <w:tc>
          <w:tcPr>
            <w:tcW w:w="1321" w:type="dxa"/>
            <w:tcBorders>
              <w:top w:val="nil"/>
              <w:left w:val="nil"/>
              <w:bottom w:val="single" w:sz="4" w:space="0" w:color="auto"/>
              <w:right w:val="nil"/>
            </w:tcBorders>
            <w:shd w:val="clear" w:color="auto" w:fill="auto"/>
            <w:noWrap/>
            <w:vAlign w:val="bottom"/>
            <w:hideMark/>
          </w:tcPr>
          <w:p w14:paraId="27A59D8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21.0</w:t>
            </w:r>
          </w:p>
        </w:tc>
        <w:tc>
          <w:tcPr>
            <w:tcW w:w="1011" w:type="dxa"/>
            <w:tcBorders>
              <w:top w:val="nil"/>
              <w:left w:val="nil"/>
              <w:bottom w:val="single" w:sz="4" w:space="0" w:color="auto"/>
              <w:right w:val="nil"/>
            </w:tcBorders>
            <w:shd w:val="clear" w:color="auto" w:fill="auto"/>
            <w:noWrap/>
            <w:vAlign w:val="bottom"/>
            <w:hideMark/>
          </w:tcPr>
          <w:p w14:paraId="179853A7"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24.4</w:t>
            </w:r>
          </w:p>
        </w:tc>
        <w:tc>
          <w:tcPr>
            <w:tcW w:w="1038" w:type="dxa"/>
            <w:tcBorders>
              <w:top w:val="nil"/>
              <w:left w:val="nil"/>
              <w:bottom w:val="single" w:sz="4" w:space="0" w:color="auto"/>
              <w:right w:val="nil"/>
            </w:tcBorders>
            <w:shd w:val="clear" w:color="auto" w:fill="auto"/>
            <w:noWrap/>
            <w:vAlign w:val="bottom"/>
            <w:hideMark/>
          </w:tcPr>
          <w:p w14:paraId="49CDF5D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17.6</w:t>
            </w:r>
          </w:p>
        </w:tc>
        <w:tc>
          <w:tcPr>
            <w:tcW w:w="989" w:type="dxa"/>
            <w:tcBorders>
              <w:top w:val="nil"/>
              <w:left w:val="nil"/>
              <w:bottom w:val="single" w:sz="4" w:space="0" w:color="auto"/>
              <w:right w:val="nil"/>
            </w:tcBorders>
            <w:shd w:val="clear" w:color="auto" w:fill="auto"/>
            <w:noWrap/>
            <w:vAlign w:val="bottom"/>
            <w:hideMark/>
          </w:tcPr>
          <w:p w14:paraId="7D5C766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3.6</w:t>
            </w:r>
          </w:p>
        </w:tc>
        <w:tc>
          <w:tcPr>
            <w:tcW w:w="1028" w:type="dxa"/>
            <w:tcBorders>
              <w:top w:val="nil"/>
              <w:left w:val="nil"/>
              <w:bottom w:val="single" w:sz="4" w:space="0" w:color="auto"/>
              <w:right w:val="nil"/>
            </w:tcBorders>
            <w:shd w:val="clear" w:color="auto" w:fill="auto"/>
            <w:noWrap/>
            <w:vAlign w:val="bottom"/>
            <w:hideMark/>
          </w:tcPr>
          <w:p w14:paraId="5F37CDB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15.6</w:t>
            </w:r>
          </w:p>
        </w:tc>
        <w:tc>
          <w:tcPr>
            <w:tcW w:w="1409" w:type="dxa"/>
            <w:tcBorders>
              <w:top w:val="nil"/>
              <w:left w:val="nil"/>
              <w:bottom w:val="single" w:sz="4" w:space="0" w:color="auto"/>
              <w:right w:val="nil"/>
            </w:tcBorders>
            <w:shd w:val="clear" w:color="auto" w:fill="auto"/>
            <w:noWrap/>
            <w:vAlign w:val="bottom"/>
            <w:hideMark/>
          </w:tcPr>
          <w:p w14:paraId="7ADD015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17.8</w:t>
            </w:r>
          </w:p>
        </w:tc>
      </w:tr>
      <w:tr w:rsidR="00601E20" w:rsidRPr="00EC2957" w14:paraId="25406308" w14:textId="77777777" w:rsidTr="00E72E84">
        <w:trPr>
          <w:trHeight w:val="288"/>
        </w:trPr>
        <w:tc>
          <w:tcPr>
            <w:tcW w:w="2036" w:type="dxa"/>
            <w:tcBorders>
              <w:top w:val="nil"/>
              <w:left w:val="nil"/>
              <w:bottom w:val="nil"/>
              <w:right w:val="nil"/>
            </w:tcBorders>
            <w:shd w:val="clear" w:color="auto" w:fill="auto"/>
            <w:noWrap/>
            <w:vAlign w:val="bottom"/>
            <w:hideMark/>
          </w:tcPr>
          <w:p w14:paraId="4AF91C54" w14:textId="4D836B88"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South</w:t>
            </w:r>
            <w:r w:rsidRPr="00EC2957">
              <w:rPr>
                <w:rFonts w:ascii="Times New Roman" w:eastAsia="Times New Roman" w:hAnsi="Times New Roman" w:cs="Times New Roman"/>
                <w:color w:val="000000"/>
              </w:rPr>
              <w:t xml:space="preserve"> </w:t>
            </w:r>
          </w:p>
        </w:tc>
        <w:tc>
          <w:tcPr>
            <w:tcW w:w="1321" w:type="dxa"/>
            <w:tcBorders>
              <w:top w:val="nil"/>
              <w:left w:val="nil"/>
              <w:bottom w:val="nil"/>
              <w:right w:val="nil"/>
            </w:tcBorders>
            <w:shd w:val="clear" w:color="auto" w:fill="auto"/>
            <w:noWrap/>
            <w:vAlign w:val="bottom"/>
            <w:hideMark/>
          </w:tcPr>
          <w:p w14:paraId="51C08FB1" w14:textId="77777777" w:rsidR="00601E20" w:rsidRPr="00EC2957" w:rsidRDefault="00601E20" w:rsidP="00EF7FD9">
            <w:pPr>
              <w:spacing w:line="240" w:lineRule="auto"/>
              <w:jc w:val="both"/>
              <w:rPr>
                <w:rFonts w:ascii="Times New Roman" w:eastAsia="Times New Roman" w:hAnsi="Times New Roman" w:cs="Times New Roman"/>
                <w:color w:val="000000"/>
              </w:rPr>
            </w:pPr>
          </w:p>
        </w:tc>
        <w:tc>
          <w:tcPr>
            <w:tcW w:w="1011" w:type="dxa"/>
            <w:tcBorders>
              <w:top w:val="nil"/>
              <w:left w:val="nil"/>
              <w:bottom w:val="nil"/>
              <w:right w:val="nil"/>
            </w:tcBorders>
            <w:shd w:val="clear" w:color="auto" w:fill="auto"/>
            <w:noWrap/>
            <w:vAlign w:val="bottom"/>
            <w:hideMark/>
          </w:tcPr>
          <w:p w14:paraId="63555696"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14:paraId="5BE797CD"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989" w:type="dxa"/>
            <w:tcBorders>
              <w:top w:val="nil"/>
              <w:left w:val="nil"/>
              <w:bottom w:val="nil"/>
              <w:right w:val="nil"/>
            </w:tcBorders>
            <w:shd w:val="clear" w:color="auto" w:fill="auto"/>
            <w:noWrap/>
            <w:vAlign w:val="bottom"/>
            <w:hideMark/>
          </w:tcPr>
          <w:p w14:paraId="5EB76F1C"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28" w:type="dxa"/>
            <w:tcBorders>
              <w:top w:val="nil"/>
              <w:left w:val="nil"/>
              <w:bottom w:val="nil"/>
              <w:right w:val="nil"/>
            </w:tcBorders>
            <w:shd w:val="clear" w:color="auto" w:fill="auto"/>
            <w:noWrap/>
            <w:vAlign w:val="bottom"/>
            <w:hideMark/>
          </w:tcPr>
          <w:p w14:paraId="3E2E64A2"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bottom"/>
            <w:hideMark/>
          </w:tcPr>
          <w:p w14:paraId="14D75E11"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r>
      <w:tr w:rsidR="00601E20" w:rsidRPr="00EC2957" w14:paraId="6CAB2F86" w14:textId="77777777" w:rsidTr="00E72E84">
        <w:trPr>
          <w:trHeight w:val="288"/>
        </w:trPr>
        <w:tc>
          <w:tcPr>
            <w:tcW w:w="2036" w:type="dxa"/>
            <w:tcBorders>
              <w:top w:val="nil"/>
              <w:left w:val="nil"/>
              <w:bottom w:val="nil"/>
              <w:right w:val="nil"/>
            </w:tcBorders>
            <w:shd w:val="clear" w:color="auto" w:fill="auto"/>
            <w:noWrap/>
            <w:vAlign w:val="bottom"/>
            <w:hideMark/>
          </w:tcPr>
          <w:p w14:paraId="3223EDDE"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Big city districts </w:t>
            </w:r>
          </w:p>
        </w:tc>
        <w:tc>
          <w:tcPr>
            <w:tcW w:w="1321" w:type="dxa"/>
            <w:tcBorders>
              <w:top w:val="nil"/>
              <w:left w:val="nil"/>
              <w:bottom w:val="nil"/>
              <w:right w:val="nil"/>
            </w:tcBorders>
            <w:shd w:val="clear" w:color="auto" w:fill="auto"/>
            <w:noWrap/>
            <w:vAlign w:val="bottom"/>
            <w:hideMark/>
          </w:tcPr>
          <w:p w14:paraId="27692DD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27.7</w:t>
            </w:r>
          </w:p>
        </w:tc>
        <w:tc>
          <w:tcPr>
            <w:tcW w:w="1011" w:type="dxa"/>
            <w:tcBorders>
              <w:top w:val="nil"/>
              <w:left w:val="nil"/>
              <w:bottom w:val="nil"/>
              <w:right w:val="nil"/>
            </w:tcBorders>
            <w:shd w:val="clear" w:color="auto" w:fill="auto"/>
            <w:noWrap/>
            <w:vAlign w:val="bottom"/>
            <w:hideMark/>
          </w:tcPr>
          <w:p w14:paraId="090FB8C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6.3</w:t>
            </w:r>
          </w:p>
        </w:tc>
        <w:tc>
          <w:tcPr>
            <w:tcW w:w="1038" w:type="dxa"/>
            <w:tcBorders>
              <w:top w:val="nil"/>
              <w:left w:val="nil"/>
              <w:bottom w:val="nil"/>
              <w:right w:val="nil"/>
            </w:tcBorders>
            <w:shd w:val="clear" w:color="auto" w:fill="auto"/>
            <w:noWrap/>
            <w:vAlign w:val="bottom"/>
            <w:hideMark/>
          </w:tcPr>
          <w:p w14:paraId="3B300B20"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15.5</w:t>
            </w:r>
          </w:p>
        </w:tc>
        <w:tc>
          <w:tcPr>
            <w:tcW w:w="989" w:type="dxa"/>
            <w:tcBorders>
              <w:top w:val="nil"/>
              <w:left w:val="nil"/>
              <w:bottom w:val="nil"/>
              <w:right w:val="nil"/>
            </w:tcBorders>
            <w:shd w:val="clear" w:color="auto" w:fill="auto"/>
            <w:noWrap/>
            <w:vAlign w:val="bottom"/>
            <w:hideMark/>
          </w:tcPr>
          <w:p w14:paraId="3D278EE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2.9</w:t>
            </w:r>
          </w:p>
        </w:tc>
        <w:tc>
          <w:tcPr>
            <w:tcW w:w="1028" w:type="dxa"/>
            <w:tcBorders>
              <w:top w:val="nil"/>
              <w:left w:val="nil"/>
              <w:bottom w:val="nil"/>
              <w:right w:val="nil"/>
            </w:tcBorders>
            <w:shd w:val="clear" w:color="auto" w:fill="auto"/>
            <w:noWrap/>
            <w:vAlign w:val="bottom"/>
            <w:hideMark/>
          </w:tcPr>
          <w:p w14:paraId="31A1602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13.0</w:t>
            </w:r>
          </w:p>
        </w:tc>
        <w:tc>
          <w:tcPr>
            <w:tcW w:w="1409" w:type="dxa"/>
            <w:tcBorders>
              <w:top w:val="nil"/>
              <w:left w:val="nil"/>
              <w:bottom w:val="nil"/>
              <w:right w:val="nil"/>
            </w:tcBorders>
            <w:shd w:val="clear" w:color="auto" w:fill="auto"/>
            <w:noWrap/>
            <w:vAlign w:val="bottom"/>
            <w:hideMark/>
          </w:tcPr>
          <w:p w14:paraId="16F268C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34.5</w:t>
            </w:r>
          </w:p>
        </w:tc>
      </w:tr>
      <w:tr w:rsidR="00601E20" w:rsidRPr="00EC2957" w14:paraId="5C18853C" w14:textId="77777777" w:rsidTr="00E72E84">
        <w:trPr>
          <w:trHeight w:val="336"/>
        </w:trPr>
        <w:tc>
          <w:tcPr>
            <w:tcW w:w="2036" w:type="dxa"/>
            <w:tcBorders>
              <w:top w:val="nil"/>
              <w:left w:val="nil"/>
              <w:bottom w:val="nil"/>
              <w:right w:val="nil"/>
            </w:tcBorders>
            <w:shd w:val="clear" w:color="auto" w:fill="auto"/>
            <w:noWrap/>
            <w:vAlign w:val="center"/>
            <w:hideMark/>
          </w:tcPr>
          <w:p w14:paraId="7E4B2A93"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24AD563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24.8</w:t>
            </w:r>
          </w:p>
        </w:tc>
        <w:tc>
          <w:tcPr>
            <w:tcW w:w="1011" w:type="dxa"/>
            <w:tcBorders>
              <w:top w:val="nil"/>
              <w:left w:val="nil"/>
              <w:bottom w:val="nil"/>
              <w:right w:val="nil"/>
            </w:tcBorders>
            <w:shd w:val="clear" w:color="auto" w:fill="auto"/>
            <w:noWrap/>
            <w:vAlign w:val="bottom"/>
            <w:hideMark/>
          </w:tcPr>
          <w:p w14:paraId="28D07B5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10.1</w:t>
            </w:r>
          </w:p>
        </w:tc>
        <w:tc>
          <w:tcPr>
            <w:tcW w:w="1038" w:type="dxa"/>
            <w:tcBorders>
              <w:top w:val="nil"/>
              <w:left w:val="nil"/>
              <w:bottom w:val="nil"/>
              <w:right w:val="nil"/>
            </w:tcBorders>
            <w:shd w:val="clear" w:color="auto" w:fill="auto"/>
            <w:noWrap/>
            <w:vAlign w:val="bottom"/>
            <w:hideMark/>
          </w:tcPr>
          <w:p w14:paraId="6118241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22.7</w:t>
            </w:r>
          </w:p>
        </w:tc>
        <w:tc>
          <w:tcPr>
            <w:tcW w:w="989" w:type="dxa"/>
            <w:tcBorders>
              <w:top w:val="nil"/>
              <w:left w:val="nil"/>
              <w:bottom w:val="nil"/>
              <w:right w:val="nil"/>
            </w:tcBorders>
            <w:shd w:val="clear" w:color="auto" w:fill="auto"/>
            <w:noWrap/>
            <w:vAlign w:val="bottom"/>
            <w:hideMark/>
          </w:tcPr>
          <w:p w14:paraId="762CCF9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3.3</w:t>
            </w:r>
          </w:p>
        </w:tc>
        <w:tc>
          <w:tcPr>
            <w:tcW w:w="1028" w:type="dxa"/>
            <w:tcBorders>
              <w:top w:val="nil"/>
              <w:left w:val="nil"/>
              <w:bottom w:val="nil"/>
              <w:right w:val="nil"/>
            </w:tcBorders>
            <w:shd w:val="clear" w:color="auto" w:fill="auto"/>
            <w:noWrap/>
            <w:vAlign w:val="bottom"/>
            <w:hideMark/>
          </w:tcPr>
          <w:p w14:paraId="30246970"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12.0</w:t>
            </w:r>
          </w:p>
        </w:tc>
        <w:tc>
          <w:tcPr>
            <w:tcW w:w="1409" w:type="dxa"/>
            <w:tcBorders>
              <w:top w:val="nil"/>
              <w:left w:val="nil"/>
              <w:bottom w:val="nil"/>
              <w:right w:val="nil"/>
            </w:tcBorders>
            <w:shd w:val="clear" w:color="auto" w:fill="auto"/>
            <w:noWrap/>
            <w:vAlign w:val="bottom"/>
            <w:hideMark/>
          </w:tcPr>
          <w:p w14:paraId="7FEDAD2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27.1</w:t>
            </w:r>
          </w:p>
        </w:tc>
      </w:tr>
      <w:tr w:rsidR="00601E20" w:rsidRPr="00EC2957" w14:paraId="62A41C2B" w14:textId="77777777" w:rsidTr="00E72E84">
        <w:trPr>
          <w:trHeight w:val="336"/>
        </w:trPr>
        <w:tc>
          <w:tcPr>
            <w:tcW w:w="2036" w:type="dxa"/>
            <w:tcBorders>
              <w:top w:val="nil"/>
              <w:left w:val="nil"/>
              <w:bottom w:val="nil"/>
              <w:right w:val="nil"/>
            </w:tcBorders>
            <w:shd w:val="clear" w:color="auto" w:fill="auto"/>
            <w:noWrap/>
            <w:vAlign w:val="center"/>
            <w:hideMark/>
          </w:tcPr>
          <w:p w14:paraId="33BC4782"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5910119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19.4</w:t>
            </w:r>
          </w:p>
        </w:tc>
        <w:tc>
          <w:tcPr>
            <w:tcW w:w="1011" w:type="dxa"/>
            <w:tcBorders>
              <w:top w:val="nil"/>
              <w:left w:val="nil"/>
              <w:bottom w:val="nil"/>
              <w:right w:val="nil"/>
            </w:tcBorders>
            <w:shd w:val="clear" w:color="auto" w:fill="auto"/>
            <w:noWrap/>
            <w:vAlign w:val="bottom"/>
            <w:hideMark/>
          </w:tcPr>
          <w:p w14:paraId="588036C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16.2</w:t>
            </w:r>
          </w:p>
        </w:tc>
        <w:tc>
          <w:tcPr>
            <w:tcW w:w="1038" w:type="dxa"/>
            <w:tcBorders>
              <w:top w:val="nil"/>
              <w:left w:val="nil"/>
              <w:bottom w:val="nil"/>
              <w:right w:val="nil"/>
            </w:tcBorders>
            <w:shd w:val="clear" w:color="auto" w:fill="auto"/>
            <w:noWrap/>
            <w:vAlign w:val="bottom"/>
            <w:hideMark/>
          </w:tcPr>
          <w:p w14:paraId="49C3725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23.6</w:t>
            </w:r>
          </w:p>
        </w:tc>
        <w:tc>
          <w:tcPr>
            <w:tcW w:w="989" w:type="dxa"/>
            <w:tcBorders>
              <w:top w:val="nil"/>
              <w:left w:val="nil"/>
              <w:bottom w:val="nil"/>
              <w:right w:val="nil"/>
            </w:tcBorders>
            <w:shd w:val="clear" w:color="auto" w:fill="auto"/>
            <w:noWrap/>
            <w:vAlign w:val="bottom"/>
            <w:hideMark/>
          </w:tcPr>
          <w:p w14:paraId="6A05ACC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4.9</w:t>
            </w:r>
          </w:p>
        </w:tc>
        <w:tc>
          <w:tcPr>
            <w:tcW w:w="1028" w:type="dxa"/>
            <w:tcBorders>
              <w:top w:val="nil"/>
              <w:left w:val="nil"/>
              <w:bottom w:val="nil"/>
              <w:right w:val="nil"/>
            </w:tcBorders>
            <w:shd w:val="clear" w:color="auto" w:fill="auto"/>
            <w:noWrap/>
            <w:vAlign w:val="bottom"/>
            <w:hideMark/>
          </w:tcPr>
          <w:p w14:paraId="76C2F55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13.7</w:t>
            </w:r>
          </w:p>
        </w:tc>
        <w:tc>
          <w:tcPr>
            <w:tcW w:w="1409" w:type="dxa"/>
            <w:tcBorders>
              <w:top w:val="nil"/>
              <w:left w:val="nil"/>
              <w:bottom w:val="nil"/>
              <w:right w:val="nil"/>
            </w:tcBorders>
            <w:shd w:val="clear" w:color="auto" w:fill="auto"/>
            <w:noWrap/>
            <w:vAlign w:val="bottom"/>
            <w:hideMark/>
          </w:tcPr>
          <w:p w14:paraId="304BAFC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22.1</w:t>
            </w:r>
          </w:p>
        </w:tc>
      </w:tr>
      <w:tr w:rsidR="00601E20" w:rsidRPr="00EC2957" w14:paraId="0698889C" w14:textId="77777777" w:rsidTr="00E72E84">
        <w:trPr>
          <w:trHeight w:val="288"/>
        </w:trPr>
        <w:tc>
          <w:tcPr>
            <w:tcW w:w="2036" w:type="dxa"/>
            <w:tcBorders>
              <w:top w:val="nil"/>
              <w:left w:val="nil"/>
              <w:bottom w:val="nil"/>
              <w:right w:val="nil"/>
            </w:tcBorders>
            <w:shd w:val="clear" w:color="auto" w:fill="auto"/>
            <w:noWrap/>
            <w:vAlign w:val="center"/>
            <w:hideMark/>
          </w:tcPr>
          <w:p w14:paraId="4CD98F83"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5163720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23.6</w:t>
            </w:r>
          </w:p>
        </w:tc>
        <w:tc>
          <w:tcPr>
            <w:tcW w:w="1011" w:type="dxa"/>
            <w:tcBorders>
              <w:top w:val="nil"/>
              <w:left w:val="nil"/>
              <w:bottom w:val="nil"/>
              <w:right w:val="nil"/>
            </w:tcBorders>
            <w:shd w:val="clear" w:color="auto" w:fill="auto"/>
            <w:noWrap/>
            <w:vAlign w:val="bottom"/>
            <w:hideMark/>
          </w:tcPr>
          <w:p w14:paraId="6F1A3D6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16.8</w:t>
            </w:r>
          </w:p>
        </w:tc>
        <w:tc>
          <w:tcPr>
            <w:tcW w:w="1038" w:type="dxa"/>
            <w:tcBorders>
              <w:top w:val="nil"/>
              <w:left w:val="nil"/>
              <w:bottom w:val="nil"/>
              <w:right w:val="nil"/>
            </w:tcBorders>
            <w:shd w:val="clear" w:color="auto" w:fill="auto"/>
            <w:noWrap/>
            <w:vAlign w:val="bottom"/>
            <w:hideMark/>
          </w:tcPr>
          <w:p w14:paraId="5CB351F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22.1</w:t>
            </w:r>
          </w:p>
        </w:tc>
        <w:tc>
          <w:tcPr>
            <w:tcW w:w="989" w:type="dxa"/>
            <w:tcBorders>
              <w:top w:val="nil"/>
              <w:left w:val="nil"/>
              <w:bottom w:val="nil"/>
              <w:right w:val="nil"/>
            </w:tcBorders>
            <w:shd w:val="clear" w:color="auto" w:fill="auto"/>
            <w:noWrap/>
            <w:vAlign w:val="bottom"/>
            <w:hideMark/>
          </w:tcPr>
          <w:p w14:paraId="665D5D8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4.1</w:t>
            </w:r>
          </w:p>
        </w:tc>
        <w:tc>
          <w:tcPr>
            <w:tcW w:w="1028" w:type="dxa"/>
            <w:tcBorders>
              <w:top w:val="nil"/>
              <w:left w:val="nil"/>
              <w:bottom w:val="nil"/>
              <w:right w:val="nil"/>
            </w:tcBorders>
            <w:shd w:val="clear" w:color="auto" w:fill="auto"/>
            <w:noWrap/>
            <w:vAlign w:val="bottom"/>
            <w:hideMark/>
          </w:tcPr>
          <w:p w14:paraId="26DAFA1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12.5</w:t>
            </w:r>
          </w:p>
        </w:tc>
        <w:tc>
          <w:tcPr>
            <w:tcW w:w="1409" w:type="dxa"/>
            <w:tcBorders>
              <w:top w:val="nil"/>
              <w:left w:val="nil"/>
              <w:bottom w:val="nil"/>
              <w:right w:val="nil"/>
            </w:tcBorders>
            <w:shd w:val="clear" w:color="auto" w:fill="auto"/>
            <w:noWrap/>
            <w:vAlign w:val="bottom"/>
            <w:hideMark/>
          </w:tcPr>
          <w:p w14:paraId="39B8EE3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20.9</w:t>
            </w:r>
          </w:p>
        </w:tc>
      </w:tr>
      <w:tr w:rsidR="00601E20" w:rsidRPr="00EC2957" w14:paraId="23DCFCB8" w14:textId="77777777" w:rsidTr="00550946">
        <w:trPr>
          <w:trHeight w:val="288"/>
        </w:trPr>
        <w:tc>
          <w:tcPr>
            <w:tcW w:w="2036" w:type="dxa"/>
            <w:tcBorders>
              <w:top w:val="nil"/>
              <w:left w:val="nil"/>
              <w:bottom w:val="single" w:sz="4" w:space="0" w:color="auto"/>
              <w:right w:val="nil"/>
            </w:tcBorders>
            <w:shd w:val="clear" w:color="auto" w:fill="auto"/>
            <w:noWrap/>
            <w:vAlign w:val="bottom"/>
            <w:hideMark/>
          </w:tcPr>
          <w:p w14:paraId="24BD721C"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South total </w:t>
            </w:r>
          </w:p>
        </w:tc>
        <w:tc>
          <w:tcPr>
            <w:tcW w:w="1321" w:type="dxa"/>
            <w:tcBorders>
              <w:top w:val="nil"/>
              <w:left w:val="nil"/>
              <w:bottom w:val="single" w:sz="4" w:space="0" w:color="auto"/>
              <w:right w:val="nil"/>
            </w:tcBorders>
            <w:shd w:val="clear" w:color="auto" w:fill="auto"/>
            <w:noWrap/>
            <w:vAlign w:val="bottom"/>
            <w:hideMark/>
          </w:tcPr>
          <w:p w14:paraId="12CF60C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22.1</w:t>
            </w:r>
          </w:p>
        </w:tc>
        <w:tc>
          <w:tcPr>
            <w:tcW w:w="1011" w:type="dxa"/>
            <w:tcBorders>
              <w:top w:val="nil"/>
              <w:left w:val="nil"/>
              <w:bottom w:val="single" w:sz="4" w:space="0" w:color="auto"/>
              <w:right w:val="nil"/>
            </w:tcBorders>
            <w:shd w:val="clear" w:color="auto" w:fill="auto"/>
            <w:noWrap/>
            <w:vAlign w:val="bottom"/>
            <w:hideMark/>
          </w:tcPr>
          <w:p w14:paraId="38C1A75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15.3</w:t>
            </w:r>
          </w:p>
        </w:tc>
        <w:tc>
          <w:tcPr>
            <w:tcW w:w="1038" w:type="dxa"/>
            <w:tcBorders>
              <w:top w:val="nil"/>
              <w:left w:val="nil"/>
              <w:bottom w:val="single" w:sz="4" w:space="0" w:color="auto"/>
              <w:right w:val="nil"/>
            </w:tcBorders>
            <w:shd w:val="clear" w:color="auto" w:fill="auto"/>
            <w:noWrap/>
            <w:vAlign w:val="bottom"/>
            <w:hideMark/>
          </w:tcPr>
          <w:p w14:paraId="783E5D2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22.2</w:t>
            </w:r>
          </w:p>
        </w:tc>
        <w:tc>
          <w:tcPr>
            <w:tcW w:w="989" w:type="dxa"/>
            <w:tcBorders>
              <w:top w:val="nil"/>
              <w:left w:val="nil"/>
              <w:bottom w:val="single" w:sz="4" w:space="0" w:color="auto"/>
              <w:right w:val="nil"/>
            </w:tcBorders>
            <w:shd w:val="clear" w:color="auto" w:fill="auto"/>
            <w:noWrap/>
            <w:vAlign w:val="bottom"/>
            <w:hideMark/>
          </w:tcPr>
          <w:p w14:paraId="0B893848"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4.3</w:t>
            </w:r>
          </w:p>
        </w:tc>
        <w:tc>
          <w:tcPr>
            <w:tcW w:w="1028" w:type="dxa"/>
            <w:tcBorders>
              <w:top w:val="nil"/>
              <w:left w:val="nil"/>
              <w:bottom w:val="single" w:sz="4" w:space="0" w:color="auto"/>
              <w:right w:val="nil"/>
            </w:tcBorders>
            <w:shd w:val="clear" w:color="auto" w:fill="auto"/>
            <w:noWrap/>
            <w:vAlign w:val="bottom"/>
            <w:hideMark/>
          </w:tcPr>
          <w:p w14:paraId="2A40C6C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13.1</w:t>
            </w:r>
          </w:p>
        </w:tc>
        <w:tc>
          <w:tcPr>
            <w:tcW w:w="1409" w:type="dxa"/>
            <w:tcBorders>
              <w:top w:val="nil"/>
              <w:left w:val="nil"/>
              <w:bottom w:val="single" w:sz="4" w:space="0" w:color="auto"/>
              <w:right w:val="nil"/>
            </w:tcBorders>
            <w:shd w:val="clear" w:color="auto" w:fill="auto"/>
            <w:noWrap/>
            <w:vAlign w:val="bottom"/>
            <w:hideMark/>
          </w:tcPr>
          <w:p w14:paraId="1217532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22.9</w:t>
            </w:r>
          </w:p>
        </w:tc>
      </w:tr>
      <w:tr w:rsidR="00601E20" w:rsidRPr="00EC2957" w14:paraId="58E8DBB6" w14:textId="77777777" w:rsidTr="00550946">
        <w:trPr>
          <w:trHeight w:val="288"/>
        </w:trPr>
        <w:tc>
          <w:tcPr>
            <w:tcW w:w="2036" w:type="dxa"/>
            <w:tcBorders>
              <w:top w:val="single" w:sz="4" w:space="0" w:color="auto"/>
              <w:left w:val="nil"/>
              <w:right w:val="nil"/>
            </w:tcBorders>
            <w:shd w:val="clear" w:color="auto" w:fill="auto"/>
            <w:noWrap/>
            <w:vAlign w:val="bottom"/>
            <w:hideMark/>
          </w:tcPr>
          <w:p w14:paraId="6FD7EF9D"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National total </w:t>
            </w:r>
          </w:p>
        </w:tc>
        <w:tc>
          <w:tcPr>
            <w:tcW w:w="1321" w:type="dxa"/>
            <w:tcBorders>
              <w:top w:val="single" w:sz="4" w:space="0" w:color="auto"/>
              <w:left w:val="nil"/>
              <w:right w:val="nil"/>
            </w:tcBorders>
            <w:shd w:val="clear" w:color="auto" w:fill="auto"/>
            <w:noWrap/>
            <w:vAlign w:val="bottom"/>
            <w:hideMark/>
          </w:tcPr>
          <w:p w14:paraId="4A1052E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21.9</w:t>
            </w:r>
          </w:p>
        </w:tc>
        <w:tc>
          <w:tcPr>
            <w:tcW w:w="1011" w:type="dxa"/>
            <w:tcBorders>
              <w:top w:val="single" w:sz="4" w:space="0" w:color="auto"/>
              <w:left w:val="nil"/>
              <w:right w:val="nil"/>
            </w:tcBorders>
            <w:shd w:val="clear" w:color="auto" w:fill="auto"/>
            <w:noWrap/>
            <w:vAlign w:val="bottom"/>
            <w:hideMark/>
          </w:tcPr>
          <w:p w14:paraId="6F48F49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16.9</w:t>
            </w:r>
          </w:p>
        </w:tc>
        <w:tc>
          <w:tcPr>
            <w:tcW w:w="1038" w:type="dxa"/>
            <w:tcBorders>
              <w:top w:val="single" w:sz="4" w:space="0" w:color="auto"/>
              <w:left w:val="nil"/>
              <w:right w:val="nil"/>
            </w:tcBorders>
            <w:shd w:val="clear" w:color="auto" w:fill="auto"/>
            <w:noWrap/>
            <w:vAlign w:val="bottom"/>
            <w:hideMark/>
          </w:tcPr>
          <w:p w14:paraId="5CDBC65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21.4</w:t>
            </w:r>
          </w:p>
        </w:tc>
        <w:tc>
          <w:tcPr>
            <w:tcW w:w="989" w:type="dxa"/>
            <w:tcBorders>
              <w:top w:val="single" w:sz="4" w:space="0" w:color="auto"/>
              <w:left w:val="nil"/>
              <w:right w:val="nil"/>
            </w:tcBorders>
            <w:shd w:val="clear" w:color="auto" w:fill="auto"/>
            <w:noWrap/>
            <w:vAlign w:val="bottom"/>
            <w:hideMark/>
          </w:tcPr>
          <w:p w14:paraId="76555CC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4.2</w:t>
            </w:r>
          </w:p>
        </w:tc>
        <w:tc>
          <w:tcPr>
            <w:tcW w:w="1028" w:type="dxa"/>
            <w:tcBorders>
              <w:top w:val="single" w:sz="4" w:space="0" w:color="auto"/>
              <w:left w:val="nil"/>
              <w:right w:val="nil"/>
            </w:tcBorders>
            <w:shd w:val="clear" w:color="auto" w:fill="auto"/>
            <w:noWrap/>
            <w:vAlign w:val="bottom"/>
            <w:hideMark/>
          </w:tcPr>
          <w:p w14:paraId="43D6638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13.5</w:t>
            </w:r>
          </w:p>
        </w:tc>
        <w:tc>
          <w:tcPr>
            <w:tcW w:w="1409" w:type="dxa"/>
            <w:tcBorders>
              <w:top w:val="single" w:sz="4" w:space="0" w:color="auto"/>
              <w:left w:val="nil"/>
              <w:right w:val="nil"/>
            </w:tcBorders>
            <w:shd w:val="clear" w:color="auto" w:fill="auto"/>
            <w:noWrap/>
            <w:vAlign w:val="bottom"/>
            <w:hideMark/>
          </w:tcPr>
          <w:p w14:paraId="12B5862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22.0</w:t>
            </w:r>
          </w:p>
        </w:tc>
      </w:tr>
      <w:tr w:rsidR="00601E20" w:rsidRPr="00EC2957" w14:paraId="2150AF23" w14:textId="77777777" w:rsidTr="00550946">
        <w:trPr>
          <w:trHeight w:val="359"/>
        </w:trPr>
        <w:tc>
          <w:tcPr>
            <w:tcW w:w="2036" w:type="dxa"/>
            <w:tcBorders>
              <w:top w:val="single" w:sz="4" w:space="0" w:color="auto"/>
              <w:left w:val="nil"/>
              <w:bottom w:val="single" w:sz="4" w:space="0" w:color="auto"/>
              <w:right w:val="nil"/>
            </w:tcBorders>
            <w:shd w:val="clear" w:color="auto" w:fill="auto"/>
            <w:noWrap/>
            <w:vAlign w:val="bottom"/>
            <w:hideMark/>
          </w:tcPr>
          <w:p w14:paraId="3F27CDA9" w14:textId="77777777" w:rsidR="00601E20" w:rsidRPr="00EC2957" w:rsidRDefault="00601E20" w:rsidP="00EF7FD9">
            <w:pPr>
              <w:spacing w:line="240" w:lineRule="auto"/>
              <w:jc w:val="both"/>
              <w:rPr>
                <w:rFonts w:ascii="Times New Roman" w:eastAsia="Times New Roman" w:hAnsi="Times New Roman" w:cs="Times New Roman"/>
              </w:rPr>
            </w:pPr>
          </w:p>
        </w:tc>
        <w:tc>
          <w:tcPr>
            <w:tcW w:w="1321" w:type="dxa"/>
            <w:tcBorders>
              <w:top w:val="single" w:sz="4" w:space="0" w:color="auto"/>
              <w:left w:val="nil"/>
              <w:bottom w:val="single" w:sz="4" w:space="0" w:color="auto"/>
              <w:right w:val="nil"/>
            </w:tcBorders>
            <w:shd w:val="clear" w:color="auto" w:fill="auto"/>
            <w:noWrap/>
            <w:vAlign w:val="bottom"/>
            <w:hideMark/>
          </w:tcPr>
          <w:p w14:paraId="7509A46F"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11" w:type="dxa"/>
            <w:tcBorders>
              <w:top w:val="single" w:sz="4" w:space="0" w:color="auto"/>
              <w:left w:val="nil"/>
              <w:bottom w:val="single" w:sz="4" w:space="0" w:color="auto"/>
              <w:right w:val="nil"/>
            </w:tcBorders>
            <w:shd w:val="clear" w:color="auto" w:fill="auto"/>
            <w:noWrap/>
            <w:vAlign w:val="bottom"/>
            <w:hideMark/>
          </w:tcPr>
          <w:p w14:paraId="0DF62093"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38" w:type="dxa"/>
            <w:tcBorders>
              <w:top w:val="single" w:sz="4" w:space="0" w:color="auto"/>
              <w:left w:val="nil"/>
              <w:bottom w:val="single" w:sz="4" w:space="0" w:color="auto"/>
              <w:right w:val="nil"/>
            </w:tcBorders>
            <w:shd w:val="clear" w:color="auto" w:fill="auto"/>
            <w:noWrap/>
            <w:vAlign w:val="bottom"/>
            <w:hideMark/>
          </w:tcPr>
          <w:p w14:paraId="364C70C2"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2010</w:t>
            </w:r>
          </w:p>
        </w:tc>
        <w:tc>
          <w:tcPr>
            <w:tcW w:w="989" w:type="dxa"/>
            <w:tcBorders>
              <w:top w:val="single" w:sz="4" w:space="0" w:color="auto"/>
              <w:left w:val="nil"/>
              <w:bottom w:val="single" w:sz="4" w:space="0" w:color="auto"/>
              <w:right w:val="nil"/>
            </w:tcBorders>
            <w:shd w:val="clear" w:color="auto" w:fill="auto"/>
            <w:noWrap/>
            <w:vAlign w:val="bottom"/>
            <w:hideMark/>
          </w:tcPr>
          <w:p w14:paraId="2D8E95A6"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28" w:type="dxa"/>
            <w:tcBorders>
              <w:top w:val="single" w:sz="4" w:space="0" w:color="auto"/>
              <w:left w:val="nil"/>
              <w:bottom w:val="single" w:sz="4" w:space="0" w:color="auto"/>
              <w:right w:val="nil"/>
            </w:tcBorders>
            <w:shd w:val="clear" w:color="auto" w:fill="auto"/>
            <w:noWrap/>
            <w:vAlign w:val="bottom"/>
            <w:hideMark/>
          </w:tcPr>
          <w:p w14:paraId="520FCC9B"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409" w:type="dxa"/>
            <w:tcBorders>
              <w:top w:val="single" w:sz="4" w:space="0" w:color="auto"/>
              <w:left w:val="nil"/>
              <w:bottom w:val="single" w:sz="4" w:space="0" w:color="auto"/>
              <w:right w:val="nil"/>
            </w:tcBorders>
            <w:shd w:val="clear" w:color="auto" w:fill="auto"/>
            <w:noWrap/>
            <w:vAlign w:val="bottom"/>
            <w:hideMark/>
          </w:tcPr>
          <w:p w14:paraId="43294534"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r>
      <w:tr w:rsidR="00601E20" w:rsidRPr="00EC2957" w14:paraId="71832905" w14:textId="77777777" w:rsidTr="00601E20">
        <w:trPr>
          <w:trHeight w:val="288"/>
        </w:trPr>
        <w:tc>
          <w:tcPr>
            <w:tcW w:w="2036" w:type="dxa"/>
            <w:tcBorders>
              <w:top w:val="single" w:sz="4" w:space="0" w:color="auto"/>
              <w:left w:val="nil"/>
              <w:bottom w:val="nil"/>
              <w:right w:val="nil"/>
            </w:tcBorders>
            <w:shd w:val="clear" w:color="auto" w:fill="auto"/>
            <w:noWrap/>
            <w:vAlign w:val="bottom"/>
            <w:hideMark/>
          </w:tcPr>
          <w:p w14:paraId="2F5BA3FD" w14:textId="1D520677"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North</w:t>
            </w:r>
            <w:r w:rsidRPr="00EC2957">
              <w:rPr>
                <w:rFonts w:ascii="Times New Roman" w:eastAsia="Times New Roman" w:hAnsi="Times New Roman" w:cs="Times New Roman"/>
                <w:color w:val="000000"/>
              </w:rPr>
              <w:t xml:space="preserve"> </w:t>
            </w:r>
          </w:p>
        </w:tc>
        <w:tc>
          <w:tcPr>
            <w:tcW w:w="1321" w:type="dxa"/>
            <w:tcBorders>
              <w:top w:val="single" w:sz="4" w:space="0" w:color="auto"/>
              <w:left w:val="nil"/>
              <w:bottom w:val="nil"/>
              <w:right w:val="nil"/>
            </w:tcBorders>
            <w:shd w:val="clear" w:color="auto" w:fill="auto"/>
            <w:noWrap/>
            <w:vAlign w:val="bottom"/>
            <w:hideMark/>
          </w:tcPr>
          <w:p w14:paraId="69AEE551" w14:textId="77777777" w:rsidR="00601E20" w:rsidRPr="00EC2957" w:rsidRDefault="00601E20" w:rsidP="00EF7FD9">
            <w:pPr>
              <w:spacing w:line="240" w:lineRule="auto"/>
              <w:jc w:val="both"/>
              <w:rPr>
                <w:rFonts w:ascii="Times New Roman" w:eastAsia="Times New Roman" w:hAnsi="Times New Roman" w:cs="Times New Roman"/>
                <w:color w:val="000000"/>
              </w:rPr>
            </w:pPr>
          </w:p>
        </w:tc>
        <w:tc>
          <w:tcPr>
            <w:tcW w:w="1011" w:type="dxa"/>
            <w:tcBorders>
              <w:top w:val="single" w:sz="4" w:space="0" w:color="auto"/>
              <w:left w:val="nil"/>
              <w:bottom w:val="nil"/>
              <w:right w:val="nil"/>
            </w:tcBorders>
            <w:shd w:val="clear" w:color="auto" w:fill="auto"/>
            <w:noWrap/>
            <w:vAlign w:val="bottom"/>
            <w:hideMark/>
          </w:tcPr>
          <w:p w14:paraId="75A04E68"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38" w:type="dxa"/>
            <w:tcBorders>
              <w:top w:val="single" w:sz="4" w:space="0" w:color="auto"/>
              <w:left w:val="nil"/>
              <w:bottom w:val="nil"/>
              <w:right w:val="nil"/>
            </w:tcBorders>
            <w:shd w:val="clear" w:color="auto" w:fill="auto"/>
            <w:noWrap/>
            <w:vAlign w:val="bottom"/>
            <w:hideMark/>
          </w:tcPr>
          <w:p w14:paraId="21ECE0E5"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989" w:type="dxa"/>
            <w:tcBorders>
              <w:top w:val="single" w:sz="4" w:space="0" w:color="auto"/>
              <w:left w:val="nil"/>
              <w:bottom w:val="nil"/>
              <w:right w:val="nil"/>
            </w:tcBorders>
            <w:shd w:val="clear" w:color="auto" w:fill="auto"/>
            <w:noWrap/>
            <w:vAlign w:val="bottom"/>
            <w:hideMark/>
          </w:tcPr>
          <w:p w14:paraId="177C8770"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28" w:type="dxa"/>
            <w:tcBorders>
              <w:top w:val="single" w:sz="4" w:space="0" w:color="auto"/>
              <w:left w:val="nil"/>
              <w:bottom w:val="nil"/>
              <w:right w:val="nil"/>
            </w:tcBorders>
            <w:shd w:val="clear" w:color="auto" w:fill="auto"/>
            <w:noWrap/>
            <w:vAlign w:val="bottom"/>
            <w:hideMark/>
          </w:tcPr>
          <w:p w14:paraId="1F6489CA"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409" w:type="dxa"/>
            <w:tcBorders>
              <w:top w:val="single" w:sz="4" w:space="0" w:color="auto"/>
              <w:left w:val="nil"/>
              <w:bottom w:val="nil"/>
              <w:right w:val="nil"/>
            </w:tcBorders>
            <w:shd w:val="clear" w:color="auto" w:fill="auto"/>
            <w:noWrap/>
            <w:vAlign w:val="bottom"/>
            <w:hideMark/>
          </w:tcPr>
          <w:p w14:paraId="6F06C367"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r>
      <w:tr w:rsidR="00601E20" w:rsidRPr="00EC2957" w14:paraId="47358495" w14:textId="77777777" w:rsidTr="00E72E84">
        <w:trPr>
          <w:trHeight w:val="336"/>
        </w:trPr>
        <w:tc>
          <w:tcPr>
            <w:tcW w:w="2036" w:type="dxa"/>
            <w:tcBorders>
              <w:top w:val="nil"/>
              <w:left w:val="nil"/>
              <w:bottom w:val="nil"/>
              <w:right w:val="nil"/>
            </w:tcBorders>
            <w:shd w:val="clear" w:color="auto" w:fill="auto"/>
            <w:noWrap/>
            <w:vAlign w:val="center"/>
            <w:hideMark/>
          </w:tcPr>
          <w:p w14:paraId="4FC9A684"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0605FFF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29.2</w:t>
            </w:r>
          </w:p>
        </w:tc>
        <w:tc>
          <w:tcPr>
            <w:tcW w:w="1011" w:type="dxa"/>
            <w:tcBorders>
              <w:top w:val="nil"/>
              <w:left w:val="nil"/>
              <w:bottom w:val="nil"/>
              <w:right w:val="nil"/>
            </w:tcBorders>
            <w:shd w:val="clear" w:color="auto" w:fill="auto"/>
            <w:noWrap/>
            <w:vAlign w:val="bottom"/>
            <w:hideMark/>
          </w:tcPr>
          <w:p w14:paraId="2F39F47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5.4</w:t>
            </w:r>
          </w:p>
        </w:tc>
        <w:tc>
          <w:tcPr>
            <w:tcW w:w="1038" w:type="dxa"/>
            <w:tcBorders>
              <w:top w:val="nil"/>
              <w:left w:val="nil"/>
              <w:bottom w:val="nil"/>
              <w:right w:val="nil"/>
            </w:tcBorders>
            <w:shd w:val="clear" w:color="auto" w:fill="auto"/>
            <w:noWrap/>
            <w:vAlign w:val="bottom"/>
            <w:hideMark/>
          </w:tcPr>
          <w:p w14:paraId="5D650AA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20.8</w:t>
            </w:r>
          </w:p>
        </w:tc>
        <w:tc>
          <w:tcPr>
            <w:tcW w:w="989" w:type="dxa"/>
            <w:tcBorders>
              <w:top w:val="nil"/>
              <w:left w:val="nil"/>
              <w:bottom w:val="nil"/>
              <w:right w:val="nil"/>
            </w:tcBorders>
            <w:shd w:val="clear" w:color="auto" w:fill="auto"/>
            <w:noWrap/>
            <w:vAlign w:val="bottom"/>
            <w:hideMark/>
          </w:tcPr>
          <w:p w14:paraId="08562E5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4.9</w:t>
            </w:r>
          </w:p>
        </w:tc>
        <w:tc>
          <w:tcPr>
            <w:tcW w:w="1028" w:type="dxa"/>
            <w:tcBorders>
              <w:top w:val="nil"/>
              <w:left w:val="nil"/>
              <w:bottom w:val="nil"/>
              <w:right w:val="nil"/>
            </w:tcBorders>
            <w:shd w:val="clear" w:color="auto" w:fill="auto"/>
            <w:noWrap/>
            <w:vAlign w:val="bottom"/>
            <w:hideMark/>
          </w:tcPr>
          <w:p w14:paraId="6D3D782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9.7</w:t>
            </w:r>
          </w:p>
        </w:tc>
        <w:tc>
          <w:tcPr>
            <w:tcW w:w="1409" w:type="dxa"/>
            <w:tcBorders>
              <w:top w:val="nil"/>
              <w:left w:val="nil"/>
              <w:bottom w:val="nil"/>
              <w:right w:val="nil"/>
            </w:tcBorders>
            <w:shd w:val="clear" w:color="auto" w:fill="auto"/>
            <w:noWrap/>
            <w:vAlign w:val="bottom"/>
            <w:hideMark/>
          </w:tcPr>
          <w:p w14:paraId="6A367BB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30.0</w:t>
            </w:r>
          </w:p>
        </w:tc>
      </w:tr>
      <w:tr w:rsidR="00601E20" w:rsidRPr="00EC2957" w14:paraId="5B12CD59" w14:textId="77777777" w:rsidTr="00E72E84">
        <w:trPr>
          <w:trHeight w:val="336"/>
        </w:trPr>
        <w:tc>
          <w:tcPr>
            <w:tcW w:w="2036" w:type="dxa"/>
            <w:tcBorders>
              <w:top w:val="nil"/>
              <w:left w:val="nil"/>
              <w:bottom w:val="nil"/>
              <w:right w:val="nil"/>
            </w:tcBorders>
            <w:shd w:val="clear" w:color="auto" w:fill="auto"/>
            <w:noWrap/>
            <w:vAlign w:val="center"/>
            <w:hideMark/>
          </w:tcPr>
          <w:p w14:paraId="6B2C253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179B933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24.0</w:t>
            </w:r>
          </w:p>
        </w:tc>
        <w:tc>
          <w:tcPr>
            <w:tcW w:w="1011" w:type="dxa"/>
            <w:tcBorders>
              <w:top w:val="nil"/>
              <w:left w:val="nil"/>
              <w:bottom w:val="nil"/>
              <w:right w:val="nil"/>
            </w:tcBorders>
            <w:shd w:val="clear" w:color="auto" w:fill="auto"/>
            <w:noWrap/>
            <w:vAlign w:val="bottom"/>
            <w:hideMark/>
          </w:tcPr>
          <w:p w14:paraId="466B19F7"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14.7</w:t>
            </w:r>
          </w:p>
        </w:tc>
        <w:tc>
          <w:tcPr>
            <w:tcW w:w="1038" w:type="dxa"/>
            <w:tcBorders>
              <w:top w:val="nil"/>
              <w:left w:val="nil"/>
              <w:bottom w:val="nil"/>
              <w:right w:val="nil"/>
            </w:tcBorders>
            <w:shd w:val="clear" w:color="auto" w:fill="auto"/>
            <w:noWrap/>
            <w:vAlign w:val="bottom"/>
            <w:hideMark/>
          </w:tcPr>
          <w:p w14:paraId="15CFFE0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21.2</w:t>
            </w:r>
          </w:p>
        </w:tc>
        <w:tc>
          <w:tcPr>
            <w:tcW w:w="989" w:type="dxa"/>
            <w:tcBorders>
              <w:top w:val="nil"/>
              <w:left w:val="nil"/>
              <w:bottom w:val="nil"/>
              <w:right w:val="nil"/>
            </w:tcBorders>
            <w:shd w:val="clear" w:color="auto" w:fill="auto"/>
            <w:noWrap/>
            <w:vAlign w:val="bottom"/>
            <w:hideMark/>
          </w:tcPr>
          <w:p w14:paraId="675168E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4.1</w:t>
            </w:r>
          </w:p>
        </w:tc>
        <w:tc>
          <w:tcPr>
            <w:tcW w:w="1028" w:type="dxa"/>
            <w:tcBorders>
              <w:top w:val="nil"/>
              <w:left w:val="nil"/>
              <w:bottom w:val="nil"/>
              <w:right w:val="nil"/>
            </w:tcBorders>
            <w:shd w:val="clear" w:color="auto" w:fill="auto"/>
            <w:noWrap/>
            <w:vAlign w:val="bottom"/>
            <w:hideMark/>
          </w:tcPr>
          <w:p w14:paraId="393314C7"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14.5</w:t>
            </w:r>
          </w:p>
        </w:tc>
        <w:tc>
          <w:tcPr>
            <w:tcW w:w="1409" w:type="dxa"/>
            <w:tcBorders>
              <w:top w:val="nil"/>
              <w:left w:val="nil"/>
              <w:bottom w:val="nil"/>
              <w:right w:val="nil"/>
            </w:tcBorders>
            <w:shd w:val="clear" w:color="auto" w:fill="auto"/>
            <w:noWrap/>
            <w:vAlign w:val="bottom"/>
            <w:hideMark/>
          </w:tcPr>
          <w:p w14:paraId="77B0F77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21.5</w:t>
            </w:r>
          </w:p>
        </w:tc>
      </w:tr>
      <w:tr w:rsidR="00601E20" w:rsidRPr="00EC2957" w14:paraId="75FE91AD" w14:textId="77777777" w:rsidTr="00E72E84">
        <w:trPr>
          <w:trHeight w:val="288"/>
        </w:trPr>
        <w:tc>
          <w:tcPr>
            <w:tcW w:w="2036" w:type="dxa"/>
            <w:tcBorders>
              <w:top w:val="nil"/>
              <w:left w:val="nil"/>
              <w:bottom w:val="nil"/>
              <w:right w:val="nil"/>
            </w:tcBorders>
            <w:shd w:val="clear" w:color="auto" w:fill="auto"/>
            <w:noWrap/>
            <w:vAlign w:val="center"/>
            <w:hideMark/>
          </w:tcPr>
          <w:p w14:paraId="7B5CBADA"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2F79302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22.9</w:t>
            </w:r>
          </w:p>
        </w:tc>
        <w:tc>
          <w:tcPr>
            <w:tcW w:w="1011" w:type="dxa"/>
            <w:tcBorders>
              <w:top w:val="nil"/>
              <w:left w:val="nil"/>
              <w:bottom w:val="nil"/>
              <w:right w:val="nil"/>
            </w:tcBorders>
            <w:shd w:val="clear" w:color="auto" w:fill="auto"/>
            <w:noWrap/>
            <w:vAlign w:val="bottom"/>
            <w:hideMark/>
          </w:tcPr>
          <w:p w14:paraId="57387AC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19.0</w:t>
            </w:r>
          </w:p>
        </w:tc>
        <w:tc>
          <w:tcPr>
            <w:tcW w:w="1038" w:type="dxa"/>
            <w:tcBorders>
              <w:top w:val="nil"/>
              <w:left w:val="nil"/>
              <w:bottom w:val="nil"/>
              <w:right w:val="nil"/>
            </w:tcBorders>
            <w:shd w:val="clear" w:color="auto" w:fill="auto"/>
            <w:noWrap/>
            <w:vAlign w:val="bottom"/>
            <w:hideMark/>
          </w:tcPr>
          <w:p w14:paraId="2CCA990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22.0</w:t>
            </w:r>
          </w:p>
        </w:tc>
        <w:tc>
          <w:tcPr>
            <w:tcW w:w="989" w:type="dxa"/>
            <w:tcBorders>
              <w:top w:val="nil"/>
              <w:left w:val="nil"/>
              <w:bottom w:val="nil"/>
              <w:right w:val="nil"/>
            </w:tcBorders>
            <w:shd w:val="clear" w:color="auto" w:fill="auto"/>
            <w:noWrap/>
            <w:vAlign w:val="bottom"/>
            <w:hideMark/>
          </w:tcPr>
          <w:p w14:paraId="735E7E7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4.2</w:t>
            </w:r>
          </w:p>
        </w:tc>
        <w:tc>
          <w:tcPr>
            <w:tcW w:w="1028" w:type="dxa"/>
            <w:tcBorders>
              <w:top w:val="nil"/>
              <w:left w:val="nil"/>
              <w:bottom w:val="nil"/>
              <w:right w:val="nil"/>
            </w:tcBorders>
            <w:shd w:val="clear" w:color="auto" w:fill="auto"/>
            <w:noWrap/>
            <w:vAlign w:val="bottom"/>
            <w:hideMark/>
          </w:tcPr>
          <w:p w14:paraId="0B27311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11.4</w:t>
            </w:r>
          </w:p>
        </w:tc>
        <w:tc>
          <w:tcPr>
            <w:tcW w:w="1409" w:type="dxa"/>
            <w:tcBorders>
              <w:top w:val="nil"/>
              <w:left w:val="nil"/>
              <w:bottom w:val="nil"/>
              <w:right w:val="nil"/>
            </w:tcBorders>
            <w:shd w:val="clear" w:color="auto" w:fill="auto"/>
            <w:noWrap/>
            <w:vAlign w:val="bottom"/>
            <w:hideMark/>
          </w:tcPr>
          <w:p w14:paraId="799220B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20.4</w:t>
            </w:r>
          </w:p>
        </w:tc>
      </w:tr>
      <w:tr w:rsidR="00601E20" w:rsidRPr="00EC2957" w14:paraId="6B0886CA"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4227A1D8"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North total </w:t>
            </w:r>
          </w:p>
        </w:tc>
        <w:tc>
          <w:tcPr>
            <w:tcW w:w="1321" w:type="dxa"/>
            <w:tcBorders>
              <w:top w:val="nil"/>
              <w:left w:val="nil"/>
              <w:bottom w:val="single" w:sz="4" w:space="0" w:color="auto"/>
              <w:right w:val="nil"/>
            </w:tcBorders>
            <w:shd w:val="clear" w:color="auto" w:fill="auto"/>
            <w:noWrap/>
            <w:vAlign w:val="bottom"/>
            <w:hideMark/>
          </w:tcPr>
          <w:p w14:paraId="0578A90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24.3</w:t>
            </w:r>
          </w:p>
        </w:tc>
        <w:tc>
          <w:tcPr>
            <w:tcW w:w="1011" w:type="dxa"/>
            <w:tcBorders>
              <w:top w:val="nil"/>
              <w:left w:val="nil"/>
              <w:bottom w:val="single" w:sz="4" w:space="0" w:color="auto"/>
              <w:right w:val="nil"/>
            </w:tcBorders>
            <w:shd w:val="clear" w:color="auto" w:fill="auto"/>
            <w:noWrap/>
            <w:vAlign w:val="bottom"/>
            <w:hideMark/>
          </w:tcPr>
          <w:p w14:paraId="00F8FE9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15.6</w:t>
            </w:r>
          </w:p>
        </w:tc>
        <w:tc>
          <w:tcPr>
            <w:tcW w:w="1038" w:type="dxa"/>
            <w:tcBorders>
              <w:top w:val="nil"/>
              <w:left w:val="nil"/>
              <w:bottom w:val="single" w:sz="4" w:space="0" w:color="auto"/>
              <w:right w:val="nil"/>
            </w:tcBorders>
            <w:shd w:val="clear" w:color="auto" w:fill="auto"/>
            <w:noWrap/>
            <w:vAlign w:val="bottom"/>
            <w:hideMark/>
          </w:tcPr>
          <w:p w14:paraId="6B4B64D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21.6</w:t>
            </w:r>
          </w:p>
        </w:tc>
        <w:tc>
          <w:tcPr>
            <w:tcW w:w="989" w:type="dxa"/>
            <w:tcBorders>
              <w:top w:val="nil"/>
              <w:left w:val="nil"/>
              <w:bottom w:val="single" w:sz="4" w:space="0" w:color="auto"/>
              <w:right w:val="nil"/>
            </w:tcBorders>
            <w:shd w:val="clear" w:color="auto" w:fill="auto"/>
            <w:noWrap/>
            <w:vAlign w:val="bottom"/>
            <w:hideMark/>
          </w:tcPr>
          <w:p w14:paraId="46681CE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4.3</w:t>
            </w:r>
          </w:p>
        </w:tc>
        <w:tc>
          <w:tcPr>
            <w:tcW w:w="1028" w:type="dxa"/>
            <w:tcBorders>
              <w:top w:val="nil"/>
              <w:left w:val="nil"/>
              <w:bottom w:val="single" w:sz="4" w:space="0" w:color="auto"/>
              <w:right w:val="nil"/>
            </w:tcBorders>
            <w:shd w:val="clear" w:color="auto" w:fill="auto"/>
            <w:noWrap/>
            <w:vAlign w:val="bottom"/>
            <w:hideMark/>
          </w:tcPr>
          <w:p w14:paraId="23293038"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12.0</w:t>
            </w:r>
          </w:p>
        </w:tc>
        <w:tc>
          <w:tcPr>
            <w:tcW w:w="1409" w:type="dxa"/>
            <w:tcBorders>
              <w:top w:val="nil"/>
              <w:left w:val="nil"/>
              <w:bottom w:val="single" w:sz="4" w:space="0" w:color="auto"/>
              <w:right w:val="nil"/>
            </w:tcBorders>
            <w:shd w:val="clear" w:color="auto" w:fill="auto"/>
            <w:noWrap/>
            <w:vAlign w:val="bottom"/>
            <w:hideMark/>
          </w:tcPr>
          <w:p w14:paraId="7E2BA29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22.3</w:t>
            </w:r>
          </w:p>
        </w:tc>
      </w:tr>
      <w:tr w:rsidR="00601E20" w:rsidRPr="00EC2957" w14:paraId="5F35C8E2" w14:textId="77777777" w:rsidTr="00E72E84">
        <w:trPr>
          <w:trHeight w:val="288"/>
        </w:trPr>
        <w:tc>
          <w:tcPr>
            <w:tcW w:w="2036" w:type="dxa"/>
            <w:tcBorders>
              <w:top w:val="nil"/>
              <w:left w:val="nil"/>
              <w:bottom w:val="nil"/>
              <w:right w:val="nil"/>
            </w:tcBorders>
            <w:shd w:val="clear" w:color="auto" w:fill="auto"/>
            <w:noWrap/>
            <w:vAlign w:val="bottom"/>
            <w:hideMark/>
          </w:tcPr>
          <w:p w14:paraId="4127E5CC" w14:textId="0CDF1CF0"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South</w:t>
            </w:r>
            <w:r w:rsidRPr="00EC2957">
              <w:rPr>
                <w:rFonts w:ascii="Times New Roman" w:eastAsia="Times New Roman" w:hAnsi="Times New Roman" w:cs="Times New Roman"/>
                <w:color w:val="000000"/>
              </w:rPr>
              <w:t xml:space="preserve"> </w:t>
            </w:r>
          </w:p>
        </w:tc>
        <w:tc>
          <w:tcPr>
            <w:tcW w:w="1321" w:type="dxa"/>
            <w:tcBorders>
              <w:top w:val="nil"/>
              <w:left w:val="nil"/>
              <w:bottom w:val="nil"/>
              <w:right w:val="nil"/>
            </w:tcBorders>
            <w:shd w:val="clear" w:color="auto" w:fill="auto"/>
            <w:noWrap/>
            <w:vAlign w:val="bottom"/>
            <w:hideMark/>
          </w:tcPr>
          <w:p w14:paraId="32A7AB09" w14:textId="77777777" w:rsidR="00601E20" w:rsidRPr="00EC2957" w:rsidRDefault="00601E20" w:rsidP="00482D11">
            <w:pPr>
              <w:spacing w:line="240" w:lineRule="auto"/>
              <w:jc w:val="right"/>
              <w:rPr>
                <w:rFonts w:ascii="Times New Roman" w:eastAsia="Times New Roman" w:hAnsi="Times New Roman" w:cs="Times New Roman"/>
                <w:color w:val="000000"/>
              </w:rPr>
            </w:pPr>
          </w:p>
        </w:tc>
        <w:tc>
          <w:tcPr>
            <w:tcW w:w="1011" w:type="dxa"/>
            <w:tcBorders>
              <w:top w:val="nil"/>
              <w:left w:val="nil"/>
              <w:bottom w:val="nil"/>
              <w:right w:val="nil"/>
            </w:tcBorders>
            <w:shd w:val="clear" w:color="auto" w:fill="auto"/>
            <w:noWrap/>
            <w:vAlign w:val="bottom"/>
            <w:hideMark/>
          </w:tcPr>
          <w:p w14:paraId="65594FA2"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14:paraId="2E50F21D"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989" w:type="dxa"/>
            <w:tcBorders>
              <w:top w:val="nil"/>
              <w:left w:val="nil"/>
              <w:bottom w:val="nil"/>
              <w:right w:val="nil"/>
            </w:tcBorders>
            <w:shd w:val="clear" w:color="auto" w:fill="auto"/>
            <w:noWrap/>
            <w:vAlign w:val="bottom"/>
            <w:hideMark/>
          </w:tcPr>
          <w:p w14:paraId="72650A77"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1028" w:type="dxa"/>
            <w:tcBorders>
              <w:top w:val="nil"/>
              <w:left w:val="nil"/>
              <w:bottom w:val="nil"/>
              <w:right w:val="nil"/>
            </w:tcBorders>
            <w:shd w:val="clear" w:color="auto" w:fill="auto"/>
            <w:noWrap/>
            <w:vAlign w:val="bottom"/>
            <w:hideMark/>
          </w:tcPr>
          <w:p w14:paraId="294F5F75"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bottom"/>
            <w:hideMark/>
          </w:tcPr>
          <w:p w14:paraId="650DD874"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r>
      <w:tr w:rsidR="00601E20" w:rsidRPr="00EC2957" w14:paraId="232E2EE0" w14:textId="77777777" w:rsidTr="00E72E84">
        <w:trPr>
          <w:trHeight w:val="288"/>
        </w:trPr>
        <w:tc>
          <w:tcPr>
            <w:tcW w:w="2036" w:type="dxa"/>
            <w:tcBorders>
              <w:top w:val="nil"/>
              <w:left w:val="nil"/>
              <w:bottom w:val="nil"/>
              <w:right w:val="nil"/>
            </w:tcBorders>
            <w:shd w:val="clear" w:color="auto" w:fill="auto"/>
            <w:noWrap/>
            <w:vAlign w:val="bottom"/>
            <w:hideMark/>
          </w:tcPr>
          <w:p w14:paraId="2D6871C6"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Big city districts </w:t>
            </w:r>
          </w:p>
        </w:tc>
        <w:tc>
          <w:tcPr>
            <w:tcW w:w="1321" w:type="dxa"/>
            <w:tcBorders>
              <w:top w:val="nil"/>
              <w:left w:val="nil"/>
              <w:bottom w:val="nil"/>
              <w:right w:val="nil"/>
            </w:tcBorders>
            <w:shd w:val="clear" w:color="auto" w:fill="auto"/>
            <w:noWrap/>
            <w:vAlign w:val="bottom"/>
            <w:hideMark/>
          </w:tcPr>
          <w:p w14:paraId="1AE1937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24.0</w:t>
            </w:r>
          </w:p>
        </w:tc>
        <w:tc>
          <w:tcPr>
            <w:tcW w:w="1011" w:type="dxa"/>
            <w:tcBorders>
              <w:top w:val="nil"/>
              <w:left w:val="nil"/>
              <w:bottom w:val="nil"/>
              <w:right w:val="nil"/>
            </w:tcBorders>
            <w:shd w:val="clear" w:color="auto" w:fill="auto"/>
            <w:noWrap/>
            <w:vAlign w:val="bottom"/>
            <w:hideMark/>
          </w:tcPr>
          <w:p w14:paraId="5AE2401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6.0</w:t>
            </w:r>
          </w:p>
        </w:tc>
        <w:tc>
          <w:tcPr>
            <w:tcW w:w="1038" w:type="dxa"/>
            <w:tcBorders>
              <w:top w:val="nil"/>
              <w:left w:val="nil"/>
              <w:bottom w:val="nil"/>
              <w:right w:val="nil"/>
            </w:tcBorders>
            <w:shd w:val="clear" w:color="auto" w:fill="auto"/>
            <w:noWrap/>
            <w:vAlign w:val="bottom"/>
            <w:hideMark/>
          </w:tcPr>
          <w:p w14:paraId="34C0F39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19.5</w:t>
            </w:r>
          </w:p>
        </w:tc>
        <w:tc>
          <w:tcPr>
            <w:tcW w:w="989" w:type="dxa"/>
            <w:tcBorders>
              <w:top w:val="nil"/>
              <w:left w:val="nil"/>
              <w:bottom w:val="nil"/>
              <w:right w:val="nil"/>
            </w:tcBorders>
            <w:shd w:val="clear" w:color="auto" w:fill="auto"/>
            <w:noWrap/>
            <w:vAlign w:val="bottom"/>
            <w:hideMark/>
          </w:tcPr>
          <w:p w14:paraId="694CD34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3.0</w:t>
            </w:r>
          </w:p>
        </w:tc>
        <w:tc>
          <w:tcPr>
            <w:tcW w:w="1028" w:type="dxa"/>
            <w:tcBorders>
              <w:top w:val="nil"/>
              <w:left w:val="nil"/>
              <w:bottom w:val="nil"/>
              <w:right w:val="nil"/>
            </w:tcBorders>
            <w:shd w:val="clear" w:color="auto" w:fill="auto"/>
            <w:noWrap/>
            <w:vAlign w:val="bottom"/>
            <w:hideMark/>
          </w:tcPr>
          <w:p w14:paraId="4351F6D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10.9</w:t>
            </w:r>
          </w:p>
        </w:tc>
        <w:tc>
          <w:tcPr>
            <w:tcW w:w="1409" w:type="dxa"/>
            <w:tcBorders>
              <w:top w:val="nil"/>
              <w:left w:val="nil"/>
              <w:bottom w:val="nil"/>
              <w:right w:val="nil"/>
            </w:tcBorders>
            <w:shd w:val="clear" w:color="auto" w:fill="auto"/>
            <w:noWrap/>
            <w:vAlign w:val="bottom"/>
            <w:hideMark/>
          </w:tcPr>
          <w:p w14:paraId="3A77DB8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36.6</w:t>
            </w:r>
          </w:p>
        </w:tc>
      </w:tr>
      <w:tr w:rsidR="00601E20" w:rsidRPr="00EC2957" w14:paraId="70BCA887" w14:textId="77777777" w:rsidTr="00E72E84">
        <w:trPr>
          <w:trHeight w:val="336"/>
        </w:trPr>
        <w:tc>
          <w:tcPr>
            <w:tcW w:w="2036" w:type="dxa"/>
            <w:tcBorders>
              <w:top w:val="nil"/>
              <w:left w:val="nil"/>
              <w:bottom w:val="nil"/>
              <w:right w:val="nil"/>
            </w:tcBorders>
            <w:shd w:val="clear" w:color="auto" w:fill="auto"/>
            <w:noWrap/>
            <w:vAlign w:val="center"/>
            <w:hideMark/>
          </w:tcPr>
          <w:p w14:paraId="3DC916E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667F5E7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25.4</w:t>
            </w:r>
          </w:p>
        </w:tc>
        <w:tc>
          <w:tcPr>
            <w:tcW w:w="1011" w:type="dxa"/>
            <w:tcBorders>
              <w:top w:val="nil"/>
              <w:left w:val="nil"/>
              <w:bottom w:val="nil"/>
              <w:right w:val="nil"/>
            </w:tcBorders>
            <w:shd w:val="clear" w:color="auto" w:fill="auto"/>
            <w:noWrap/>
            <w:vAlign w:val="bottom"/>
            <w:hideMark/>
          </w:tcPr>
          <w:p w14:paraId="3F59272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8.8</w:t>
            </w:r>
          </w:p>
        </w:tc>
        <w:tc>
          <w:tcPr>
            <w:tcW w:w="1038" w:type="dxa"/>
            <w:tcBorders>
              <w:top w:val="nil"/>
              <w:left w:val="nil"/>
              <w:bottom w:val="nil"/>
              <w:right w:val="nil"/>
            </w:tcBorders>
            <w:shd w:val="clear" w:color="auto" w:fill="auto"/>
            <w:noWrap/>
            <w:vAlign w:val="bottom"/>
            <w:hideMark/>
          </w:tcPr>
          <w:p w14:paraId="5A3F9DB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20.0</w:t>
            </w:r>
          </w:p>
        </w:tc>
        <w:tc>
          <w:tcPr>
            <w:tcW w:w="989" w:type="dxa"/>
            <w:tcBorders>
              <w:top w:val="nil"/>
              <w:left w:val="nil"/>
              <w:bottom w:val="nil"/>
              <w:right w:val="nil"/>
            </w:tcBorders>
            <w:shd w:val="clear" w:color="auto" w:fill="auto"/>
            <w:noWrap/>
            <w:vAlign w:val="bottom"/>
            <w:hideMark/>
          </w:tcPr>
          <w:p w14:paraId="559174A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3.8</w:t>
            </w:r>
          </w:p>
        </w:tc>
        <w:tc>
          <w:tcPr>
            <w:tcW w:w="1028" w:type="dxa"/>
            <w:tcBorders>
              <w:top w:val="nil"/>
              <w:left w:val="nil"/>
              <w:bottom w:val="nil"/>
              <w:right w:val="nil"/>
            </w:tcBorders>
            <w:shd w:val="clear" w:color="auto" w:fill="auto"/>
            <w:noWrap/>
            <w:vAlign w:val="bottom"/>
            <w:hideMark/>
          </w:tcPr>
          <w:p w14:paraId="483607D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10.1</w:t>
            </w:r>
          </w:p>
        </w:tc>
        <w:tc>
          <w:tcPr>
            <w:tcW w:w="1409" w:type="dxa"/>
            <w:tcBorders>
              <w:top w:val="nil"/>
              <w:left w:val="nil"/>
              <w:bottom w:val="nil"/>
              <w:right w:val="nil"/>
            </w:tcBorders>
            <w:shd w:val="clear" w:color="auto" w:fill="auto"/>
            <w:noWrap/>
            <w:vAlign w:val="bottom"/>
            <w:hideMark/>
          </w:tcPr>
          <w:p w14:paraId="5BD7614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31.9</w:t>
            </w:r>
          </w:p>
        </w:tc>
      </w:tr>
      <w:tr w:rsidR="00601E20" w:rsidRPr="00EC2957" w14:paraId="5D209C91" w14:textId="77777777" w:rsidTr="00E72E84">
        <w:trPr>
          <w:trHeight w:val="336"/>
        </w:trPr>
        <w:tc>
          <w:tcPr>
            <w:tcW w:w="2036" w:type="dxa"/>
            <w:tcBorders>
              <w:top w:val="nil"/>
              <w:left w:val="nil"/>
              <w:bottom w:val="nil"/>
              <w:right w:val="nil"/>
            </w:tcBorders>
            <w:shd w:val="clear" w:color="auto" w:fill="auto"/>
            <w:noWrap/>
            <w:vAlign w:val="center"/>
            <w:hideMark/>
          </w:tcPr>
          <w:p w14:paraId="109A2FEB"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062CFB0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20.5</w:t>
            </w:r>
          </w:p>
        </w:tc>
        <w:tc>
          <w:tcPr>
            <w:tcW w:w="1011" w:type="dxa"/>
            <w:tcBorders>
              <w:top w:val="nil"/>
              <w:left w:val="nil"/>
              <w:bottom w:val="nil"/>
              <w:right w:val="nil"/>
            </w:tcBorders>
            <w:shd w:val="clear" w:color="auto" w:fill="auto"/>
            <w:noWrap/>
            <w:vAlign w:val="bottom"/>
            <w:hideMark/>
          </w:tcPr>
          <w:p w14:paraId="06A6046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14.5</w:t>
            </w:r>
          </w:p>
        </w:tc>
        <w:tc>
          <w:tcPr>
            <w:tcW w:w="1038" w:type="dxa"/>
            <w:tcBorders>
              <w:top w:val="nil"/>
              <w:left w:val="nil"/>
              <w:bottom w:val="nil"/>
              <w:right w:val="nil"/>
            </w:tcBorders>
            <w:shd w:val="clear" w:color="auto" w:fill="auto"/>
            <w:noWrap/>
            <w:vAlign w:val="bottom"/>
            <w:hideMark/>
          </w:tcPr>
          <w:p w14:paraId="2A04596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24.1</w:t>
            </w:r>
          </w:p>
        </w:tc>
        <w:tc>
          <w:tcPr>
            <w:tcW w:w="989" w:type="dxa"/>
            <w:tcBorders>
              <w:top w:val="nil"/>
              <w:left w:val="nil"/>
              <w:bottom w:val="nil"/>
              <w:right w:val="nil"/>
            </w:tcBorders>
            <w:shd w:val="clear" w:color="auto" w:fill="auto"/>
            <w:noWrap/>
            <w:vAlign w:val="bottom"/>
            <w:hideMark/>
          </w:tcPr>
          <w:p w14:paraId="03E6D12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4.2</w:t>
            </w:r>
          </w:p>
        </w:tc>
        <w:tc>
          <w:tcPr>
            <w:tcW w:w="1028" w:type="dxa"/>
            <w:tcBorders>
              <w:top w:val="nil"/>
              <w:left w:val="nil"/>
              <w:bottom w:val="nil"/>
              <w:right w:val="nil"/>
            </w:tcBorders>
            <w:shd w:val="clear" w:color="auto" w:fill="auto"/>
            <w:noWrap/>
            <w:vAlign w:val="bottom"/>
            <w:hideMark/>
          </w:tcPr>
          <w:p w14:paraId="48F1E3D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12.0</w:t>
            </w:r>
          </w:p>
        </w:tc>
        <w:tc>
          <w:tcPr>
            <w:tcW w:w="1409" w:type="dxa"/>
            <w:tcBorders>
              <w:top w:val="nil"/>
              <w:left w:val="nil"/>
              <w:bottom w:val="nil"/>
              <w:right w:val="nil"/>
            </w:tcBorders>
            <w:shd w:val="clear" w:color="auto" w:fill="auto"/>
            <w:noWrap/>
            <w:vAlign w:val="bottom"/>
            <w:hideMark/>
          </w:tcPr>
          <w:p w14:paraId="02BE647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24.5</w:t>
            </w:r>
          </w:p>
        </w:tc>
      </w:tr>
      <w:tr w:rsidR="00601E20" w:rsidRPr="00EC2957" w14:paraId="031D56BD" w14:textId="77777777" w:rsidTr="00E72E84">
        <w:trPr>
          <w:trHeight w:val="288"/>
        </w:trPr>
        <w:tc>
          <w:tcPr>
            <w:tcW w:w="2036" w:type="dxa"/>
            <w:tcBorders>
              <w:top w:val="nil"/>
              <w:left w:val="nil"/>
              <w:bottom w:val="nil"/>
              <w:right w:val="nil"/>
            </w:tcBorders>
            <w:shd w:val="clear" w:color="auto" w:fill="auto"/>
            <w:noWrap/>
            <w:vAlign w:val="center"/>
            <w:hideMark/>
          </w:tcPr>
          <w:p w14:paraId="47234C22"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302C7C9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23.6</w:t>
            </w:r>
          </w:p>
        </w:tc>
        <w:tc>
          <w:tcPr>
            <w:tcW w:w="1011" w:type="dxa"/>
            <w:tcBorders>
              <w:top w:val="nil"/>
              <w:left w:val="nil"/>
              <w:bottom w:val="nil"/>
              <w:right w:val="nil"/>
            </w:tcBorders>
            <w:shd w:val="clear" w:color="auto" w:fill="auto"/>
            <w:noWrap/>
            <w:vAlign w:val="bottom"/>
            <w:hideMark/>
          </w:tcPr>
          <w:p w14:paraId="35B43DD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13.3</w:t>
            </w:r>
          </w:p>
        </w:tc>
        <w:tc>
          <w:tcPr>
            <w:tcW w:w="1038" w:type="dxa"/>
            <w:tcBorders>
              <w:top w:val="nil"/>
              <w:left w:val="nil"/>
              <w:bottom w:val="nil"/>
              <w:right w:val="nil"/>
            </w:tcBorders>
            <w:shd w:val="clear" w:color="auto" w:fill="auto"/>
            <w:noWrap/>
            <w:vAlign w:val="bottom"/>
            <w:hideMark/>
          </w:tcPr>
          <w:p w14:paraId="5EB62A0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25.3</w:t>
            </w:r>
          </w:p>
        </w:tc>
        <w:tc>
          <w:tcPr>
            <w:tcW w:w="989" w:type="dxa"/>
            <w:tcBorders>
              <w:top w:val="nil"/>
              <w:left w:val="nil"/>
              <w:bottom w:val="nil"/>
              <w:right w:val="nil"/>
            </w:tcBorders>
            <w:shd w:val="clear" w:color="auto" w:fill="auto"/>
            <w:noWrap/>
            <w:vAlign w:val="bottom"/>
            <w:hideMark/>
          </w:tcPr>
          <w:p w14:paraId="0D77AAE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3.8</w:t>
            </w:r>
          </w:p>
        </w:tc>
        <w:tc>
          <w:tcPr>
            <w:tcW w:w="1028" w:type="dxa"/>
            <w:tcBorders>
              <w:top w:val="nil"/>
              <w:left w:val="nil"/>
              <w:bottom w:val="nil"/>
              <w:right w:val="nil"/>
            </w:tcBorders>
            <w:shd w:val="clear" w:color="auto" w:fill="auto"/>
            <w:noWrap/>
            <w:vAlign w:val="bottom"/>
            <w:hideMark/>
          </w:tcPr>
          <w:p w14:paraId="42E467F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11.6</w:t>
            </w:r>
          </w:p>
        </w:tc>
        <w:tc>
          <w:tcPr>
            <w:tcW w:w="1409" w:type="dxa"/>
            <w:tcBorders>
              <w:top w:val="nil"/>
              <w:left w:val="nil"/>
              <w:bottom w:val="nil"/>
              <w:right w:val="nil"/>
            </w:tcBorders>
            <w:shd w:val="clear" w:color="auto" w:fill="auto"/>
            <w:noWrap/>
            <w:vAlign w:val="bottom"/>
            <w:hideMark/>
          </w:tcPr>
          <w:p w14:paraId="4F76295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22.4</w:t>
            </w:r>
          </w:p>
        </w:tc>
      </w:tr>
      <w:tr w:rsidR="00601E20" w:rsidRPr="00EC2957" w14:paraId="35A5E279"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1795398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South total </w:t>
            </w:r>
          </w:p>
        </w:tc>
        <w:tc>
          <w:tcPr>
            <w:tcW w:w="1321" w:type="dxa"/>
            <w:tcBorders>
              <w:top w:val="nil"/>
              <w:left w:val="nil"/>
              <w:bottom w:val="single" w:sz="4" w:space="0" w:color="auto"/>
              <w:right w:val="nil"/>
            </w:tcBorders>
            <w:shd w:val="clear" w:color="auto" w:fill="auto"/>
            <w:noWrap/>
            <w:vAlign w:val="bottom"/>
            <w:hideMark/>
          </w:tcPr>
          <w:p w14:paraId="52CB96C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22.3</w:t>
            </w:r>
          </w:p>
        </w:tc>
        <w:tc>
          <w:tcPr>
            <w:tcW w:w="1011" w:type="dxa"/>
            <w:tcBorders>
              <w:top w:val="nil"/>
              <w:left w:val="nil"/>
              <w:bottom w:val="single" w:sz="4" w:space="0" w:color="auto"/>
              <w:right w:val="nil"/>
            </w:tcBorders>
            <w:shd w:val="clear" w:color="auto" w:fill="auto"/>
            <w:noWrap/>
            <w:vAlign w:val="bottom"/>
            <w:hideMark/>
          </w:tcPr>
          <w:p w14:paraId="67633DE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13.2</w:t>
            </w:r>
          </w:p>
        </w:tc>
        <w:tc>
          <w:tcPr>
            <w:tcW w:w="1038" w:type="dxa"/>
            <w:tcBorders>
              <w:top w:val="nil"/>
              <w:left w:val="nil"/>
              <w:bottom w:val="single" w:sz="4" w:space="0" w:color="auto"/>
              <w:right w:val="nil"/>
            </w:tcBorders>
            <w:shd w:val="clear" w:color="auto" w:fill="auto"/>
            <w:noWrap/>
            <w:vAlign w:val="bottom"/>
            <w:hideMark/>
          </w:tcPr>
          <w:p w14:paraId="6549E3C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24.1</w:t>
            </w:r>
          </w:p>
        </w:tc>
        <w:tc>
          <w:tcPr>
            <w:tcW w:w="989" w:type="dxa"/>
            <w:tcBorders>
              <w:top w:val="nil"/>
              <w:left w:val="nil"/>
              <w:bottom w:val="single" w:sz="4" w:space="0" w:color="auto"/>
              <w:right w:val="nil"/>
            </w:tcBorders>
            <w:shd w:val="clear" w:color="auto" w:fill="auto"/>
            <w:noWrap/>
            <w:vAlign w:val="bottom"/>
            <w:hideMark/>
          </w:tcPr>
          <w:p w14:paraId="5EB48A4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3.9</w:t>
            </w:r>
          </w:p>
        </w:tc>
        <w:tc>
          <w:tcPr>
            <w:tcW w:w="1028" w:type="dxa"/>
            <w:tcBorders>
              <w:top w:val="nil"/>
              <w:left w:val="nil"/>
              <w:bottom w:val="single" w:sz="4" w:space="0" w:color="auto"/>
              <w:right w:val="nil"/>
            </w:tcBorders>
            <w:shd w:val="clear" w:color="auto" w:fill="auto"/>
            <w:noWrap/>
            <w:vAlign w:val="bottom"/>
            <w:hideMark/>
          </w:tcPr>
          <w:p w14:paraId="4F2ACEF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11.7</w:t>
            </w:r>
          </w:p>
        </w:tc>
        <w:tc>
          <w:tcPr>
            <w:tcW w:w="1409" w:type="dxa"/>
            <w:tcBorders>
              <w:top w:val="nil"/>
              <w:left w:val="nil"/>
              <w:bottom w:val="single" w:sz="4" w:space="0" w:color="auto"/>
              <w:right w:val="nil"/>
            </w:tcBorders>
            <w:shd w:val="clear" w:color="auto" w:fill="auto"/>
            <w:noWrap/>
            <w:vAlign w:val="bottom"/>
            <w:hideMark/>
          </w:tcPr>
          <w:p w14:paraId="3851D00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24.8</w:t>
            </w:r>
          </w:p>
        </w:tc>
      </w:tr>
      <w:tr w:rsidR="00601E20" w:rsidRPr="00EC2957" w14:paraId="495BF325"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37EE1E9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National total </w:t>
            </w:r>
          </w:p>
        </w:tc>
        <w:tc>
          <w:tcPr>
            <w:tcW w:w="1321" w:type="dxa"/>
            <w:tcBorders>
              <w:top w:val="nil"/>
              <w:left w:val="nil"/>
              <w:bottom w:val="single" w:sz="4" w:space="0" w:color="auto"/>
              <w:right w:val="nil"/>
            </w:tcBorders>
            <w:shd w:val="clear" w:color="auto" w:fill="auto"/>
            <w:noWrap/>
            <w:vAlign w:val="bottom"/>
            <w:hideMark/>
          </w:tcPr>
          <w:p w14:paraId="451755A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22.6</w:t>
            </w:r>
          </w:p>
        </w:tc>
        <w:tc>
          <w:tcPr>
            <w:tcW w:w="1011" w:type="dxa"/>
            <w:tcBorders>
              <w:top w:val="nil"/>
              <w:left w:val="nil"/>
              <w:bottom w:val="single" w:sz="4" w:space="0" w:color="auto"/>
              <w:right w:val="nil"/>
            </w:tcBorders>
            <w:shd w:val="clear" w:color="auto" w:fill="auto"/>
            <w:noWrap/>
            <w:vAlign w:val="bottom"/>
            <w:hideMark/>
          </w:tcPr>
          <w:p w14:paraId="2B3DAB4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13.5</w:t>
            </w:r>
          </w:p>
        </w:tc>
        <w:tc>
          <w:tcPr>
            <w:tcW w:w="1038" w:type="dxa"/>
            <w:tcBorders>
              <w:top w:val="nil"/>
              <w:left w:val="nil"/>
              <w:bottom w:val="single" w:sz="4" w:space="0" w:color="auto"/>
              <w:right w:val="nil"/>
            </w:tcBorders>
            <w:shd w:val="clear" w:color="auto" w:fill="auto"/>
            <w:noWrap/>
            <w:vAlign w:val="bottom"/>
            <w:hideMark/>
          </w:tcPr>
          <w:p w14:paraId="77DFB04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23.7</w:t>
            </w:r>
          </w:p>
        </w:tc>
        <w:tc>
          <w:tcPr>
            <w:tcW w:w="989" w:type="dxa"/>
            <w:tcBorders>
              <w:top w:val="nil"/>
              <w:left w:val="nil"/>
              <w:bottom w:val="single" w:sz="4" w:space="0" w:color="auto"/>
              <w:right w:val="nil"/>
            </w:tcBorders>
            <w:shd w:val="clear" w:color="auto" w:fill="auto"/>
            <w:noWrap/>
            <w:vAlign w:val="bottom"/>
            <w:hideMark/>
          </w:tcPr>
          <w:p w14:paraId="5B7B9C6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4.0</w:t>
            </w:r>
          </w:p>
        </w:tc>
        <w:tc>
          <w:tcPr>
            <w:tcW w:w="1028" w:type="dxa"/>
            <w:tcBorders>
              <w:top w:val="nil"/>
              <w:left w:val="nil"/>
              <w:bottom w:val="single" w:sz="4" w:space="0" w:color="auto"/>
              <w:right w:val="nil"/>
            </w:tcBorders>
            <w:shd w:val="clear" w:color="auto" w:fill="auto"/>
            <w:noWrap/>
            <w:vAlign w:val="bottom"/>
            <w:hideMark/>
          </w:tcPr>
          <w:p w14:paraId="302C86E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11.7</w:t>
            </w:r>
          </w:p>
        </w:tc>
        <w:tc>
          <w:tcPr>
            <w:tcW w:w="1409" w:type="dxa"/>
            <w:tcBorders>
              <w:top w:val="nil"/>
              <w:left w:val="nil"/>
              <w:bottom w:val="single" w:sz="4" w:space="0" w:color="auto"/>
              <w:right w:val="nil"/>
            </w:tcBorders>
            <w:shd w:val="clear" w:color="auto" w:fill="auto"/>
            <w:noWrap/>
            <w:vAlign w:val="bottom"/>
            <w:hideMark/>
          </w:tcPr>
          <w:p w14:paraId="3740BB3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24.4</w:t>
            </w:r>
          </w:p>
        </w:tc>
      </w:tr>
    </w:tbl>
    <w:p w14:paraId="678BA011" w14:textId="375C4255" w:rsidR="00601E20" w:rsidRPr="00257387" w:rsidRDefault="00601E20" w:rsidP="00EF7FD9">
      <w:pPr>
        <w:jc w:val="both"/>
        <w:rPr>
          <w:rFonts w:ascii="Times New Roman" w:hAnsi="Times New Roman" w:cs="Times New Roman"/>
          <w:sz w:val="20"/>
          <w:szCs w:val="20"/>
        </w:rPr>
      </w:pPr>
      <w:r w:rsidRPr="00257387">
        <w:rPr>
          <w:rFonts w:ascii="Times New Roman" w:hAnsi="Times New Roman" w:cs="Times New Roman"/>
          <w:sz w:val="20"/>
          <w:szCs w:val="20"/>
        </w:rPr>
        <w:t>Source: Authors’ calculation using data of Census 2000 and 2010 (GSS 2003; 2013)</w:t>
      </w:r>
    </w:p>
    <w:p w14:paraId="33D7F76B" w14:textId="60E513FF" w:rsidR="00F52337" w:rsidRPr="00607CA1" w:rsidRDefault="00257387" w:rsidP="00EF7FD9">
      <w:pPr>
        <w:jc w:val="both"/>
        <w:rPr>
          <w:rFonts w:ascii="Times New Roman" w:hAnsi="Times New Roman" w:cs="Times New Roman"/>
          <w:sz w:val="20"/>
          <w:szCs w:val="20"/>
        </w:rPr>
      </w:pPr>
      <w:r w:rsidRPr="00550946">
        <w:rPr>
          <w:rFonts w:ascii="Times New Roman" w:hAnsi="Times New Roman" w:cs="Times New Roman"/>
          <w:sz w:val="20"/>
          <w:szCs w:val="20"/>
          <w:highlight w:val="yellow"/>
        </w:rPr>
        <w:t>The excel file is in Daily\2015\GSSP\youth\Jed\Districtypes-CensusGLSS_Sep22-2016_rawurban.xlsx, sheet “calculation, row374”</w:t>
      </w:r>
    </w:p>
    <w:p w14:paraId="3B0C8F0C" w14:textId="77777777" w:rsidR="00AF313E" w:rsidRDefault="00AF313E" w:rsidP="00EF7FD9">
      <w:pPr>
        <w:pStyle w:val="ListParagraph"/>
        <w:jc w:val="both"/>
        <w:rPr>
          <w:rFonts w:ascii="Times New Roman" w:hAnsi="Times New Roman" w:cs="Times New Roman"/>
          <w:sz w:val="24"/>
          <w:szCs w:val="24"/>
        </w:rPr>
      </w:pPr>
    </w:p>
    <w:p w14:paraId="2A017545" w14:textId="310FB398" w:rsidR="002D4974" w:rsidRPr="007415D2" w:rsidRDefault="002D4974" w:rsidP="000C2FA0">
      <w:pPr>
        <w:pStyle w:val="ListParagraph"/>
        <w:numPr>
          <w:ilvl w:val="1"/>
          <w:numId w:val="9"/>
        </w:numPr>
        <w:spacing w:line="360" w:lineRule="auto"/>
        <w:jc w:val="both"/>
        <w:rPr>
          <w:rFonts w:ascii="Times New Roman" w:hAnsi="Times New Roman" w:cs="Times New Roman"/>
          <w:sz w:val="24"/>
          <w:szCs w:val="24"/>
        </w:rPr>
      </w:pPr>
      <w:r w:rsidRPr="007415D2">
        <w:rPr>
          <w:rFonts w:ascii="Times New Roman" w:hAnsi="Times New Roman" w:cs="Times New Roman"/>
          <w:sz w:val="24"/>
          <w:szCs w:val="24"/>
        </w:rPr>
        <w:t>URBANIZATION AND AGRICULTURAL INTENSIFICATION</w:t>
      </w:r>
    </w:p>
    <w:p w14:paraId="2B2A4574" w14:textId="680B439B" w:rsidR="00A0533C" w:rsidRPr="007415D2" w:rsidRDefault="00D52F18" w:rsidP="00C84B7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9</w:t>
      </w:r>
      <w:r w:rsidR="007415D2">
        <w:rPr>
          <w:rFonts w:ascii="Times New Roman" w:hAnsi="Times New Roman" w:cs="Times New Roman"/>
          <w:b/>
          <w:i/>
          <w:sz w:val="24"/>
          <w:szCs w:val="24"/>
        </w:rPr>
        <w:t xml:space="preserve">.4.1 </w:t>
      </w:r>
      <w:r w:rsidR="00A0533C" w:rsidRPr="007415D2">
        <w:rPr>
          <w:rFonts w:ascii="Times New Roman" w:hAnsi="Times New Roman" w:cs="Times New Roman"/>
          <w:b/>
          <w:i/>
          <w:sz w:val="24"/>
          <w:szCs w:val="24"/>
        </w:rPr>
        <w:t>Farm size distribution</w:t>
      </w:r>
    </w:p>
    <w:p w14:paraId="307BB70C" w14:textId="61FF4866" w:rsidR="008A2F22" w:rsidRPr="004A3F04" w:rsidRDefault="003A7160" w:rsidP="00C84B71">
      <w:pPr>
        <w:spacing w:after="240" w:line="360" w:lineRule="auto"/>
        <w:jc w:val="both"/>
        <w:rPr>
          <w:rFonts w:ascii="Times New Roman" w:hAnsi="Times New Roman" w:cs="Times New Roman"/>
          <w:sz w:val="24"/>
          <w:szCs w:val="24"/>
        </w:rPr>
      </w:pPr>
      <w:r w:rsidRPr="004A3F04">
        <w:rPr>
          <w:rFonts w:ascii="Times New Roman" w:hAnsi="Times New Roman" w:cs="Times New Roman"/>
          <w:sz w:val="24"/>
          <w:szCs w:val="24"/>
        </w:rPr>
        <w:t>Along with</w:t>
      </w:r>
      <w:r w:rsidR="008A2F22" w:rsidRPr="004A3F04">
        <w:rPr>
          <w:rFonts w:ascii="Times New Roman" w:hAnsi="Times New Roman" w:cs="Times New Roman"/>
          <w:sz w:val="24"/>
          <w:szCs w:val="24"/>
        </w:rPr>
        <w:t xml:space="preserve"> change</w:t>
      </w:r>
      <w:r w:rsidRPr="004A3F04">
        <w:rPr>
          <w:rFonts w:ascii="Times New Roman" w:hAnsi="Times New Roman" w:cs="Times New Roman"/>
          <w:sz w:val="24"/>
          <w:szCs w:val="24"/>
        </w:rPr>
        <w:t>s</w:t>
      </w:r>
      <w:r w:rsidR="008A2F22" w:rsidRPr="004A3F04">
        <w:rPr>
          <w:rFonts w:ascii="Times New Roman" w:hAnsi="Times New Roman" w:cs="Times New Roman"/>
          <w:sz w:val="24"/>
          <w:szCs w:val="24"/>
        </w:rPr>
        <w:t xml:space="preserve"> in occupation patterns</w:t>
      </w:r>
      <w:r w:rsidRPr="004A3F04">
        <w:rPr>
          <w:rFonts w:ascii="Times New Roman" w:hAnsi="Times New Roman" w:cs="Times New Roman"/>
          <w:sz w:val="24"/>
          <w:szCs w:val="24"/>
        </w:rPr>
        <w:t xml:space="preserve">, there have also been </w:t>
      </w:r>
      <w:r w:rsidR="008A2F22" w:rsidRPr="004A3F04">
        <w:rPr>
          <w:rFonts w:ascii="Times New Roman" w:hAnsi="Times New Roman" w:cs="Times New Roman"/>
          <w:sz w:val="24"/>
          <w:szCs w:val="24"/>
        </w:rPr>
        <w:t xml:space="preserve">changes in the distribution </w:t>
      </w:r>
      <w:r w:rsidRPr="004A3F04">
        <w:rPr>
          <w:rFonts w:ascii="Times New Roman" w:hAnsi="Times New Roman" w:cs="Times New Roman"/>
          <w:sz w:val="24"/>
          <w:szCs w:val="24"/>
        </w:rPr>
        <w:t>of land</w:t>
      </w:r>
      <w:r w:rsidR="006F2C34">
        <w:rPr>
          <w:rFonts w:ascii="Times New Roman" w:hAnsi="Times New Roman" w:cs="Times New Roman"/>
          <w:sz w:val="24"/>
          <w:szCs w:val="24"/>
        </w:rPr>
        <w:t xml:space="preserve"> amongst rural households</w:t>
      </w:r>
      <w:r w:rsidRPr="004A3F04">
        <w:rPr>
          <w:rFonts w:ascii="Times New Roman" w:hAnsi="Times New Roman" w:cs="Times New Roman"/>
          <w:sz w:val="24"/>
          <w:szCs w:val="24"/>
        </w:rPr>
        <w:t xml:space="preserve"> </w:t>
      </w:r>
      <w:r w:rsidR="008A2F22" w:rsidRPr="004A3F04">
        <w:rPr>
          <w:rFonts w:ascii="Times New Roman" w:hAnsi="Times New Roman" w:cs="Times New Roman"/>
          <w:sz w:val="24"/>
          <w:szCs w:val="24"/>
        </w:rPr>
        <w:t xml:space="preserve">(Tables </w:t>
      </w:r>
      <w:r w:rsidR="00D52F18">
        <w:rPr>
          <w:rFonts w:ascii="Times New Roman" w:hAnsi="Times New Roman" w:cs="Times New Roman"/>
          <w:sz w:val="24"/>
          <w:szCs w:val="24"/>
        </w:rPr>
        <w:t>9</w:t>
      </w:r>
      <w:r w:rsidR="00443FCB" w:rsidRPr="004A3F04">
        <w:rPr>
          <w:rFonts w:ascii="Times New Roman" w:hAnsi="Times New Roman" w:cs="Times New Roman"/>
          <w:sz w:val="24"/>
          <w:szCs w:val="24"/>
        </w:rPr>
        <w:t xml:space="preserve">.4a and </w:t>
      </w:r>
      <w:r w:rsidR="00D52F18">
        <w:rPr>
          <w:rFonts w:ascii="Times New Roman" w:hAnsi="Times New Roman" w:cs="Times New Roman"/>
          <w:sz w:val="24"/>
          <w:szCs w:val="24"/>
        </w:rPr>
        <w:t>9</w:t>
      </w:r>
      <w:r w:rsidR="00443FCB" w:rsidRPr="004A3F04">
        <w:rPr>
          <w:rFonts w:ascii="Times New Roman" w:hAnsi="Times New Roman" w:cs="Times New Roman"/>
          <w:sz w:val="24"/>
          <w:szCs w:val="24"/>
        </w:rPr>
        <w:t>.4b</w:t>
      </w:r>
      <w:r w:rsidR="002E32B1" w:rsidRPr="004A3F04">
        <w:rPr>
          <w:rFonts w:ascii="Times New Roman" w:hAnsi="Times New Roman" w:cs="Times New Roman"/>
          <w:sz w:val="24"/>
          <w:szCs w:val="24"/>
        </w:rPr>
        <w:t>)</w:t>
      </w:r>
      <w:r w:rsidR="00443FCB" w:rsidRPr="004A3F04">
        <w:rPr>
          <w:rFonts w:ascii="Times New Roman" w:hAnsi="Times New Roman" w:cs="Times New Roman"/>
          <w:sz w:val="24"/>
          <w:szCs w:val="24"/>
        </w:rPr>
        <w:t>.</w:t>
      </w:r>
      <w:r w:rsidR="008A2F22" w:rsidRPr="004A3F04">
        <w:rPr>
          <w:rFonts w:ascii="Times New Roman" w:hAnsi="Times New Roman" w:cs="Times New Roman"/>
          <w:sz w:val="24"/>
          <w:szCs w:val="24"/>
        </w:rPr>
        <w:t xml:space="preserve"> </w:t>
      </w:r>
      <w:r w:rsidR="001154A0" w:rsidRPr="004A3F04">
        <w:rPr>
          <w:rFonts w:ascii="Times New Roman" w:hAnsi="Times New Roman" w:cs="Times New Roman"/>
          <w:sz w:val="24"/>
          <w:szCs w:val="24"/>
        </w:rPr>
        <w:t xml:space="preserve">There has been an overall decline in the share of </w:t>
      </w:r>
      <w:r w:rsidR="00A57EDA">
        <w:rPr>
          <w:rFonts w:ascii="Times New Roman" w:hAnsi="Times New Roman" w:cs="Times New Roman"/>
          <w:sz w:val="24"/>
          <w:szCs w:val="24"/>
        </w:rPr>
        <w:t>rural</w:t>
      </w:r>
      <w:r w:rsidR="00A57EDA" w:rsidRPr="004A3F04">
        <w:rPr>
          <w:rFonts w:ascii="Times New Roman" w:hAnsi="Times New Roman" w:cs="Times New Roman"/>
          <w:sz w:val="24"/>
          <w:szCs w:val="24"/>
        </w:rPr>
        <w:t xml:space="preserve"> </w:t>
      </w:r>
      <w:r w:rsidR="001154A0" w:rsidRPr="004A3F04">
        <w:rPr>
          <w:rFonts w:ascii="Times New Roman" w:hAnsi="Times New Roman" w:cs="Times New Roman"/>
          <w:sz w:val="24"/>
          <w:szCs w:val="24"/>
        </w:rPr>
        <w:t>households</w:t>
      </w:r>
      <w:r w:rsidR="00214B7C">
        <w:rPr>
          <w:rFonts w:ascii="Times New Roman" w:hAnsi="Times New Roman" w:cs="Times New Roman"/>
          <w:sz w:val="24"/>
          <w:szCs w:val="24"/>
        </w:rPr>
        <w:t xml:space="preserve"> with farmland</w:t>
      </w:r>
      <w:r w:rsidR="001154A0" w:rsidRPr="004A3F04">
        <w:rPr>
          <w:rFonts w:ascii="Times New Roman" w:hAnsi="Times New Roman" w:cs="Times New Roman"/>
          <w:sz w:val="24"/>
          <w:szCs w:val="24"/>
        </w:rPr>
        <w:t xml:space="preserve">, </w:t>
      </w:r>
      <w:r w:rsidR="00C41C88">
        <w:rPr>
          <w:rFonts w:ascii="Times New Roman" w:hAnsi="Times New Roman" w:cs="Times New Roman"/>
          <w:sz w:val="24"/>
          <w:szCs w:val="24"/>
        </w:rPr>
        <w:t>which has been</w:t>
      </w:r>
      <w:r w:rsidR="00A57EDA">
        <w:rPr>
          <w:rFonts w:ascii="Times New Roman" w:hAnsi="Times New Roman" w:cs="Times New Roman"/>
          <w:sz w:val="24"/>
          <w:szCs w:val="24"/>
        </w:rPr>
        <w:t xml:space="preserve"> </w:t>
      </w:r>
      <w:r w:rsidR="001154A0" w:rsidRPr="004A3F04">
        <w:rPr>
          <w:rFonts w:ascii="Times New Roman" w:hAnsi="Times New Roman" w:cs="Times New Roman"/>
          <w:sz w:val="24"/>
          <w:szCs w:val="24"/>
        </w:rPr>
        <w:t xml:space="preserve">greater in </w:t>
      </w:r>
      <w:r w:rsidR="006F2C34">
        <w:rPr>
          <w:rFonts w:ascii="Times New Roman" w:hAnsi="Times New Roman" w:cs="Times New Roman"/>
          <w:sz w:val="24"/>
          <w:szCs w:val="24"/>
        </w:rPr>
        <w:t xml:space="preserve">the </w:t>
      </w:r>
      <w:r w:rsidR="00A57EDA">
        <w:rPr>
          <w:rFonts w:ascii="Times New Roman" w:hAnsi="Times New Roman" w:cs="Times New Roman"/>
          <w:sz w:val="24"/>
          <w:szCs w:val="24"/>
        </w:rPr>
        <w:t>South</w:t>
      </w:r>
      <w:r w:rsidRPr="004A3F04">
        <w:rPr>
          <w:rFonts w:ascii="Times New Roman" w:hAnsi="Times New Roman" w:cs="Times New Roman"/>
          <w:sz w:val="24"/>
          <w:szCs w:val="24"/>
        </w:rPr>
        <w:t xml:space="preserve"> than </w:t>
      </w:r>
      <w:r w:rsidR="00A57EDA">
        <w:rPr>
          <w:rFonts w:ascii="Times New Roman" w:hAnsi="Times New Roman" w:cs="Times New Roman"/>
          <w:sz w:val="24"/>
          <w:szCs w:val="24"/>
        </w:rPr>
        <w:t>North</w:t>
      </w:r>
      <w:r w:rsidR="001154A0" w:rsidRPr="004A3F04">
        <w:rPr>
          <w:rFonts w:ascii="Times New Roman" w:hAnsi="Times New Roman" w:cs="Times New Roman"/>
          <w:sz w:val="24"/>
          <w:szCs w:val="24"/>
        </w:rPr>
        <w:t xml:space="preserve"> (from 80% to 71</w:t>
      </w:r>
      <w:r w:rsidR="00214B7C" w:rsidRPr="004A3F04">
        <w:rPr>
          <w:rFonts w:ascii="Times New Roman" w:hAnsi="Times New Roman" w:cs="Times New Roman"/>
          <w:sz w:val="24"/>
          <w:szCs w:val="24"/>
        </w:rPr>
        <w:t>%</w:t>
      </w:r>
      <w:r w:rsidR="00214B7C">
        <w:rPr>
          <w:rFonts w:ascii="Times New Roman" w:hAnsi="Times New Roman" w:cs="Times New Roman"/>
          <w:sz w:val="24"/>
          <w:szCs w:val="24"/>
        </w:rPr>
        <w:t xml:space="preserve"> in the South </w:t>
      </w:r>
      <w:r w:rsidR="001154A0" w:rsidRPr="004A3F04">
        <w:rPr>
          <w:rFonts w:ascii="Times New Roman" w:hAnsi="Times New Roman" w:cs="Times New Roman"/>
          <w:sz w:val="24"/>
          <w:szCs w:val="24"/>
        </w:rPr>
        <w:t xml:space="preserve">and </w:t>
      </w:r>
      <w:r w:rsidR="00214B7C">
        <w:rPr>
          <w:rFonts w:ascii="Times New Roman" w:hAnsi="Times New Roman" w:cs="Times New Roman"/>
          <w:sz w:val="24"/>
          <w:szCs w:val="24"/>
        </w:rPr>
        <w:t>91</w:t>
      </w:r>
      <w:r w:rsidR="001154A0" w:rsidRPr="004A3F04">
        <w:rPr>
          <w:rFonts w:ascii="Times New Roman" w:hAnsi="Times New Roman" w:cs="Times New Roman"/>
          <w:sz w:val="24"/>
          <w:szCs w:val="24"/>
        </w:rPr>
        <w:t xml:space="preserve">% to </w:t>
      </w:r>
      <w:r w:rsidR="00214B7C" w:rsidRPr="004A3F04">
        <w:rPr>
          <w:rFonts w:ascii="Times New Roman" w:hAnsi="Times New Roman" w:cs="Times New Roman"/>
          <w:sz w:val="24"/>
          <w:szCs w:val="24"/>
        </w:rPr>
        <w:t>8</w:t>
      </w:r>
      <w:r w:rsidR="00214B7C">
        <w:rPr>
          <w:rFonts w:ascii="Times New Roman" w:hAnsi="Times New Roman" w:cs="Times New Roman"/>
          <w:sz w:val="24"/>
          <w:szCs w:val="24"/>
        </w:rPr>
        <w:t>9</w:t>
      </w:r>
      <w:r w:rsidR="001154A0" w:rsidRPr="004A3F04">
        <w:rPr>
          <w:rFonts w:ascii="Times New Roman" w:hAnsi="Times New Roman" w:cs="Times New Roman"/>
          <w:sz w:val="24"/>
          <w:szCs w:val="24"/>
        </w:rPr>
        <w:t>%</w:t>
      </w:r>
      <w:r w:rsidR="00214B7C">
        <w:rPr>
          <w:rFonts w:ascii="Times New Roman" w:hAnsi="Times New Roman" w:cs="Times New Roman"/>
          <w:sz w:val="24"/>
          <w:szCs w:val="24"/>
        </w:rPr>
        <w:t xml:space="preserve"> in the North</w:t>
      </w:r>
      <w:r w:rsidR="001154A0" w:rsidRPr="004A3F04">
        <w:rPr>
          <w:rFonts w:ascii="Times New Roman" w:hAnsi="Times New Roman" w:cs="Times New Roman"/>
          <w:sz w:val="24"/>
          <w:szCs w:val="24"/>
        </w:rPr>
        <w:t xml:space="preserve">). The decline was most marked in </w:t>
      </w:r>
      <w:r w:rsidR="00C41C88">
        <w:rPr>
          <w:rFonts w:ascii="Times New Roman" w:hAnsi="Times New Roman" w:cs="Times New Roman"/>
          <w:sz w:val="24"/>
          <w:szCs w:val="24"/>
        </w:rPr>
        <w:t>Southern</w:t>
      </w:r>
      <w:r w:rsidR="00A57EDA">
        <w:rPr>
          <w:rFonts w:ascii="Times New Roman" w:hAnsi="Times New Roman" w:cs="Times New Roman"/>
          <w:sz w:val="24"/>
          <w:szCs w:val="24"/>
        </w:rPr>
        <w:t xml:space="preserve"> </w:t>
      </w:r>
      <w:r w:rsidR="001154A0" w:rsidRPr="004A3F04">
        <w:rPr>
          <w:rFonts w:ascii="Times New Roman" w:hAnsi="Times New Roman" w:cs="Times New Roman"/>
          <w:sz w:val="24"/>
          <w:szCs w:val="24"/>
        </w:rPr>
        <w:t>big city district</w:t>
      </w:r>
      <w:r w:rsidR="00A57EDA">
        <w:rPr>
          <w:rFonts w:ascii="Times New Roman" w:hAnsi="Times New Roman" w:cs="Times New Roman"/>
          <w:sz w:val="24"/>
          <w:szCs w:val="24"/>
        </w:rPr>
        <w:t xml:space="preserve">s </w:t>
      </w:r>
      <w:r w:rsidR="001154A0" w:rsidRPr="004A3F04">
        <w:rPr>
          <w:rFonts w:ascii="Times New Roman" w:hAnsi="Times New Roman" w:cs="Times New Roman"/>
          <w:sz w:val="24"/>
          <w:szCs w:val="24"/>
        </w:rPr>
        <w:t>(from 42% to 12%). However, d</w:t>
      </w:r>
      <w:r w:rsidR="008A2F22" w:rsidRPr="004A3F04">
        <w:rPr>
          <w:rFonts w:ascii="Times New Roman" w:hAnsi="Times New Roman" w:cs="Times New Roman"/>
          <w:sz w:val="24"/>
          <w:szCs w:val="24"/>
        </w:rPr>
        <w:t xml:space="preserve">espite </w:t>
      </w:r>
      <w:r w:rsidR="001154A0" w:rsidRPr="004A3F04">
        <w:rPr>
          <w:rFonts w:ascii="Times New Roman" w:hAnsi="Times New Roman" w:cs="Times New Roman"/>
          <w:sz w:val="24"/>
          <w:szCs w:val="24"/>
        </w:rPr>
        <w:t xml:space="preserve">these changes, </w:t>
      </w:r>
      <w:r w:rsidR="008A2F22" w:rsidRPr="004A3F04">
        <w:rPr>
          <w:rFonts w:ascii="Times New Roman" w:hAnsi="Times New Roman" w:cs="Times New Roman"/>
          <w:sz w:val="24"/>
          <w:szCs w:val="24"/>
        </w:rPr>
        <w:t xml:space="preserve">the majority of rural </w:t>
      </w:r>
      <w:r w:rsidR="001154A0" w:rsidRPr="004A3F04">
        <w:rPr>
          <w:rFonts w:ascii="Times New Roman" w:hAnsi="Times New Roman" w:cs="Times New Roman"/>
          <w:sz w:val="24"/>
          <w:szCs w:val="24"/>
        </w:rPr>
        <w:t>households</w:t>
      </w:r>
      <w:r w:rsidR="00C41C88">
        <w:rPr>
          <w:rFonts w:ascii="Times New Roman" w:hAnsi="Times New Roman" w:cs="Times New Roman"/>
          <w:sz w:val="24"/>
          <w:szCs w:val="24"/>
        </w:rPr>
        <w:t xml:space="preserve"> still</w:t>
      </w:r>
      <w:r w:rsidR="001154A0" w:rsidRPr="004A3F04">
        <w:rPr>
          <w:rFonts w:ascii="Times New Roman" w:hAnsi="Times New Roman" w:cs="Times New Roman"/>
          <w:sz w:val="24"/>
          <w:szCs w:val="24"/>
        </w:rPr>
        <w:t xml:space="preserve"> held </w:t>
      </w:r>
      <w:r w:rsidR="008A2F22" w:rsidRPr="004A3F04">
        <w:rPr>
          <w:rFonts w:ascii="Times New Roman" w:hAnsi="Times New Roman" w:cs="Times New Roman"/>
          <w:sz w:val="24"/>
          <w:szCs w:val="24"/>
        </w:rPr>
        <w:lastRenderedPageBreak/>
        <w:t>cultivated land</w:t>
      </w:r>
      <w:r w:rsidR="001154A0" w:rsidRPr="004A3F04">
        <w:rPr>
          <w:rFonts w:ascii="Times New Roman" w:hAnsi="Times New Roman" w:cs="Times New Roman"/>
          <w:sz w:val="24"/>
          <w:szCs w:val="24"/>
        </w:rPr>
        <w:t xml:space="preserve"> in 2012/13</w:t>
      </w:r>
      <w:r w:rsidR="008A2F22" w:rsidRPr="004A3F04">
        <w:rPr>
          <w:rFonts w:ascii="Times New Roman" w:hAnsi="Times New Roman" w:cs="Times New Roman"/>
          <w:sz w:val="24"/>
          <w:szCs w:val="24"/>
        </w:rPr>
        <w:t xml:space="preserve"> </w:t>
      </w:r>
      <w:r w:rsidR="001154A0" w:rsidRPr="004A3F04">
        <w:rPr>
          <w:rFonts w:ascii="Times New Roman" w:hAnsi="Times New Roman" w:cs="Times New Roman"/>
          <w:sz w:val="24"/>
          <w:szCs w:val="24"/>
        </w:rPr>
        <w:t>in</w:t>
      </w:r>
      <w:r w:rsidR="008A2F22" w:rsidRPr="004A3F04">
        <w:rPr>
          <w:rFonts w:ascii="Times New Roman" w:hAnsi="Times New Roman" w:cs="Times New Roman"/>
          <w:sz w:val="24"/>
          <w:szCs w:val="24"/>
        </w:rPr>
        <w:t xml:space="preserve"> all types of districts except big city districts (Table </w:t>
      </w:r>
      <w:r w:rsidR="00D52F18">
        <w:rPr>
          <w:rFonts w:ascii="Times New Roman" w:hAnsi="Times New Roman" w:cs="Times New Roman"/>
          <w:sz w:val="24"/>
          <w:szCs w:val="24"/>
        </w:rPr>
        <w:t>9</w:t>
      </w:r>
      <w:r w:rsidR="002E32B1" w:rsidRPr="004A3F04">
        <w:rPr>
          <w:rFonts w:ascii="Times New Roman" w:hAnsi="Times New Roman" w:cs="Times New Roman"/>
          <w:sz w:val="24"/>
          <w:szCs w:val="24"/>
        </w:rPr>
        <w:t>.4</w:t>
      </w:r>
      <w:r w:rsidR="008A2F22" w:rsidRPr="004A3F04">
        <w:rPr>
          <w:rFonts w:ascii="Times New Roman" w:hAnsi="Times New Roman" w:cs="Times New Roman"/>
          <w:sz w:val="24"/>
          <w:szCs w:val="24"/>
        </w:rPr>
        <w:t>b).</w:t>
      </w:r>
      <w:r w:rsidR="001154A0" w:rsidRPr="004A3F04">
        <w:rPr>
          <w:rFonts w:ascii="Times New Roman" w:hAnsi="Times New Roman" w:cs="Times New Roman"/>
          <w:sz w:val="24"/>
          <w:szCs w:val="24"/>
        </w:rPr>
        <w:t xml:space="preserve"> </w:t>
      </w:r>
    </w:p>
    <w:p w14:paraId="1D7B9166" w14:textId="4012C0C5" w:rsidR="008A2F22" w:rsidRPr="004A3F04" w:rsidRDefault="008A2F22" w:rsidP="00C84B71">
      <w:pPr>
        <w:spacing w:line="360" w:lineRule="auto"/>
        <w:ind w:firstLine="360"/>
        <w:jc w:val="both"/>
        <w:rPr>
          <w:rFonts w:ascii="Times New Roman" w:hAnsi="Times New Roman" w:cs="Times New Roman"/>
          <w:sz w:val="24"/>
          <w:szCs w:val="24"/>
        </w:rPr>
      </w:pPr>
      <w:r w:rsidRPr="004A3F04">
        <w:rPr>
          <w:rFonts w:ascii="Times New Roman" w:hAnsi="Times New Roman" w:cs="Times New Roman"/>
          <w:sz w:val="24"/>
          <w:szCs w:val="24"/>
        </w:rPr>
        <w:t xml:space="preserve">Nationally, the share of small farms </w:t>
      </w:r>
      <w:r w:rsidR="00C41C88">
        <w:rPr>
          <w:rFonts w:ascii="Times New Roman" w:hAnsi="Times New Roman" w:cs="Times New Roman"/>
          <w:sz w:val="24"/>
          <w:szCs w:val="24"/>
        </w:rPr>
        <w:t xml:space="preserve">with </w:t>
      </w:r>
      <w:r w:rsidRPr="004A3F04">
        <w:rPr>
          <w:rFonts w:ascii="Times New Roman" w:hAnsi="Times New Roman" w:cs="Times New Roman"/>
          <w:sz w:val="24"/>
          <w:szCs w:val="24"/>
        </w:rPr>
        <w:t xml:space="preserve">less </w:t>
      </w:r>
      <w:r w:rsidR="00BB5E32">
        <w:rPr>
          <w:rFonts w:ascii="Times New Roman" w:hAnsi="Times New Roman" w:cs="Times New Roman"/>
          <w:sz w:val="24"/>
          <w:szCs w:val="24"/>
        </w:rPr>
        <w:t xml:space="preserve">than </w:t>
      </w:r>
      <w:r w:rsidRPr="004A3F04">
        <w:rPr>
          <w:rFonts w:ascii="Times New Roman" w:hAnsi="Times New Roman" w:cs="Times New Roman"/>
          <w:sz w:val="24"/>
          <w:szCs w:val="24"/>
        </w:rPr>
        <w:t>2 ha declined from 53.3% in 200</w:t>
      </w:r>
      <w:r w:rsidR="002E32B1" w:rsidRPr="004A3F04">
        <w:rPr>
          <w:rFonts w:ascii="Times New Roman" w:hAnsi="Times New Roman" w:cs="Times New Roman"/>
          <w:sz w:val="24"/>
          <w:szCs w:val="24"/>
        </w:rPr>
        <w:t>5/06</w:t>
      </w:r>
      <w:r w:rsidRPr="004A3F04">
        <w:rPr>
          <w:rFonts w:ascii="Times New Roman" w:hAnsi="Times New Roman" w:cs="Times New Roman"/>
          <w:sz w:val="24"/>
          <w:szCs w:val="24"/>
        </w:rPr>
        <w:t xml:space="preserve"> to 49.3% in 201</w:t>
      </w:r>
      <w:r w:rsidR="002E32B1" w:rsidRPr="004A3F04">
        <w:rPr>
          <w:rFonts w:ascii="Times New Roman" w:hAnsi="Times New Roman" w:cs="Times New Roman"/>
          <w:sz w:val="24"/>
          <w:szCs w:val="24"/>
        </w:rPr>
        <w:t>2/13</w:t>
      </w:r>
      <w:r w:rsidRPr="004A3F04">
        <w:rPr>
          <w:rFonts w:ascii="Times New Roman" w:hAnsi="Times New Roman" w:cs="Times New Roman"/>
          <w:sz w:val="24"/>
          <w:szCs w:val="24"/>
        </w:rPr>
        <w:t>. This was offset by some increase in the shares of m</w:t>
      </w:r>
      <w:r w:rsidR="00712B73">
        <w:rPr>
          <w:rFonts w:ascii="Times New Roman" w:hAnsi="Times New Roman" w:cs="Times New Roman"/>
          <w:sz w:val="24"/>
          <w:szCs w:val="24"/>
        </w:rPr>
        <w:t>edium</w:t>
      </w:r>
      <w:r w:rsidRPr="004A3F04">
        <w:rPr>
          <w:rFonts w:ascii="Times New Roman" w:hAnsi="Times New Roman" w:cs="Times New Roman"/>
          <w:sz w:val="24"/>
          <w:szCs w:val="24"/>
        </w:rPr>
        <w:t xml:space="preserve">-sized farms (2-5 ha and 5-20 ha), while the share of farms larger than 20 ha remained </w:t>
      </w:r>
      <w:r w:rsidR="003A7160" w:rsidRPr="004A3F04">
        <w:rPr>
          <w:rFonts w:ascii="Times New Roman" w:hAnsi="Times New Roman" w:cs="Times New Roman"/>
          <w:sz w:val="24"/>
          <w:szCs w:val="24"/>
        </w:rPr>
        <w:t>at about 1 percent</w:t>
      </w:r>
      <w:r w:rsidRPr="004A3F04">
        <w:rPr>
          <w:rFonts w:ascii="Times New Roman" w:hAnsi="Times New Roman" w:cs="Times New Roman"/>
          <w:sz w:val="24"/>
          <w:szCs w:val="24"/>
        </w:rPr>
        <w:t xml:space="preserve">. Similar patterns of change occurred on average in both </w:t>
      </w:r>
      <w:r w:rsidR="008D08D9">
        <w:rPr>
          <w:rFonts w:ascii="Times New Roman" w:hAnsi="Times New Roman" w:cs="Times New Roman"/>
          <w:sz w:val="24"/>
          <w:szCs w:val="24"/>
        </w:rPr>
        <w:t>the North and South</w:t>
      </w:r>
      <w:r w:rsidRPr="004A3F04">
        <w:rPr>
          <w:rFonts w:ascii="Times New Roman" w:hAnsi="Times New Roman" w:cs="Times New Roman"/>
          <w:sz w:val="24"/>
          <w:szCs w:val="24"/>
        </w:rPr>
        <w:t xml:space="preserve"> </w:t>
      </w:r>
      <w:r w:rsidR="00752CE9" w:rsidRPr="004A3F04">
        <w:rPr>
          <w:rFonts w:ascii="Times New Roman" w:hAnsi="Times New Roman" w:cs="Times New Roman"/>
          <w:sz w:val="24"/>
          <w:szCs w:val="24"/>
        </w:rPr>
        <w:t>regions</w:t>
      </w:r>
      <w:r w:rsidRPr="004A3F04">
        <w:rPr>
          <w:rFonts w:ascii="Times New Roman" w:hAnsi="Times New Roman" w:cs="Times New Roman"/>
          <w:sz w:val="24"/>
          <w:szCs w:val="24"/>
        </w:rPr>
        <w:t xml:space="preserve">.  However, there was a reverse trend in the most urbanized districts of </w:t>
      </w:r>
      <w:r w:rsidR="00752CE9" w:rsidRPr="004A3F04">
        <w:rPr>
          <w:rFonts w:ascii="Times New Roman" w:hAnsi="Times New Roman" w:cs="Times New Roman"/>
          <w:sz w:val="24"/>
          <w:szCs w:val="24"/>
        </w:rPr>
        <w:t xml:space="preserve">the </w:t>
      </w:r>
      <w:r w:rsidR="008D08D9">
        <w:rPr>
          <w:rFonts w:ascii="Times New Roman" w:hAnsi="Times New Roman" w:cs="Times New Roman"/>
          <w:sz w:val="24"/>
          <w:szCs w:val="24"/>
        </w:rPr>
        <w:t>South</w:t>
      </w:r>
      <w:r w:rsidR="00FD7E50">
        <w:rPr>
          <w:rFonts w:ascii="Times New Roman" w:hAnsi="Times New Roman" w:cs="Times New Roman"/>
          <w:sz w:val="24"/>
          <w:szCs w:val="24"/>
        </w:rPr>
        <w:t>,</w:t>
      </w:r>
      <w:r w:rsidR="00C41C88">
        <w:rPr>
          <w:rFonts w:ascii="Times New Roman" w:hAnsi="Times New Roman" w:cs="Times New Roman"/>
          <w:sz w:val="24"/>
          <w:szCs w:val="24"/>
        </w:rPr>
        <w:t xml:space="preserve"> where </w:t>
      </w:r>
      <w:r w:rsidRPr="004A3F04">
        <w:rPr>
          <w:rFonts w:ascii="Times New Roman" w:hAnsi="Times New Roman" w:cs="Times New Roman"/>
          <w:sz w:val="24"/>
          <w:szCs w:val="24"/>
        </w:rPr>
        <w:t>the shares of small farms increased from 77% to 90% in big city districts and from 52.6% to 6</w:t>
      </w:r>
      <w:r w:rsidR="00360248">
        <w:rPr>
          <w:rFonts w:ascii="Times New Roman" w:hAnsi="Times New Roman" w:cs="Times New Roman"/>
          <w:sz w:val="24"/>
          <w:szCs w:val="24"/>
        </w:rPr>
        <w:t>1.8</w:t>
      </w:r>
      <w:r w:rsidRPr="004A3F04">
        <w:rPr>
          <w:rFonts w:ascii="Times New Roman" w:hAnsi="Times New Roman" w:cs="Times New Roman"/>
          <w:sz w:val="24"/>
          <w:szCs w:val="24"/>
        </w:rPr>
        <w:t>% in 2</w:t>
      </w:r>
      <w:r w:rsidRPr="004A3F04">
        <w:rPr>
          <w:rFonts w:ascii="Times New Roman" w:hAnsi="Times New Roman" w:cs="Times New Roman"/>
          <w:sz w:val="24"/>
          <w:szCs w:val="24"/>
          <w:vertAlign w:val="superscript"/>
        </w:rPr>
        <w:t>nd</w:t>
      </w:r>
      <w:r w:rsidRPr="004A3F04">
        <w:rPr>
          <w:rFonts w:ascii="Times New Roman" w:hAnsi="Times New Roman" w:cs="Times New Roman"/>
          <w:sz w:val="24"/>
          <w:szCs w:val="24"/>
        </w:rPr>
        <w:t xml:space="preserve"> tier districts, while larger farms </w:t>
      </w:r>
      <w:r w:rsidR="00360248">
        <w:rPr>
          <w:rFonts w:ascii="Times New Roman" w:hAnsi="Times New Roman" w:cs="Times New Roman"/>
          <w:sz w:val="24"/>
          <w:szCs w:val="24"/>
        </w:rPr>
        <w:t xml:space="preserve">with more than 5ha cultivated land </w:t>
      </w:r>
      <w:r w:rsidRPr="004A3F04">
        <w:rPr>
          <w:rFonts w:ascii="Times New Roman" w:hAnsi="Times New Roman" w:cs="Times New Roman"/>
          <w:sz w:val="24"/>
          <w:szCs w:val="24"/>
        </w:rPr>
        <w:t xml:space="preserve">virtually disappeared in the big city districts. </w:t>
      </w:r>
      <w:r w:rsidR="00752CE9" w:rsidRPr="004A3F04">
        <w:rPr>
          <w:rFonts w:ascii="Times New Roman" w:hAnsi="Times New Roman" w:cs="Times New Roman"/>
          <w:sz w:val="24"/>
          <w:szCs w:val="24"/>
        </w:rPr>
        <w:t>Apparently,</w:t>
      </w:r>
      <w:r w:rsidRPr="004A3F04">
        <w:rPr>
          <w:rFonts w:ascii="Times New Roman" w:hAnsi="Times New Roman" w:cs="Times New Roman"/>
          <w:sz w:val="24"/>
          <w:szCs w:val="24"/>
        </w:rPr>
        <w:t xml:space="preserve"> </w:t>
      </w:r>
      <w:r w:rsidR="00782472" w:rsidRPr="004A3F04">
        <w:rPr>
          <w:rFonts w:ascii="Times New Roman" w:hAnsi="Times New Roman" w:cs="Times New Roman"/>
          <w:sz w:val="24"/>
          <w:szCs w:val="24"/>
        </w:rPr>
        <w:t xml:space="preserve">the trend is for </w:t>
      </w:r>
      <w:r w:rsidRPr="004A3F04">
        <w:rPr>
          <w:rFonts w:ascii="Times New Roman" w:hAnsi="Times New Roman" w:cs="Times New Roman"/>
          <w:sz w:val="24"/>
          <w:szCs w:val="24"/>
        </w:rPr>
        <w:t xml:space="preserve">farming in </w:t>
      </w:r>
      <w:r w:rsidR="00782472" w:rsidRPr="004A3F04">
        <w:rPr>
          <w:rFonts w:ascii="Times New Roman" w:hAnsi="Times New Roman" w:cs="Times New Roman"/>
          <w:sz w:val="24"/>
          <w:szCs w:val="24"/>
        </w:rPr>
        <w:t xml:space="preserve">the most </w:t>
      </w:r>
      <w:r w:rsidRPr="004A3F04">
        <w:rPr>
          <w:rFonts w:ascii="Times New Roman" w:hAnsi="Times New Roman" w:cs="Times New Roman"/>
          <w:sz w:val="24"/>
          <w:szCs w:val="24"/>
        </w:rPr>
        <w:t>urban</w:t>
      </w:r>
      <w:r w:rsidR="00782472" w:rsidRPr="004A3F04">
        <w:rPr>
          <w:rFonts w:ascii="Times New Roman" w:hAnsi="Times New Roman" w:cs="Times New Roman"/>
          <w:sz w:val="24"/>
          <w:szCs w:val="24"/>
        </w:rPr>
        <w:t>ized districts</w:t>
      </w:r>
      <w:r w:rsidRPr="004A3F04">
        <w:rPr>
          <w:rFonts w:ascii="Times New Roman" w:hAnsi="Times New Roman" w:cs="Times New Roman"/>
          <w:sz w:val="24"/>
          <w:szCs w:val="24"/>
        </w:rPr>
        <w:t xml:space="preserve"> </w:t>
      </w:r>
      <w:r w:rsidR="00782472" w:rsidRPr="004A3F04">
        <w:rPr>
          <w:rFonts w:ascii="Times New Roman" w:hAnsi="Times New Roman" w:cs="Times New Roman"/>
          <w:sz w:val="24"/>
          <w:szCs w:val="24"/>
        </w:rPr>
        <w:t>to be</w:t>
      </w:r>
      <w:r w:rsidRPr="004A3F04">
        <w:rPr>
          <w:rFonts w:ascii="Times New Roman" w:hAnsi="Times New Roman" w:cs="Times New Roman"/>
          <w:sz w:val="24"/>
          <w:szCs w:val="24"/>
        </w:rPr>
        <w:t xml:space="preserve"> undertaken by small-scale units.</w:t>
      </w:r>
      <w:r w:rsidR="00782472" w:rsidRPr="004A3F04">
        <w:rPr>
          <w:rFonts w:ascii="Times New Roman" w:hAnsi="Times New Roman" w:cs="Times New Roman"/>
          <w:sz w:val="24"/>
          <w:szCs w:val="24"/>
        </w:rPr>
        <w:t xml:space="preserve"> On the other hand, in the </w:t>
      </w:r>
      <w:r w:rsidR="00115D23" w:rsidRPr="004A3F04">
        <w:rPr>
          <w:rFonts w:ascii="Times New Roman" w:hAnsi="Times New Roman" w:cs="Times New Roman"/>
          <w:sz w:val="24"/>
          <w:szCs w:val="24"/>
        </w:rPr>
        <w:t xml:space="preserve">agriculturally important </w:t>
      </w:r>
      <w:r w:rsidR="008D08D9">
        <w:rPr>
          <w:rFonts w:ascii="Times New Roman" w:hAnsi="Times New Roman" w:cs="Times New Roman"/>
          <w:sz w:val="24"/>
          <w:szCs w:val="24"/>
        </w:rPr>
        <w:t>North</w:t>
      </w:r>
      <w:r w:rsidR="00FD7E50">
        <w:rPr>
          <w:rFonts w:ascii="Times New Roman" w:hAnsi="Times New Roman" w:cs="Times New Roman"/>
          <w:sz w:val="24"/>
          <w:szCs w:val="24"/>
        </w:rPr>
        <w:t>,</w:t>
      </w:r>
      <w:r w:rsidR="00782472" w:rsidRPr="004A3F04">
        <w:rPr>
          <w:rFonts w:ascii="Times New Roman" w:hAnsi="Times New Roman" w:cs="Times New Roman"/>
          <w:sz w:val="24"/>
          <w:szCs w:val="24"/>
        </w:rPr>
        <w:t xml:space="preserve"> there </w:t>
      </w:r>
      <w:r w:rsidR="00115D23" w:rsidRPr="004A3F04">
        <w:rPr>
          <w:rFonts w:ascii="Times New Roman" w:hAnsi="Times New Roman" w:cs="Times New Roman"/>
          <w:sz w:val="24"/>
          <w:szCs w:val="24"/>
        </w:rPr>
        <w:t xml:space="preserve">has been </w:t>
      </w:r>
      <w:r w:rsidR="00782472" w:rsidRPr="004A3F04">
        <w:rPr>
          <w:rFonts w:ascii="Times New Roman" w:hAnsi="Times New Roman" w:cs="Times New Roman"/>
          <w:sz w:val="24"/>
          <w:szCs w:val="24"/>
        </w:rPr>
        <w:t xml:space="preserve">a more pronounced trend towards </w:t>
      </w:r>
      <w:r w:rsidR="00677E74">
        <w:rPr>
          <w:rFonts w:ascii="Times New Roman" w:hAnsi="Times New Roman" w:cs="Times New Roman"/>
          <w:sz w:val="24"/>
          <w:szCs w:val="24"/>
        </w:rPr>
        <w:t xml:space="preserve">a </w:t>
      </w:r>
      <w:r w:rsidR="00C41C88">
        <w:rPr>
          <w:rFonts w:ascii="Times New Roman" w:hAnsi="Times New Roman" w:cs="Times New Roman"/>
          <w:sz w:val="24"/>
          <w:szCs w:val="24"/>
        </w:rPr>
        <w:t>larger</w:t>
      </w:r>
      <w:r w:rsidR="00712B73">
        <w:rPr>
          <w:rFonts w:ascii="Times New Roman" w:hAnsi="Times New Roman" w:cs="Times New Roman"/>
          <w:sz w:val="24"/>
          <w:szCs w:val="24"/>
        </w:rPr>
        <w:t xml:space="preserve"> </w:t>
      </w:r>
      <w:r w:rsidR="00677E74">
        <w:rPr>
          <w:rFonts w:ascii="Times New Roman" w:hAnsi="Times New Roman" w:cs="Times New Roman"/>
          <w:sz w:val="24"/>
          <w:szCs w:val="24"/>
        </w:rPr>
        <w:t xml:space="preserve">share of </w:t>
      </w:r>
      <w:r w:rsidR="00782472" w:rsidRPr="004A3F04">
        <w:rPr>
          <w:rFonts w:ascii="Times New Roman" w:hAnsi="Times New Roman" w:cs="Times New Roman"/>
          <w:sz w:val="24"/>
          <w:szCs w:val="24"/>
        </w:rPr>
        <w:t>m</w:t>
      </w:r>
      <w:r w:rsidR="00712B73">
        <w:rPr>
          <w:rFonts w:ascii="Times New Roman" w:hAnsi="Times New Roman" w:cs="Times New Roman"/>
          <w:sz w:val="24"/>
          <w:szCs w:val="24"/>
        </w:rPr>
        <w:t>edium</w:t>
      </w:r>
      <w:r w:rsidR="00782472" w:rsidRPr="004A3F04">
        <w:rPr>
          <w:rFonts w:ascii="Times New Roman" w:hAnsi="Times New Roman" w:cs="Times New Roman"/>
          <w:sz w:val="24"/>
          <w:szCs w:val="24"/>
        </w:rPr>
        <w:t>-sized farms.</w:t>
      </w:r>
    </w:p>
    <w:p w14:paraId="2AC92526" w14:textId="77777777" w:rsidR="00FD7E50" w:rsidRDefault="00FD7E50" w:rsidP="00EF7FD9">
      <w:pPr>
        <w:jc w:val="both"/>
        <w:rPr>
          <w:rFonts w:ascii="Times New Roman" w:hAnsi="Times New Roman" w:cs="Times New Roman"/>
        </w:rPr>
      </w:pPr>
    </w:p>
    <w:p w14:paraId="726066E7" w14:textId="19894ECB" w:rsidR="00FD17C4" w:rsidRPr="00FC1B5D" w:rsidRDefault="00FD17C4" w:rsidP="00EF7FD9">
      <w:pPr>
        <w:jc w:val="both"/>
        <w:rPr>
          <w:rFonts w:ascii="Times New Roman" w:hAnsi="Times New Roman" w:cs="Times New Roman"/>
        </w:rPr>
      </w:pPr>
      <w:r w:rsidRPr="00FC1B5D">
        <w:rPr>
          <w:rFonts w:ascii="Times New Roman" w:hAnsi="Times New Roman" w:cs="Times New Roman"/>
        </w:rPr>
        <w:t xml:space="preserve">Table </w:t>
      </w:r>
      <w:r w:rsidR="00D52F18">
        <w:rPr>
          <w:rFonts w:ascii="Times New Roman" w:hAnsi="Times New Roman" w:cs="Times New Roman"/>
        </w:rPr>
        <w:t>9</w:t>
      </w:r>
      <w:r w:rsidR="00443FCB" w:rsidRPr="00FC1B5D">
        <w:rPr>
          <w:rFonts w:ascii="Times New Roman" w:hAnsi="Times New Roman" w:cs="Times New Roman"/>
        </w:rPr>
        <w:t>.4</w:t>
      </w:r>
      <w:r w:rsidRPr="00FC1B5D">
        <w:rPr>
          <w:rFonts w:ascii="Times New Roman" w:hAnsi="Times New Roman" w:cs="Times New Roman"/>
        </w:rPr>
        <w:t>a: Share</w:t>
      </w:r>
      <w:r w:rsidR="00782472" w:rsidRPr="00FC1B5D">
        <w:rPr>
          <w:rFonts w:ascii="Times New Roman" w:hAnsi="Times New Roman" w:cs="Times New Roman"/>
        </w:rPr>
        <w:t>s</w:t>
      </w:r>
      <w:r w:rsidRPr="00FC1B5D">
        <w:rPr>
          <w:rFonts w:ascii="Times New Roman" w:hAnsi="Times New Roman" w:cs="Times New Roman"/>
        </w:rPr>
        <w:t xml:space="preserve"> of rural households by farm size </w:t>
      </w:r>
      <w:r w:rsidR="005C235E" w:rsidRPr="00FC1B5D">
        <w:rPr>
          <w:rFonts w:ascii="Times New Roman" w:hAnsi="Times New Roman" w:cs="Times New Roman"/>
        </w:rPr>
        <w:t xml:space="preserve">and </w:t>
      </w:r>
      <w:r w:rsidRPr="00FC1B5D">
        <w:rPr>
          <w:rFonts w:ascii="Times New Roman" w:hAnsi="Times New Roman" w:cs="Times New Roman"/>
        </w:rPr>
        <w:t>district group, 2005/06</w:t>
      </w:r>
    </w:p>
    <w:tbl>
      <w:tblPr>
        <w:tblW w:w="9117" w:type="dxa"/>
        <w:tblLayout w:type="fixed"/>
        <w:tblLook w:val="04A0" w:firstRow="1" w:lastRow="0" w:firstColumn="1" w:lastColumn="0" w:noHBand="0" w:noVBand="1"/>
      </w:tblPr>
      <w:tblGrid>
        <w:gridCol w:w="2376"/>
        <w:gridCol w:w="1341"/>
        <w:gridCol w:w="810"/>
        <w:gridCol w:w="865"/>
        <w:gridCol w:w="991"/>
        <w:gridCol w:w="1294"/>
        <w:gridCol w:w="1440"/>
      </w:tblGrid>
      <w:tr w:rsidR="00FD17C4" w:rsidRPr="00DD2AE2" w14:paraId="6BD3B409" w14:textId="77777777" w:rsidTr="0096274C">
        <w:trPr>
          <w:trHeight w:val="288"/>
        </w:trPr>
        <w:tc>
          <w:tcPr>
            <w:tcW w:w="2376" w:type="dxa"/>
            <w:vMerge w:val="restart"/>
            <w:tcBorders>
              <w:top w:val="single" w:sz="4" w:space="0" w:color="auto"/>
              <w:left w:val="nil"/>
              <w:right w:val="single" w:sz="4" w:space="0" w:color="auto"/>
            </w:tcBorders>
            <w:shd w:val="clear" w:color="auto" w:fill="auto"/>
            <w:noWrap/>
            <w:vAlign w:val="bottom"/>
            <w:hideMark/>
          </w:tcPr>
          <w:p w14:paraId="7758968A" w14:textId="12B2BE9F" w:rsidR="00FD17C4" w:rsidRPr="00B070DA" w:rsidRDefault="001E39AA" w:rsidP="00C84B71">
            <w:pPr>
              <w:rPr>
                <w:rFonts w:ascii="Times New Roman" w:eastAsia="Times New Roman" w:hAnsi="Times New Roman" w:cs="Times New Roman"/>
              </w:rPr>
            </w:pPr>
            <w:r>
              <w:rPr>
                <w:rFonts w:ascii="Times New Roman" w:eastAsia="Times New Roman" w:hAnsi="Times New Roman" w:cs="Times New Roman"/>
                <w:color w:val="000000"/>
              </w:rPr>
              <w:t>District Group</w:t>
            </w:r>
          </w:p>
        </w:tc>
        <w:tc>
          <w:tcPr>
            <w:tcW w:w="1341" w:type="dxa"/>
            <w:vMerge w:val="restart"/>
            <w:tcBorders>
              <w:top w:val="single" w:sz="4" w:space="0" w:color="auto"/>
              <w:left w:val="nil"/>
              <w:right w:val="single" w:sz="4" w:space="0" w:color="auto"/>
            </w:tcBorders>
            <w:shd w:val="clear" w:color="auto" w:fill="auto"/>
            <w:noWrap/>
            <w:vAlign w:val="bottom"/>
            <w:hideMark/>
          </w:tcPr>
          <w:p w14:paraId="1C941842" w14:textId="44AC8A20" w:rsidR="00FD17C4" w:rsidRPr="00B070DA" w:rsidRDefault="00FD17C4" w:rsidP="00C84B71">
            <w:pPr>
              <w:jc w:val="center"/>
              <w:rPr>
                <w:rFonts w:ascii="Times New Roman" w:eastAsia="Times New Roman" w:hAnsi="Times New Roman" w:cs="Times New Roman"/>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landless house-holds</w:t>
            </w:r>
          </w:p>
        </w:tc>
        <w:tc>
          <w:tcPr>
            <w:tcW w:w="39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353A5" w14:textId="66352F77" w:rsidR="00FD17C4" w:rsidRPr="00B070DA" w:rsidRDefault="00FD17C4"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 by </w:t>
            </w:r>
            <w:r>
              <w:rPr>
                <w:rFonts w:ascii="Times New Roman" w:eastAsia="Times New Roman" w:hAnsi="Times New Roman" w:cs="Times New Roman"/>
              </w:rPr>
              <w:t xml:space="preserve">farm </w:t>
            </w:r>
            <w:r w:rsidRPr="00B070DA">
              <w:rPr>
                <w:rFonts w:ascii="Times New Roman" w:eastAsia="Times New Roman" w:hAnsi="Times New Roman" w:cs="Times New Roman"/>
              </w:rPr>
              <w:t>size</w:t>
            </w:r>
          </w:p>
        </w:tc>
        <w:tc>
          <w:tcPr>
            <w:tcW w:w="1440" w:type="dxa"/>
            <w:vMerge w:val="restart"/>
            <w:tcBorders>
              <w:top w:val="single" w:sz="4" w:space="0" w:color="auto"/>
              <w:left w:val="nil"/>
              <w:right w:val="nil"/>
            </w:tcBorders>
            <w:shd w:val="clear" w:color="auto" w:fill="auto"/>
            <w:noWrap/>
            <w:vAlign w:val="bottom"/>
            <w:hideMark/>
          </w:tcPr>
          <w:p w14:paraId="34F9BCFB" w14:textId="4138BF5E" w:rsidR="00FD17C4" w:rsidRPr="00B070DA" w:rsidRDefault="00FD17C4"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w:t>
            </w:r>
          </w:p>
        </w:tc>
      </w:tr>
      <w:tr w:rsidR="00FD17C4" w:rsidRPr="00DD2AE2" w14:paraId="5F7173F0" w14:textId="77777777" w:rsidTr="0096274C">
        <w:trPr>
          <w:trHeight w:val="548"/>
        </w:trPr>
        <w:tc>
          <w:tcPr>
            <w:tcW w:w="2376" w:type="dxa"/>
            <w:vMerge/>
            <w:tcBorders>
              <w:left w:val="nil"/>
              <w:bottom w:val="single" w:sz="4" w:space="0" w:color="auto"/>
              <w:right w:val="single" w:sz="4" w:space="0" w:color="auto"/>
            </w:tcBorders>
            <w:shd w:val="clear" w:color="auto" w:fill="auto"/>
            <w:noWrap/>
            <w:vAlign w:val="bottom"/>
            <w:hideMark/>
          </w:tcPr>
          <w:p w14:paraId="33AEA8B8" w14:textId="77777777" w:rsidR="00FD17C4" w:rsidRPr="00B070DA" w:rsidRDefault="00FD17C4" w:rsidP="00C84B71">
            <w:pPr>
              <w:rPr>
                <w:rFonts w:ascii="Times New Roman" w:eastAsia="Times New Roman" w:hAnsi="Times New Roman" w:cs="Times New Roman"/>
                <w:color w:val="000000"/>
              </w:rPr>
            </w:pPr>
          </w:p>
        </w:tc>
        <w:tc>
          <w:tcPr>
            <w:tcW w:w="1341" w:type="dxa"/>
            <w:vMerge/>
            <w:tcBorders>
              <w:left w:val="nil"/>
              <w:bottom w:val="single" w:sz="4" w:space="0" w:color="auto"/>
              <w:right w:val="single" w:sz="4" w:space="0" w:color="auto"/>
            </w:tcBorders>
            <w:shd w:val="clear" w:color="auto" w:fill="auto"/>
            <w:vAlign w:val="bottom"/>
            <w:hideMark/>
          </w:tcPr>
          <w:p w14:paraId="4E8B609A" w14:textId="77777777" w:rsidR="00FD17C4" w:rsidRPr="00B070DA" w:rsidRDefault="00FD17C4" w:rsidP="00EF7FD9">
            <w:pPr>
              <w:jc w:val="both"/>
              <w:rPr>
                <w:rFonts w:ascii="Times New Roman" w:eastAsia="Times New Roman" w:hAnsi="Times New Roman" w:cs="Times New Roman"/>
              </w:rPr>
            </w:pPr>
          </w:p>
        </w:tc>
        <w:tc>
          <w:tcPr>
            <w:tcW w:w="810" w:type="dxa"/>
            <w:tcBorders>
              <w:top w:val="nil"/>
              <w:left w:val="single" w:sz="4" w:space="0" w:color="auto"/>
              <w:bottom w:val="single" w:sz="4" w:space="0" w:color="auto"/>
              <w:right w:val="nil"/>
            </w:tcBorders>
            <w:shd w:val="clear" w:color="auto" w:fill="auto"/>
            <w:noWrap/>
            <w:vAlign w:val="bottom"/>
            <w:hideMark/>
          </w:tcPr>
          <w:p w14:paraId="5405D1E8" w14:textId="1D275EB7"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&lt;2 ha</w:t>
            </w:r>
          </w:p>
        </w:tc>
        <w:tc>
          <w:tcPr>
            <w:tcW w:w="865" w:type="dxa"/>
            <w:tcBorders>
              <w:top w:val="nil"/>
              <w:left w:val="nil"/>
              <w:bottom w:val="single" w:sz="4" w:space="0" w:color="auto"/>
              <w:right w:val="nil"/>
            </w:tcBorders>
            <w:shd w:val="clear" w:color="auto" w:fill="auto"/>
            <w:noWrap/>
            <w:vAlign w:val="bottom"/>
            <w:hideMark/>
          </w:tcPr>
          <w:p w14:paraId="7E528293" w14:textId="0514E984"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2-5 ha</w:t>
            </w:r>
          </w:p>
        </w:tc>
        <w:tc>
          <w:tcPr>
            <w:tcW w:w="991" w:type="dxa"/>
            <w:tcBorders>
              <w:top w:val="nil"/>
              <w:left w:val="nil"/>
              <w:bottom w:val="single" w:sz="4" w:space="0" w:color="auto"/>
              <w:right w:val="nil"/>
            </w:tcBorders>
            <w:shd w:val="clear" w:color="auto" w:fill="auto"/>
            <w:noWrap/>
            <w:vAlign w:val="bottom"/>
            <w:hideMark/>
          </w:tcPr>
          <w:p w14:paraId="3E6844AD" w14:textId="0A152ABC"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5-20 ha</w:t>
            </w:r>
          </w:p>
        </w:tc>
        <w:tc>
          <w:tcPr>
            <w:tcW w:w="1294" w:type="dxa"/>
            <w:tcBorders>
              <w:top w:val="nil"/>
              <w:left w:val="nil"/>
              <w:bottom w:val="single" w:sz="4" w:space="0" w:color="auto"/>
              <w:right w:val="single" w:sz="4" w:space="0" w:color="auto"/>
            </w:tcBorders>
            <w:shd w:val="clear" w:color="auto" w:fill="auto"/>
            <w:noWrap/>
            <w:vAlign w:val="bottom"/>
            <w:hideMark/>
          </w:tcPr>
          <w:p w14:paraId="411F83AE" w14:textId="6BA65020"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&gt; 20 ha</w:t>
            </w:r>
          </w:p>
        </w:tc>
        <w:tc>
          <w:tcPr>
            <w:tcW w:w="1440" w:type="dxa"/>
            <w:vMerge/>
            <w:tcBorders>
              <w:left w:val="nil"/>
              <w:bottom w:val="single" w:sz="4" w:space="0" w:color="auto"/>
              <w:right w:val="nil"/>
            </w:tcBorders>
            <w:shd w:val="clear" w:color="auto" w:fill="auto"/>
            <w:vAlign w:val="bottom"/>
            <w:hideMark/>
          </w:tcPr>
          <w:p w14:paraId="710B7416" w14:textId="77777777" w:rsidR="00FD17C4" w:rsidRPr="00B070DA" w:rsidRDefault="00FD17C4" w:rsidP="00EF7FD9">
            <w:pPr>
              <w:jc w:val="both"/>
              <w:rPr>
                <w:rFonts w:ascii="Times New Roman" w:eastAsia="Times New Roman" w:hAnsi="Times New Roman" w:cs="Times New Roman"/>
              </w:rPr>
            </w:pPr>
          </w:p>
        </w:tc>
      </w:tr>
      <w:tr w:rsidR="00FD17C4" w:rsidRPr="00DD2AE2" w14:paraId="47A312AF"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1E79B972" w14:textId="26F76E47" w:rsidR="00FD17C4" w:rsidRPr="00B070DA" w:rsidRDefault="008D08D9" w:rsidP="008D08D9">
            <w:pPr>
              <w:rPr>
                <w:rFonts w:ascii="Times New Roman" w:eastAsia="Times New Roman" w:hAnsi="Times New Roman" w:cs="Times New Roman"/>
                <w:i/>
                <w:color w:val="000000"/>
              </w:rPr>
            </w:pPr>
            <w:r>
              <w:rPr>
                <w:rFonts w:ascii="Times New Roman" w:eastAsia="Times New Roman" w:hAnsi="Times New Roman" w:cs="Times New Roman"/>
                <w:i/>
                <w:color w:val="000000"/>
              </w:rPr>
              <w:t>North</w:t>
            </w:r>
          </w:p>
        </w:tc>
        <w:tc>
          <w:tcPr>
            <w:tcW w:w="1341" w:type="dxa"/>
            <w:tcBorders>
              <w:top w:val="nil"/>
              <w:left w:val="nil"/>
              <w:bottom w:val="nil"/>
              <w:right w:val="single" w:sz="4" w:space="0" w:color="auto"/>
            </w:tcBorders>
            <w:shd w:val="clear" w:color="auto" w:fill="auto"/>
            <w:noWrap/>
            <w:vAlign w:val="bottom"/>
            <w:hideMark/>
          </w:tcPr>
          <w:p w14:paraId="3ECC1C89" w14:textId="77777777" w:rsidR="00FD17C4" w:rsidRPr="00B070DA" w:rsidRDefault="00FD17C4" w:rsidP="00EF7FD9">
            <w:pPr>
              <w:jc w:val="both"/>
              <w:rPr>
                <w:rFonts w:ascii="Times New Roman" w:eastAsia="Times New Roman" w:hAnsi="Times New Roman" w:cs="Times New Roman"/>
                <w:color w:val="000000"/>
              </w:rPr>
            </w:pPr>
          </w:p>
        </w:tc>
        <w:tc>
          <w:tcPr>
            <w:tcW w:w="810" w:type="dxa"/>
            <w:tcBorders>
              <w:top w:val="nil"/>
              <w:left w:val="single" w:sz="4" w:space="0" w:color="auto"/>
              <w:bottom w:val="nil"/>
              <w:right w:val="nil"/>
            </w:tcBorders>
            <w:shd w:val="clear" w:color="auto" w:fill="auto"/>
            <w:noWrap/>
            <w:vAlign w:val="bottom"/>
            <w:hideMark/>
          </w:tcPr>
          <w:p w14:paraId="376F909B" w14:textId="77777777" w:rsidR="00FD17C4" w:rsidRPr="00B070DA" w:rsidRDefault="00FD17C4" w:rsidP="00EF7FD9">
            <w:pPr>
              <w:jc w:val="both"/>
              <w:rPr>
                <w:rFonts w:ascii="Times New Roman" w:eastAsia="Times New Roman" w:hAnsi="Times New Roman" w:cs="Times New Roman"/>
              </w:rPr>
            </w:pPr>
          </w:p>
        </w:tc>
        <w:tc>
          <w:tcPr>
            <w:tcW w:w="865" w:type="dxa"/>
            <w:tcBorders>
              <w:top w:val="nil"/>
              <w:left w:val="nil"/>
              <w:bottom w:val="nil"/>
              <w:right w:val="nil"/>
            </w:tcBorders>
            <w:shd w:val="clear" w:color="auto" w:fill="auto"/>
            <w:noWrap/>
            <w:vAlign w:val="bottom"/>
            <w:hideMark/>
          </w:tcPr>
          <w:p w14:paraId="4E0B662C" w14:textId="77777777" w:rsidR="00FD17C4" w:rsidRPr="00B070DA" w:rsidRDefault="00FD17C4" w:rsidP="00EF7FD9">
            <w:pPr>
              <w:jc w:val="both"/>
              <w:rPr>
                <w:rFonts w:ascii="Times New Roman" w:eastAsia="Times New Roman" w:hAnsi="Times New Roman" w:cs="Times New Roman"/>
              </w:rPr>
            </w:pPr>
          </w:p>
        </w:tc>
        <w:tc>
          <w:tcPr>
            <w:tcW w:w="991" w:type="dxa"/>
            <w:tcBorders>
              <w:top w:val="nil"/>
              <w:left w:val="nil"/>
              <w:bottom w:val="nil"/>
              <w:right w:val="nil"/>
            </w:tcBorders>
            <w:shd w:val="clear" w:color="auto" w:fill="auto"/>
            <w:noWrap/>
            <w:vAlign w:val="bottom"/>
            <w:hideMark/>
          </w:tcPr>
          <w:p w14:paraId="265B73FD" w14:textId="77777777" w:rsidR="00FD17C4" w:rsidRPr="00B070DA" w:rsidRDefault="00FD17C4" w:rsidP="00EF7FD9">
            <w:pPr>
              <w:jc w:val="both"/>
              <w:rPr>
                <w:rFonts w:ascii="Times New Roman" w:eastAsia="Times New Roman" w:hAnsi="Times New Roman" w:cs="Times New Roman"/>
              </w:rPr>
            </w:pPr>
          </w:p>
        </w:tc>
        <w:tc>
          <w:tcPr>
            <w:tcW w:w="1294" w:type="dxa"/>
            <w:tcBorders>
              <w:top w:val="nil"/>
              <w:left w:val="nil"/>
              <w:bottom w:val="nil"/>
              <w:right w:val="single" w:sz="4" w:space="0" w:color="auto"/>
            </w:tcBorders>
            <w:shd w:val="clear" w:color="auto" w:fill="auto"/>
            <w:noWrap/>
            <w:vAlign w:val="bottom"/>
            <w:hideMark/>
          </w:tcPr>
          <w:p w14:paraId="1D7D67C3" w14:textId="77777777" w:rsidR="00FD17C4" w:rsidRPr="00B070DA" w:rsidRDefault="00FD17C4" w:rsidP="00EF7FD9">
            <w:pPr>
              <w:jc w:val="both"/>
              <w:rPr>
                <w:rFonts w:ascii="Times New Roman" w:eastAsia="Times New Roman" w:hAnsi="Times New Roman" w:cs="Times New Roman"/>
                <w:color w:val="000000"/>
              </w:rPr>
            </w:pPr>
            <w:r w:rsidRPr="00B070DA">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F0255D1" w14:textId="77777777" w:rsidR="00FD17C4" w:rsidRPr="00B070DA" w:rsidRDefault="00FD17C4" w:rsidP="00EF7FD9">
            <w:pPr>
              <w:jc w:val="both"/>
              <w:rPr>
                <w:rFonts w:ascii="Times New Roman" w:eastAsia="Times New Roman" w:hAnsi="Times New Roman" w:cs="Times New Roman"/>
                <w:color w:val="000000"/>
              </w:rPr>
            </w:pPr>
          </w:p>
        </w:tc>
      </w:tr>
      <w:tr w:rsidR="00D476AC" w:rsidRPr="00DD2AE2" w14:paraId="55496F91" w14:textId="77777777" w:rsidTr="0096274C">
        <w:trPr>
          <w:trHeight w:val="252"/>
        </w:trPr>
        <w:tc>
          <w:tcPr>
            <w:tcW w:w="2376" w:type="dxa"/>
            <w:tcBorders>
              <w:top w:val="nil"/>
              <w:left w:val="nil"/>
              <w:bottom w:val="nil"/>
              <w:right w:val="single" w:sz="4" w:space="0" w:color="auto"/>
            </w:tcBorders>
            <w:shd w:val="clear" w:color="auto" w:fill="auto"/>
            <w:noWrap/>
            <w:vAlign w:val="bottom"/>
            <w:hideMark/>
          </w:tcPr>
          <w:p w14:paraId="5610A2CF"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5742B3DE" w14:textId="0F50F50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27.0</w:t>
            </w:r>
          </w:p>
        </w:tc>
        <w:tc>
          <w:tcPr>
            <w:tcW w:w="810" w:type="dxa"/>
            <w:tcBorders>
              <w:top w:val="nil"/>
              <w:left w:val="single" w:sz="4" w:space="0" w:color="auto"/>
              <w:bottom w:val="nil"/>
              <w:right w:val="nil"/>
            </w:tcBorders>
            <w:shd w:val="clear" w:color="auto" w:fill="auto"/>
            <w:noWrap/>
            <w:vAlign w:val="center"/>
            <w:hideMark/>
          </w:tcPr>
          <w:p w14:paraId="34FB2F3B" w14:textId="2A35A084"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55.5</w:t>
            </w:r>
          </w:p>
        </w:tc>
        <w:tc>
          <w:tcPr>
            <w:tcW w:w="865" w:type="dxa"/>
            <w:tcBorders>
              <w:top w:val="nil"/>
              <w:left w:val="nil"/>
              <w:bottom w:val="nil"/>
              <w:right w:val="nil"/>
            </w:tcBorders>
            <w:shd w:val="clear" w:color="auto" w:fill="auto"/>
            <w:noWrap/>
            <w:vAlign w:val="center"/>
            <w:hideMark/>
          </w:tcPr>
          <w:p w14:paraId="234FAD46" w14:textId="665BA17F" w:rsidR="00D476AC" w:rsidRPr="0096274C" w:rsidRDefault="00D476AC" w:rsidP="00C84B71">
            <w:pPr>
              <w:jc w:val="center"/>
              <w:rPr>
                <w:rFonts w:ascii="Times New Roman" w:hAnsi="Times New Roman" w:cs="Times New Roman"/>
                <w:color w:val="000000"/>
              </w:rPr>
            </w:pPr>
            <w:r w:rsidRPr="0096274C">
              <w:rPr>
                <w:rFonts w:ascii="Times New Roman" w:hAnsi="Times New Roman" w:cs="Times New Roman"/>
                <w:color w:val="000000"/>
              </w:rPr>
              <w:t>39.0</w:t>
            </w:r>
          </w:p>
        </w:tc>
        <w:tc>
          <w:tcPr>
            <w:tcW w:w="991" w:type="dxa"/>
            <w:tcBorders>
              <w:top w:val="nil"/>
              <w:left w:val="nil"/>
              <w:bottom w:val="nil"/>
              <w:right w:val="nil"/>
            </w:tcBorders>
            <w:shd w:val="clear" w:color="auto" w:fill="auto"/>
            <w:noWrap/>
            <w:vAlign w:val="center"/>
            <w:hideMark/>
          </w:tcPr>
          <w:p w14:paraId="42B70ACE" w14:textId="56DB4D6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5.6</w:t>
            </w:r>
          </w:p>
        </w:tc>
        <w:tc>
          <w:tcPr>
            <w:tcW w:w="1294" w:type="dxa"/>
            <w:tcBorders>
              <w:top w:val="nil"/>
              <w:left w:val="nil"/>
              <w:bottom w:val="nil"/>
              <w:right w:val="single" w:sz="4" w:space="0" w:color="auto"/>
            </w:tcBorders>
            <w:shd w:val="clear" w:color="auto" w:fill="auto"/>
            <w:noWrap/>
            <w:vAlign w:val="center"/>
            <w:hideMark/>
          </w:tcPr>
          <w:p w14:paraId="03265968" w14:textId="1A4B9A6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440" w:type="dxa"/>
            <w:tcBorders>
              <w:top w:val="nil"/>
              <w:left w:val="nil"/>
              <w:bottom w:val="nil"/>
              <w:right w:val="nil"/>
            </w:tcBorders>
            <w:shd w:val="clear" w:color="auto" w:fill="auto"/>
            <w:noWrap/>
            <w:vAlign w:val="center"/>
            <w:hideMark/>
          </w:tcPr>
          <w:p w14:paraId="714092B7" w14:textId="72C5627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73.0</w:t>
            </w:r>
          </w:p>
        </w:tc>
      </w:tr>
      <w:tr w:rsidR="00D476AC" w:rsidRPr="00DD2AE2" w14:paraId="56685BD1"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7D49EC9B"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1806FBD5" w14:textId="296F0A4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7.9</w:t>
            </w:r>
          </w:p>
        </w:tc>
        <w:tc>
          <w:tcPr>
            <w:tcW w:w="810" w:type="dxa"/>
            <w:tcBorders>
              <w:top w:val="nil"/>
              <w:left w:val="single" w:sz="4" w:space="0" w:color="auto"/>
              <w:bottom w:val="nil"/>
              <w:right w:val="nil"/>
            </w:tcBorders>
            <w:shd w:val="clear" w:color="auto" w:fill="auto"/>
            <w:noWrap/>
            <w:vAlign w:val="center"/>
            <w:hideMark/>
          </w:tcPr>
          <w:p w14:paraId="5EF7E83A" w14:textId="0D950858"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49.6</w:t>
            </w:r>
          </w:p>
        </w:tc>
        <w:tc>
          <w:tcPr>
            <w:tcW w:w="865" w:type="dxa"/>
            <w:tcBorders>
              <w:top w:val="nil"/>
              <w:left w:val="nil"/>
              <w:bottom w:val="nil"/>
              <w:right w:val="nil"/>
            </w:tcBorders>
            <w:shd w:val="clear" w:color="auto" w:fill="auto"/>
            <w:noWrap/>
            <w:vAlign w:val="center"/>
            <w:hideMark/>
          </w:tcPr>
          <w:p w14:paraId="6794EEB5" w14:textId="7716A41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28.9</w:t>
            </w:r>
          </w:p>
        </w:tc>
        <w:tc>
          <w:tcPr>
            <w:tcW w:w="991" w:type="dxa"/>
            <w:tcBorders>
              <w:top w:val="nil"/>
              <w:left w:val="nil"/>
              <w:bottom w:val="nil"/>
              <w:right w:val="nil"/>
            </w:tcBorders>
            <w:shd w:val="clear" w:color="auto" w:fill="auto"/>
            <w:noWrap/>
            <w:vAlign w:val="center"/>
            <w:hideMark/>
          </w:tcPr>
          <w:p w14:paraId="57967656" w14:textId="569FAA2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17.8</w:t>
            </w:r>
          </w:p>
        </w:tc>
        <w:tc>
          <w:tcPr>
            <w:tcW w:w="1294" w:type="dxa"/>
            <w:tcBorders>
              <w:top w:val="nil"/>
              <w:left w:val="nil"/>
              <w:bottom w:val="nil"/>
              <w:right w:val="single" w:sz="4" w:space="0" w:color="auto"/>
            </w:tcBorders>
            <w:shd w:val="clear" w:color="auto" w:fill="auto"/>
            <w:noWrap/>
            <w:vAlign w:val="center"/>
            <w:hideMark/>
          </w:tcPr>
          <w:p w14:paraId="4246A040" w14:textId="73F3C1E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3.8</w:t>
            </w:r>
          </w:p>
        </w:tc>
        <w:tc>
          <w:tcPr>
            <w:tcW w:w="1440" w:type="dxa"/>
            <w:tcBorders>
              <w:top w:val="nil"/>
              <w:left w:val="nil"/>
              <w:bottom w:val="nil"/>
              <w:right w:val="nil"/>
            </w:tcBorders>
            <w:shd w:val="clear" w:color="auto" w:fill="auto"/>
            <w:noWrap/>
            <w:vAlign w:val="center"/>
            <w:hideMark/>
          </w:tcPr>
          <w:p w14:paraId="2A7E9D61" w14:textId="39D4B289"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92.1</w:t>
            </w:r>
          </w:p>
        </w:tc>
      </w:tr>
      <w:tr w:rsidR="00D476AC" w:rsidRPr="00DD2AE2" w14:paraId="27633CC4"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7C9748FF"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52D86A4D" w14:textId="25BB6C6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8.1</w:t>
            </w:r>
          </w:p>
        </w:tc>
        <w:tc>
          <w:tcPr>
            <w:tcW w:w="810" w:type="dxa"/>
            <w:tcBorders>
              <w:top w:val="nil"/>
              <w:left w:val="single" w:sz="4" w:space="0" w:color="auto"/>
              <w:bottom w:val="nil"/>
              <w:right w:val="nil"/>
            </w:tcBorders>
            <w:shd w:val="clear" w:color="auto" w:fill="auto"/>
            <w:noWrap/>
            <w:vAlign w:val="center"/>
            <w:hideMark/>
          </w:tcPr>
          <w:p w14:paraId="5372FBFD" w14:textId="0E9FDB46"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40.7</w:t>
            </w:r>
          </w:p>
        </w:tc>
        <w:tc>
          <w:tcPr>
            <w:tcW w:w="865" w:type="dxa"/>
            <w:tcBorders>
              <w:top w:val="nil"/>
              <w:left w:val="nil"/>
              <w:bottom w:val="nil"/>
              <w:right w:val="nil"/>
            </w:tcBorders>
            <w:shd w:val="clear" w:color="auto" w:fill="auto"/>
            <w:noWrap/>
            <w:vAlign w:val="center"/>
            <w:hideMark/>
          </w:tcPr>
          <w:p w14:paraId="7D3A07F3" w14:textId="47E2A4F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42.0</w:t>
            </w:r>
          </w:p>
        </w:tc>
        <w:tc>
          <w:tcPr>
            <w:tcW w:w="991" w:type="dxa"/>
            <w:tcBorders>
              <w:top w:val="nil"/>
              <w:left w:val="nil"/>
              <w:bottom w:val="nil"/>
              <w:right w:val="nil"/>
            </w:tcBorders>
            <w:shd w:val="clear" w:color="auto" w:fill="auto"/>
            <w:noWrap/>
            <w:vAlign w:val="center"/>
            <w:hideMark/>
          </w:tcPr>
          <w:p w14:paraId="364FFCD3" w14:textId="19F4184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14.3</w:t>
            </w:r>
          </w:p>
        </w:tc>
        <w:tc>
          <w:tcPr>
            <w:tcW w:w="1294" w:type="dxa"/>
            <w:tcBorders>
              <w:top w:val="nil"/>
              <w:left w:val="nil"/>
              <w:bottom w:val="nil"/>
              <w:right w:val="single" w:sz="4" w:space="0" w:color="auto"/>
            </w:tcBorders>
            <w:shd w:val="clear" w:color="auto" w:fill="auto"/>
            <w:noWrap/>
            <w:vAlign w:val="center"/>
            <w:hideMark/>
          </w:tcPr>
          <w:p w14:paraId="35A2F4C2" w14:textId="68D4B07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w:t>
            </w:r>
          </w:p>
        </w:tc>
        <w:tc>
          <w:tcPr>
            <w:tcW w:w="1440" w:type="dxa"/>
            <w:tcBorders>
              <w:top w:val="nil"/>
              <w:left w:val="nil"/>
              <w:bottom w:val="nil"/>
              <w:right w:val="nil"/>
            </w:tcBorders>
            <w:shd w:val="clear" w:color="auto" w:fill="auto"/>
            <w:noWrap/>
            <w:vAlign w:val="center"/>
            <w:hideMark/>
          </w:tcPr>
          <w:p w14:paraId="4794829B" w14:textId="488DB19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91.9</w:t>
            </w:r>
          </w:p>
        </w:tc>
      </w:tr>
      <w:tr w:rsidR="00D476AC" w:rsidRPr="00DD2AE2" w14:paraId="2E74B93A"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251EF77B" w14:textId="05014181" w:rsidR="00D476AC" w:rsidRPr="00B070DA" w:rsidRDefault="00D476AC"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North</w:t>
            </w:r>
          </w:p>
        </w:tc>
        <w:tc>
          <w:tcPr>
            <w:tcW w:w="1341" w:type="dxa"/>
            <w:tcBorders>
              <w:top w:val="nil"/>
              <w:left w:val="nil"/>
              <w:bottom w:val="single" w:sz="4" w:space="0" w:color="auto"/>
              <w:right w:val="single" w:sz="4" w:space="0" w:color="auto"/>
            </w:tcBorders>
            <w:shd w:val="clear" w:color="auto" w:fill="auto"/>
            <w:noWrap/>
            <w:vAlign w:val="center"/>
            <w:hideMark/>
          </w:tcPr>
          <w:p w14:paraId="30090014" w14:textId="5B0B80B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9.0</w:t>
            </w:r>
          </w:p>
        </w:tc>
        <w:tc>
          <w:tcPr>
            <w:tcW w:w="810" w:type="dxa"/>
            <w:tcBorders>
              <w:top w:val="nil"/>
              <w:left w:val="single" w:sz="4" w:space="0" w:color="auto"/>
              <w:bottom w:val="single" w:sz="4" w:space="0" w:color="auto"/>
              <w:right w:val="nil"/>
            </w:tcBorders>
            <w:shd w:val="clear" w:color="auto" w:fill="auto"/>
            <w:noWrap/>
            <w:vAlign w:val="center"/>
            <w:hideMark/>
          </w:tcPr>
          <w:p w14:paraId="6454C34C" w14:textId="6356E37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43.9</w:t>
            </w:r>
          </w:p>
        </w:tc>
        <w:tc>
          <w:tcPr>
            <w:tcW w:w="865" w:type="dxa"/>
            <w:tcBorders>
              <w:top w:val="nil"/>
              <w:left w:val="nil"/>
              <w:bottom w:val="single" w:sz="4" w:space="0" w:color="auto"/>
              <w:right w:val="nil"/>
            </w:tcBorders>
            <w:shd w:val="clear" w:color="auto" w:fill="auto"/>
            <w:noWrap/>
            <w:vAlign w:val="center"/>
            <w:hideMark/>
          </w:tcPr>
          <w:p w14:paraId="22D5381E" w14:textId="33A0191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38.0</w:t>
            </w:r>
          </w:p>
        </w:tc>
        <w:tc>
          <w:tcPr>
            <w:tcW w:w="991" w:type="dxa"/>
            <w:tcBorders>
              <w:top w:val="nil"/>
              <w:left w:val="nil"/>
              <w:bottom w:val="single" w:sz="4" w:space="0" w:color="auto"/>
              <w:right w:val="nil"/>
            </w:tcBorders>
            <w:shd w:val="clear" w:color="auto" w:fill="auto"/>
            <w:noWrap/>
            <w:vAlign w:val="center"/>
            <w:hideMark/>
          </w:tcPr>
          <w:p w14:paraId="68D693E3" w14:textId="6AA8240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16.2</w:t>
            </w:r>
          </w:p>
        </w:tc>
        <w:tc>
          <w:tcPr>
            <w:tcW w:w="1294" w:type="dxa"/>
            <w:tcBorders>
              <w:top w:val="nil"/>
              <w:left w:val="nil"/>
              <w:bottom w:val="single" w:sz="4" w:space="0" w:color="auto"/>
              <w:right w:val="single" w:sz="4" w:space="0" w:color="auto"/>
            </w:tcBorders>
            <w:shd w:val="clear" w:color="auto" w:fill="auto"/>
            <w:noWrap/>
            <w:vAlign w:val="center"/>
            <w:hideMark/>
          </w:tcPr>
          <w:p w14:paraId="0AF46620" w14:textId="4F70D21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3.2</w:t>
            </w:r>
          </w:p>
        </w:tc>
        <w:tc>
          <w:tcPr>
            <w:tcW w:w="1440" w:type="dxa"/>
            <w:tcBorders>
              <w:top w:val="nil"/>
              <w:left w:val="nil"/>
              <w:bottom w:val="single" w:sz="4" w:space="0" w:color="auto"/>
              <w:right w:val="nil"/>
            </w:tcBorders>
            <w:shd w:val="clear" w:color="auto" w:fill="auto"/>
            <w:noWrap/>
            <w:vAlign w:val="center"/>
            <w:hideMark/>
          </w:tcPr>
          <w:p w14:paraId="5CFE9A5D" w14:textId="5BF4208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91.0</w:t>
            </w:r>
          </w:p>
        </w:tc>
      </w:tr>
      <w:tr w:rsidR="00FD17C4" w:rsidRPr="00DD2AE2" w14:paraId="0F53DE4E"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4EF2BEEF" w14:textId="7D4E69D0" w:rsidR="00FD17C4" w:rsidRPr="00B070DA" w:rsidRDefault="008D08D9" w:rsidP="008D08D9">
            <w:pPr>
              <w:rPr>
                <w:rFonts w:ascii="Times New Roman" w:eastAsia="Times New Roman" w:hAnsi="Times New Roman" w:cs="Times New Roman"/>
                <w:i/>
                <w:color w:val="000000"/>
              </w:rPr>
            </w:pPr>
            <w:r>
              <w:rPr>
                <w:rFonts w:ascii="Times New Roman" w:eastAsia="Times New Roman" w:hAnsi="Times New Roman" w:cs="Times New Roman"/>
                <w:i/>
                <w:color w:val="000000"/>
              </w:rPr>
              <w:t>South</w:t>
            </w:r>
          </w:p>
        </w:tc>
        <w:tc>
          <w:tcPr>
            <w:tcW w:w="1341" w:type="dxa"/>
            <w:tcBorders>
              <w:top w:val="nil"/>
              <w:left w:val="nil"/>
              <w:bottom w:val="nil"/>
              <w:right w:val="single" w:sz="4" w:space="0" w:color="auto"/>
            </w:tcBorders>
            <w:shd w:val="clear" w:color="auto" w:fill="auto"/>
            <w:noWrap/>
            <w:vAlign w:val="bottom"/>
            <w:hideMark/>
          </w:tcPr>
          <w:p w14:paraId="5193C0FF" w14:textId="77777777" w:rsidR="00FD17C4" w:rsidRPr="0096274C" w:rsidRDefault="00FD17C4" w:rsidP="00C84B71">
            <w:pPr>
              <w:jc w:val="center"/>
              <w:rPr>
                <w:rFonts w:ascii="Times New Roman" w:eastAsia="Times New Roman" w:hAnsi="Times New Roman" w:cs="Times New Roman"/>
                <w:color w:val="000000"/>
              </w:rPr>
            </w:pPr>
          </w:p>
        </w:tc>
        <w:tc>
          <w:tcPr>
            <w:tcW w:w="810" w:type="dxa"/>
            <w:tcBorders>
              <w:top w:val="nil"/>
              <w:left w:val="single" w:sz="4" w:space="0" w:color="auto"/>
              <w:bottom w:val="nil"/>
              <w:right w:val="nil"/>
            </w:tcBorders>
            <w:shd w:val="clear" w:color="auto" w:fill="auto"/>
            <w:noWrap/>
            <w:vAlign w:val="bottom"/>
            <w:hideMark/>
          </w:tcPr>
          <w:p w14:paraId="2C5FDF3D" w14:textId="77777777" w:rsidR="00FD17C4" w:rsidRPr="0096274C" w:rsidRDefault="00FD17C4" w:rsidP="00C84B71">
            <w:pPr>
              <w:jc w:val="center"/>
              <w:rPr>
                <w:rFonts w:ascii="Times New Roman" w:eastAsia="Times New Roman" w:hAnsi="Times New Roman" w:cs="Times New Roman"/>
              </w:rPr>
            </w:pPr>
          </w:p>
        </w:tc>
        <w:tc>
          <w:tcPr>
            <w:tcW w:w="865" w:type="dxa"/>
            <w:tcBorders>
              <w:top w:val="nil"/>
              <w:left w:val="nil"/>
              <w:bottom w:val="nil"/>
              <w:right w:val="nil"/>
            </w:tcBorders>
            <w:shd w:val="clear" w:color="auto" w:fill="auto"/>
            <w:noWrap/>
            <w:vAlign w:val="bottom"/>
            <w:hideMark/>
          </w:tcPr>
          <w:p w14:paraId="7503F083" w14:textId="77777777" w:rsidR="00FD17C4" w:rsidRPr="0096274C" w:rsidRDefault="00FD17C4" w:rsidP="00C84B71">
            <w:pPr>
              <w:jc w:val="center"/>
              <w:rPr>
                <w:rFonts w:ascii="Times New Roman" w:eastAsia="Times New Roman" w:hAnsi="Times New Roman" w:cs="Times New Roman"/>
              </w:rPr>
            </w:pPr>
          </w:p>
        </w:tc>
        <w:tc>
          <w:tcPr>
            <w:tcW w:w="991" w:type="dxa"/>
            <w:tcBorders>
              <w:top w:val="nil"/>
              <w:left w:val="nil"/>
              <w:bottom w:val="nil"/>
              <w:right w:val="nil"/>
            </w:tcBorders>
            <w:shd w:val="clear" w:color="auto" w:fill="auto"/>
            <w:noWrap/>
            <w:vAlign w:val="bottom"/>
            <w:hideMark/>
          </w:tcPr>
          <w:p w14:paraId="332ECB20" w14:textId="77777777" w:rsidR="00FD17C4" w:rsidRPr="0096274C" w:rsidRDefault="00FD17C4" w:rsidP="00C84B71">
            <w:pPr>
              <w:jc w:val="center"/>
              <w:rPr>
                <w:rFonts w:ascii="Times New Roman" w:eastAsia="Times New Roman" w:hAnsi="Times New Roman" w:cs="Times New Roman"/>
              </w:rPr>
            </w:pPr>
          </w:p>
        </w:tc>
        <w:tc>
          <w:tcPr>
            <w:tcW w:w="1294" w:type="dxa"/>
            <w:tcBorders>
              <w:top w:val="nil"/>
              <w:left w:val="nil"/>
              <w:bottom w:val="nil"/>
              <w:right w:val="single" w:sz="4" w:space="0" w:color="auto"/>
            </w:tcBorders>
            <w:shd w:val="clear" w:color="auto" w:fill="auto"/>
            <w:noWrap/>
            <w:vAlign w:val="bottom"/>
            <w:hideMark/>
          </w:tcPr>
          <w:p w14:paraId="25335614" w14:textId="3F90D421" w:rsidR="00FD17C4" w:rsidRPr="0096274C" w:rsidRDefault="00FD17C4" w:rsidP="00C84B71">
            <w:pPr>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3D7A13BC" w14:textId="77777777" w:rsidR="00FD17C4" w:rsidRPr="0096274C" w:rsidRDefault="00FD17C4" w:rsidP="00C84B71">
            <w:pPr>
              <w:jc w:val="center"/>
              <w:rPr>
                <w:rFonts w:ascii="Times New Roman" w:eastAsia="Times New Roman" w:hAnsi="Times New Roman" w:cs="Times New Roman"/>
                <w:color w:val="000000"/>
              </w:rPr>
            </w:pPr>
          </w:p>
        </w:tc>
      </w:tr>
      <w:tr w:rsidR="00D476AC" w:rsidRPr="00DD2AE2" w14:paraId="3839B377"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1F8402FF"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Big city districts</w:t>
            </w:r>
          </w:p>
        </w:tc>
        <w:tc>
          <w:tcPr>
            <w:tcW w:w="1341" w:type="dxa"/>
            <w:tcBorders>
              <w:top w:val="nil"/>
              <w:left w:val="nil"/>
              <w:bottom w:val="nil"/>
              <w:right w:val="single" w:sz="4" w:space="0" w:color="auto"/>
            </w:tcBorders>
            <w:shd w:val="clear" w:color="auto" w:fill="auto"/>
            <w:noWrap/>
            <w:vAlign w:val="center"/>
            <w:hideMark/>
          </w:tcPr>
          <w:p w14:paraId="2673AE01" w14:textId="134DE8B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57.9</w:t>
            </w:r>
          </w:p>
        </w:tc>
        <w:tc>
          <w:tcPr>
            <w:tcW w:w="810" w:type="dxa"/>
            <w:tcBorders>
              <w:top w:val="nil"/>
              <w:left w:val="single" w:sz="4" w:space="0" w:color="auto"/>
              <w:bottom w:val="nil"/>
              <w:right w:val="nil"/>
            </w:tcBorders>
            <w:shd w:val="clear" w:color="auto" w:fill="auto"/>
            <w:noWrap/>
            <w:vAlign w:val="center"/>
            <w:hideMark/>
          </w:tcPr>
          <w:p w14:paraId="3EE72D23" w14:textId="477DBA14"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77.2</w:t>
            </w:r>
          </w:p>
        </w:tc>
        <w:tc>
          <w:tcPr>
            <w:tcW w:w="865" w:type="dxa"/>
            <w:tcBorders>
              <w:top w:val="nil"/>
              <w:left w:val="nil"/>
              <w:bottom w:val="nil"/>
              <w:right w:val="nil"/>
            </w:tcBorders>
            <w:shd w:val="clear" w:color="auto" w:fill="auto"/>
            <w:noWrap/>
            <w:vAlign w:val="center"/>
            <w:hideMark/>
          </w:tcPr>
          <w:p w14:paraId="45BB6A36" w14:textId="022352B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16.2</w:t>
            </w:r>
          </w:p>
        </w:tc>
        <w:tc>
          <w:tcPr>
            <w:tcW w:w="991" w:type="dxa"/>
            <w:tcBorders>
              <w:top w:val="nil"/>
              <w:left w:val="nil"/>
              <w:bottom w:val="nil"/>
              <w:right w:val="nil"/>
            </w:tcBorders>
            <w:shd w:val="clear" w:color="auto" w:fill="auto"/>
            <w:noWrap/>
            <w:vAlign w:val="center"/>
            <w:hideMark/>
          </w:tcPr>
          <w:p w14:paraId="41E672EF" w14:textId="708F884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w:t>
            </w:r>
          </w:p>
        </w:tc>
        <w:tc>
          <w:tcPr>
            <w:tcW w:w="1294" w:type="dxa"/>
            <w:tcBorders>
              <w:top w:val="nil"/>
              <w:left w:val="nil"/>
              <w:bottom w:val="nil"/>
              <w:right w:val="single" w:sz="4" w:space="0" w:color="auto"/>
            </w:tcBorders>
            <w:shd w:val="clear" w:color="auto" w:fill="auto"/>
            <w:noWrap/>
            <w:vAlign w:val="center"/>
            <w:hideMark/>
          </w:tcPr>
          <w:p w14:paraId="40D40215" w14:textId="1CF6758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w:t>
            </w:r>
          </w:p>
        </w:tc>
        <w:tc>
          <w:tcPr>
            <w:tcW w:w="1440" w:type="dxa"/>
            <w:tcBorders>
              <w:top w:val="nil"/>
              <w:left w:val="nil"/>
              <w:bottom w:val="nil"/>
              <w:right w:val="nil"/>
            </w:tcBorders>
            <w:shd w:val="clear" w:color="auto" w:fill="auto"/>
            <w:noWrap/>
            <w:vAlign w:val="center"/>
            <w:hideMark/>
          </w:tcPr>
          <w:p w14:paraId="2060AF81" w14:textId="6E471EE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42.1</w:t>
            </w:r>
          </w:p>
        </w:tc>
      </w:tr>
      <w:tr w:rsidR="00D476AC" w:rsidRPr="00DD2AE2" w14:paraId="1471C8EA"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18A6C0A3"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5038EFFA" w14:textId="5B82321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29.4</w:t>
            </w:r>
          </w:p>
        </w:tc>
        <w:tc>
          <w:tcPr>
            <w:tcW w:w="810" w:type="dxa"/>
            <w:tcBorders>
              <w:top w:val="nil"/>
              <w:left w:val="single" w:sz="4" w:space="0" w:color="auto"/>
              <w:bottom w:val="nil"/>
              <w:right w:val="nil"/>
            </w:tcBorders>
            <w:shd w:val="clear" w:color="auto" w:fill="auto"/>
            <w:noWrap/>
            <w:vAlign w:val="center"/>
            <w:hideMark/>
          </w:tcPr>
          <w:p w14:paraId="335B1D97" w14:textId="3661DC63"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52.6</w:t>
            </w:r>
          </w:p>
        </w:tc>
        <w:tc>
          <w:tcPr>
            <w:tcW w:w="865" w:type="dxa"/>
            <w:tcBorders>
              <w:top w:val="nil"/>
              <w:left w:val="nil"/>
              <w:bottom w:val="nil"/>
              <w:right w:val="nil"/>
            </w:tcBorders>
            <w:shd w:val="clear" w:color="auto" w:fill="auto"/>
            <w:noWrap/>
            <w:vAlign w:val="center"/>
            <w:hideMark/>
          </w:tcPr>
          <w:p w14:paraId="498B068B" w14:textId="2331852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34.6</w:t>
            </w:r>
          </w:p>
        </w:tc>
        <w:tc>
          <w:tcPr>
            <w:tcW w:w="991" w:type="dxa"/>
            <w:tcBorders>
              <w:top w:val="nil"/>
              <w:left w:val="nil"/>
              <w:bottom w:val="nil"/>
              <w:right w:val="nil"/>
            </w:tcBorders>
            <w:shd w:val="clear" w:color="auto" w:fill="auto"/>
            <w:noWrap/>
            <w:vAlign w:val="center"/>
            <w:hideMark/>
          </w:tcPr>
          <w:p w14:paraId="7586D06B" w14:textId="13840B9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12.7</w:t>
            </w:r>
          </w:p>
        </w:tc>
        <w:tc>
          <w:tcPr>
            <w:tcW w:w="1294" w:type="dxa"/>
            <w:tcBorders>
              <w:top w:val="nil"/>
              <w:left w:val="nil"/>
              <w:bottom w:val="nil"/>
              <w:right w:val="single" w:sz="4" w:space="0" w:color="auto"/>
            </w:tcBorders>
            <w:shd w:val="clear" w:color="auto" w:fill="auto"/>
            <w:noWrap/>
            <w:vAlign w:val="center"/>
            <w:hideMark/>
          </w:tcPr>
          <w:p w14:paraId="4FF6957A" w14:textId="692D6CF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440" w:type="dxa"/>
            <w:tcBorders>
              <w:top w:val="nil"/>
              <w:left w:val="nil"/>
              <w:bottom w:val="nil"/>
              <w:right w:val="nil"/>
            </w:tcBorders>
            <w:shd w:val="clear" w:color="auto" w:fill="auto"/>
            <w:noWrap/>
            <w:vAlign w:val="center"/>
            <w:hideMark/>
          </w:tcPr>
          <w:p w14:paraId="41D145DB" w14:textId="71CFF6A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70.6</w:t>
            </w:r>
          </w:p>
        </w:tc>
      </w:tr>
      <w:tr w:rsidR="00D476AC" w:rsidRPr="00DD2AE2" w14:paraId="7E9838CE"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6C357120"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5941DAB3" w14:textId="307D49E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22.6</w:t>
            </w:r>
          </w:p>
        </w:tc>
        <w:tc>
          <w:tcPr>
            <w:tcW w:w="810" w:type="dxa"/>
            <w:tcBorders>
              <w:top w:val="nil"/>
              <w:left w:val="single" w:sz="4" w:space="0" w:color="auto"/>
              <w:bottom w:val="nil"/>
              <w:right w:val="nil"/>
            </w:tcBorders>
            <w:shd w:val="clear" w:color="auto" w:fill="auto"/>
            <w:noWrap/>
            <w:vAlign w:val="center"/>
            <w:hideMark/>
          </w:tcPr>
          <w:p w14:paraId="4E6FEB74" w14:textId="255492CD"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65.9</w:t>
            </w:r>
          </w:p>
        </w:tc>
        <w:tc>
          <w:tcPr>
            <w:tcW w:w="865" w:type="dxa"/>
            <w:tcBorders>
              <w:top w:val="nil"/>
              <w:left w:val="nil"/>
              <w:bottom w:val="nil"/>
              <w:right w:val="nil"/>
            </w:tcBorders>
            <w:shd w:val="clear" w:color="auto" w:fill="auto"/>
            <w:noWrap/>
            <w:vAlign w:val="center"/>
            <w:hideMark/>
          </w:tcPr>
          <w:p w14:paraId="36A8A698" w14:textId="1C31789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25.8</w:t>
            </w:r>
          </w:p>
        </w:tc>
        <w:tc>
          <w:tcPr>
            <w:tcW w:w="991" w:type="dxa"/>
            <w:tcBorders>
              <w:top w:val="nil"/>
              <w:left w:val="nil"/>
              <w:bottom w:val="nil"/>
              <w:right w:val="nil"/>
            </w:tcBorders>
            <w:shd w:val="clear" w:color="auto" w:fill="auto"/>
            <w:noWrap/>
            <w:vAlign w:val="center"/>
            <w:hideMark/>
          </w:tcPr>
          <w:p w14:paraId="7F0BECCE" w14:textId="30ECCAF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7.6</w:t>
            </w:r>
          </w:p>
        </w:tc>
        <w:tc>
          <w:tcPr>
            <w:tcW w:w="1294" w:type="dxa"/>
            <w:tcBorders>
              <w:top w:val="nil"/>
              <w:left w:val="nil"/>
              <w:bottom w:val="nil"/>
              <w:right w:val="single" w:sz="4" w:space="0" w:color="auto"/>
            </w:tcBorders>
            <w:shd w:val="clear" w:color="auto" w:fill="auto"/>
            <w:noWrap/>
            <w:vAlign w:val="center"/>
            <w:hideMark/>
          </w:tcPr>
          <w:p w14:paraId="0788A801" w14:textId="3425C5C6"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0.7</w:t>
            </w:r>
          </w:p>
        </w:tc>
        <w:tc>
          <w:tcPr>
            <w:tcW w:w="1440" w:type="dxa"/>
            <w:tcBorders>
              <w:top w:val="nil"/>
              <w:left w:val="nil"/>
              <w:bottom w:val="nil"/>
              <w:right w:val="nil"/>
            </w:tcBorders>
            <w:shd w:val="clear" w:color="auto" w:fill="auto"/>
            <w:noWrap/>
            <w:vAlign w:val="center"/>
            <w:hideMark/>
          </w:tcPr>
          <w:p w14:paraId="20A1E9EF" w14:textId="16C9E86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77.4</w:t>
            </w:r>
          </w:p>
        </w:tc>
      </w:tr>
      <w:tr w:rsidR="00D476AC" w:rsidRPr="00DD2AE2" w14:paraId="63E52395"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30C845E0"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0E2D72C7" w14:textId="10DD3771"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16.5</w:t>
            </w:r>
          </w:p>
        </w:tc>
        <w:tc>
          <w:tcPr>
            <w:tcW w:w="810" w:type="dxa"/>
            <w:tcBorders>
              <w:top w:val="nil"/>
              <w:left w:val="single" w:sz="4" w:space="0" w:color="auto"/>
              <w:bottom w:val="nil"/>
              <w:right w:val="nil"/>
            </w:tcBorders>
            <w:shd w:val="clear" w:color="auto" w:fill="auto"/>
            <w:noWrap/>
            <w:vAlign w:val="center"/>
            <w:hideMark/>
          </w:tcPr>
          <w:p w14:paraId="0098EBF4" w14:textId="747E073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52.0</w:t>
            </w:r>
          </w:p>
        </w:tc>
        <w:tc>
          <w:tcPr>
            <w:tcW w:w="865" w:type="dxa"/>
            <w:tcBorders>
              <w:top w:val="nil"/>
              <w:left w:val="nil"/>
              <w:bottom w:val="nil"/>
              <w:right w:val="nil"/>
            </w:tcBorders>
            <w:shd w:val="clear" w:color="auto" w:fill="auto"/>
            <w:noWrap/>
            <w:vAlign w:val="center"/>
            <w:hideMark/>
          </w:tcPr>
          <w:p w14:paraId="05A090D6" w14:textId="651DDE0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31.1</w:t>
            </w:r>
          </w:p>
        </w:tc>
        <w:tc>
          <w:tcPr>
            <w:tcW w:w="991" w:type="dxa"/>
            <w:tcBorders>
              <w:top w:val="nil"/>
              <w:left w:val="nil"/>
              <w:bottom w:val="nil"/>
              <w:right w:val="nil"/>
            </w:tcBorders>
            <w:shd w:val="clear" w:color="auto" w:fill="auto"/>
            <w:noWrap/>
            <w:vAlign w:val="center"/>
            <w:hideMark/>
          </w:tcPr>
          <w:p w14:paraId="7BE12720" w14:textId="45DB541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15.1</w:t>
            </w:r>
          </w:p>
        </w:tc>
        <w:tc>
          <w:tcPr>
            <w:tcW w:w="1294" w:type="dxa"/>
            <w:tcBorders>
              <w:top w:val="nil"/>
              <w:left w:val="nil"/>
              <w:bottom w:val="nil"/>
              <w:right w:val="single" w:sz="4" w:space="0" w:color="auto"/>
            </w:tcBorders>
            <w:shd w:val="clear" w:color="auto" w:fill="auto"/>
            <w:noWrap/>
            <w:vAlign w:val="center"/>
            <w:hideMark/>
          </w:tcPr>
          <w:p w14:paraId="07A6E39B" w14:textId="6C677BE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w:t>
            </w:r>
          </w:p>
        </w:tc>
        <w:tc>
          <w:tcPr>
            <w:tcW w:w="1440" w:type="dxa"/>
            <w:tcBorders>
              <w:top w:val="nil"/>
              <w:left w:val="nil"/>
              <w:bottom w:val="nil"/>
              <w:right w:val="nil"/>
            </w:tcBorders>
            <w:shd w:val="clear" w:color="auto" w:fill="auto"/>
            <w:noWrap/>
            <w:vAlign w:val="center"/>
            <w:hideMark/>
          </w:tcPr>
          <w:p w14:paraId="287677F8" w14:textId="79758AA9"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83.5</w:t>
            </w:r>
          </w:p>
        </w:tc>
      </w:tr>
      <w:tr w:rsidR="00D476AC" w:rsidRPr="00DD2AE2" w14:paraId="43F45C87"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6892F7B3" w14:textId="2B916C34" w:rsidR="00D476AC" w:rsidRPr="00B070DA" w:rsidRDefault="00D476AC"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South</w:t>
            </w:r>
            <w:r w:rsidRPr="00B070DA">
              <w:rPr>
                <w:rFonts w:ascii="Times New Roman" w:eastAsia="Times New Roman" w:hAnsi="Times New Roman" w:cs="Times New Roman"/>
                <w:color w:val="000000"/>
              </w:rPr>
              <w:t xml:space="preserve"> </w:t>
            </w:r>
          </w:p>
        </w:tc>
        <w:tc>
          <w:tcPr>
            <w:tcW w:w="1341" w:type="dxa"/>
            <w:tcBorders>
              <w:top w:val="nil"/>
              <w:left w:val="nil"/>
              <w:bottom w:val="nil"/>
              <w:right w:val="single" w:sz="4" w:space="0" w:color="auto"/>
            </w:tcBorders>
            <w:shd w:val="clear" w:color="auto" w:fill="auto"/>
            <w:noWrap/>
            <w:vAlign w:val="center"/>
            <w:hideMark/>
          </w:tcPr>
          <w:p w14:paraId="69356F6F" w14:textId="43A413B6"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20.2</w:t>
            </w:r>
          </w:p>
        </w:tc>
        <w:tc>
          <w:tcPr>
            <w:tcW w:w="810" w:type="dxa"/>
            <w:tcBorders>
              <w:top w:val="nil"/>
              <w:left w:val="single" w:sz="4" w:space="0" w:color="auto"/>
              <w:bottom w:val="nil"/>
              <w:right w:val="nil"/>
            </w:tcBorders>
            <w:shd w:val="clear" w:color="auto" w:fill="auto"/>
            <w:noWrap/>
            <w:vAlign w:val="center"/>
            <w:hideMark/>
          </w:tcPr>
          <w:p w14:paraId="4200D442" w14:textId="55BD7341"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58.0</w:t>
            </w:r>
          </w:p>
        </w:tc>
        <w:tc>
          <w:tcPr>
            <w:tcW w:w="865" w:type="dxa"/>
            <w:tcBorders>
              <w:top w:val="nil"/>
              <w:left w:val="nil"/>
              <w:bottom w:val="nil"/>
              <w:right w:val="nil"/>
            </w:tcBorders>
            <w:shd w:val="clear" w:color="auto" w:fill="auto"/>
            <w:noWrap/>
            <w:vAlign w:val="center"/>
            <w:hideMark/>
          </w:tcPr>
          <w:p w14:paraId="34DBC723" w14:textId="4D938993"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28.8</w:t>
            </w:r>
          </w:p>
        </w:tc>
        <w:tc>
          <w:tcPr>
            <w:tcW w:w="991" w:type="dxa"/>
            <w:tcBorders>
              <w:top w:val="nil"/>
              <w:left w:val="nil"/>
              <w:bottom w:val="nil"/>
              <w:right w:val="nil"/>
            </w:tcBorders>
            <w:shd w:val="clear" w:color="auto" w:fill="auto"/>
            <w:noWrap/>
            <w:vAlign w:val="center"/>
            <w:hideMark/>
          </w:tcPr>
          <w:p w14:paraId="6E73576A" w14:textId="3011A32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11.8</w:t>
            </w:r>
          </w:p>
        </w:tc>
        <w:tc>
          <w:tcPr>
            <w:tcW w:w="1294" w:type="dxa"/>
            <w:tcBorders>
              <w:top w:val="nil"/>
              <w:left w:val="nil"/>
              <w:bottom w:val="single" w:sz="4" w:space="0" w:color="auto"/>
              <w:right w:val="single" w:sz="4" w:space="0" w:color="auto"/>
            </w:tcBorders>
            <w:shd w:val="clear" w:color="auto" w:fill="auto"/>
            <w:noWrap/>
            <w:vAlign w:val="center"/>
            <w:hideMark/>
          </w:tcPr>
          <w:p w14:paraId="59ED6535" w14:textId="3066E40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1.3</w:t>
            </w:r>
          </w:p>
        </w:tc>
        <w:tc>
          <w:tcPr>
            <w:tcW w:w="1440" w:type="dxa"/>
            <w:tcBorders>
              <w:top w:val="nil"/>
              <w:left w:val="nil"/>
              <w:bottom w:val="nil"/>
              <w:right w:val="nil"/>
            </w:tcBorders>
            <w:shd w:val="clear" w:color="auto" w:fill="auto"/>
            <w:noWrap/>
            <w:vAlign w:val="center"/>
            <w:hideMark/>
          </w:tcPr>
          <w:p w14:paraId="03508B15" w14:textId="1F9D7B3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79.8</w:t>
            </w:r>
          </w:p>
        </w:tc>
      </w:tr>
      <w:tr w:rsidR="00D476AC" w:rsidRPr="00DD2AE2" w14:paraId="72BB5B0B"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108E6DDB" w14:textId="2FE58902"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National</w:t>
            </w:r>
            <w:r>
              <w:rPr>
                <w:rFonts w:ascii="Times New Roman" w:eastAsia="Times New Roman" w:hAnsi="Times New Roman" w:cs="Times New Roman"/>
                <w:color w:val="000000"/>
              </w:rPr>
              <w:t xml:space="preserve"> total</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14:paraId="431927A0" w14:textId="44879DB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16.8</w:t>
            </w:r>
          </w:p>
        </w:tc>
        <w:tc>
          <w:tcPr>
            <w:tcW w:w="810" w:type="dxa"/>
            <w:tcBorders>
              <w:top w:val="single" w:sz="4" w:space="0" w:color="auto"/>
              <w:left w:val="single" w:sz="4" w:space="0" w:color="auto"/>
              <w:bottom w:val="single" w:sz="4" w:space="0" w:color="auto"/>
              <w:right w:val="nil"/>
            </w:tcBorders>
            <w:shd w:val="clear" w:color="auto" w:fill="auto"/>
            <w:noWrap/>
            <w:vAlign w:val="center"/>
            <w:hideMark/>
          </w:tcPr>
          <w:p w14:paraId="37120063" w14:textId="7AB433D9"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53.3</w:t>
            </w:r>
          </w:p>
        </w:tc>
        <w:tc>
          <w:tcPr>
            <w:tcW w:w="865" w:type="dxa"/>
            <w:tcBorders>
              <w:top w:val="single" w:sz="4" w:space="0" w:color="auto"/>
              <w:left w:val="nil"/>
              <w:bottom w:val="single" w:sz="4" w:space="0" w:color="auto"/>
              <w:right w:val="nil"/>
            </w:tcBorders>
            <w:shd w:val="clear" w:color="auto" w:fill="auto"/>
            <w:noWrap/>
            <w:vAlign w:val="center"/>
            <w:hideMark/>
          </w:tcPr>
          <w:p w14:paraId="48A5B8F2" w14:textId="2BA9394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31.8</w:t>
            </w:r>
          </w:p>
        </w:tc>
        <w:tc>
          <w:tcPr>
            <w:tcW w:w="991" w:type="dxa"/>
            <w:tcBorders>
              <w:top w:val="single" w:sz="4" w:space="0" w:color="auto"/>
              <w:left w:val="nil"/>
              <w:bottom w:val="single" w:sz="4" w:space="0" w:color="auto"/>
              <w:right w:val="nil"/>
            </w:tcBorders>
            <w:shd w:val="clear" w:color="auto" w:fill="auto"/>
            <w:noWrap/>
            <w:vAlign w:val="center"/>
            <w:hideMark/>
          </w:tcPr>
          <w:p w14:paraId="18B4F3BC" w14:textId="16085D4D"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12.9</w:t>
            </w:r>
          </w:p>
        </w:tc>
        <w:tc>
          <w:tcPr>
            <w:tcW w:w="1294" w:type="dxa"/>
            <w:tcBorders>
              <w:top w:val="nil"/>
              <w:left w:val="nil"/>
              <w:bottom w:val="single" w:sz="4" w:space="0" w:color="auto"/>
              <w:right w:val="single" w:sz="4" w:space="0" w:color="auto"/>
            </w:tcBorders>
            <w:shd w:val="clear" w:color="auto" w:fill="auto"/>
            <w:noWrap/>
            <w:vAlign w:val="center"/>
            <w:hideMark/>
          </w:tcPr>
          <w:p w14:paraId="70F72246" w14:textId="6717A84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1.9</w:t>
            </w:r>
          </w:p>
        </w:tc>
        <w:tc>
          <w:tcPr>
            <w:tcW w:w="1440" w:type="dxa"/>
            <w:tcBorders>
              <w:top w:val="single" w:sz="4" w:space="0" w:color="auto"/>
              <w:left w:val="nil"/>
              <w:bottom w:val="single" w:sz="4" w:space="0" w:color="auto"/>
              <w:right w:val="nil"/>
            </w:tcBorders>
            <w:shd w:val="clear" w:color="auto" w:fill="auto"/>
            <w:noWrap/>
            <w:vAlign w:val="center"/>
            <w:hideMark/>
          </w:tcPr>
          <w:p w14:paraId="53EAD35C" w14:textId="0B2D2FC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83.2</w:t>
            </w:r>
          </w:p>
        </w:tc>
      </w:tr>
    </w:tbl>
    <w:p w14:paraId="6041E1B1" w14:textId="77777777" w:rsidR="005C235E" w:rsidRPr="00550946" w:rsidRDefault="005C235E"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Note: Land is defined as cultivated farmland</w:t>
      </w:r>
    </w:p>
    <w:p w14:paraId="791404D7" w14:textId="68344BB4" w:rsidR="00FD17C4" w:rsidRPr="00550946" w:rsidRDefault="005C235E"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Source: Authors’ calculation using data of GLSS6 (GSS 2015)</w:t>
      </w:r>
    </w:p>
    <w:p w14:paraId="26F9A6DB" w14:textId="13FBE01A" w:rsidR="00C36A09" w:rsidRPr="0096274C" w:rsidRDefault="00C36A09" w:rsidP="00EF7FD9">
      <w:pPr>
        <w:spacing w:after="240" w:line="240" w:lineRule="auto"/>
        <w:jc w:val="both"/>
        <w:rPr>
          <w:rFonts w:cstheme="minorHAnsi"/>
          <w:sz w:val="20"/>
          <w:szCs w:val="20"/>
        </w:rPr>
      </w:pPr>
      <w:r w:rsidRPr="00550946">
        <w:rPr>
          <w:rFonts w:ascii="Times New Roman" w:hAnsi="Times New Roman" w:cs="Times New Roman"/>
          <w:sz w:val="20"/>
          <w:szCs w:val="20"/>
          <w:highlight w:val="yellow"/>
        </w:rPr>
        <w:t>The excel file is in Daily\2015\GSSP\youth\</w:t>
      </w:r>
      <w:proofErr w:type="spellStart"/>
      <w:r w:rsidRPr="00550946">
        <w:rPr>
          <w:rFonts w:ascii="Times New Roman" w:hAnsi="Times New Roman" w:cs="Times New Roman"/>
          <w:sz w:val="20"/>
          <w:szCs w:val="20"/>
          <w:highlight w:val="yellow"/>
        </w:rPr>
        <w:t>land&amp;input</w:t>
      </w:r>
      <w:proofErr w:type="spellEnd"/>
      <w:r w:rsidRPr="00550946">
        <w:rPr>
          <w:rFonts w:ascii="Times New Roman" w:hAnsi="Times New Roman" w:cs="Times New Roman"/>
          <w:sz w:val="20"/>
          <w:szCs w:val="20"/>
          <w:highlight w:val="yellow"/>
        </w:rPr>
        <w:t>\</w:t>
      </w:r>
      <w:proofErr w:type="spellStart"/>
      <w:proofErr w:type="gramStart"/>
      <w:r w:rsidRPr="00550946">
        <w:rPr>
          <w:rFonts w:ascii="Times New Roman" w:hAnsi="Times New Roman" w:cs="Times New Roman"/>
          <w:sz w:val="20"/>
          <w:szCs w:val="20"/>
          <w:highlight w:val="yellow"/>
        </w:rPr>
        <w:t>l</w:t>
      </w:r>
      <w:r w:rsidR="002C246E" w:rsidRPr="00550946">
        <w:rPr>
          <w:rFonts w:ascii="Times New Roman" w:hAnsi="Times New Roman" w:cs="Times New Roman"/>
          <w:sz w:val="20"/>
          <w:szCs w:val="20"/>
          <w:highlight w:val="yellow"/>
        </w:rPr>
        <w:t>andinputcosts</w:t>
      </w:r>
      <w:proofErr w:type="spellEnd"/>
      <w:r w:rsidR="002C246E" w:rsidRPr="00550946">
        <w:rPr>
          <w:rFonts w:ascii="Times New Roman" w:hAnsi="Times New Roman" w:cs="Times New Roman"/>
          <w:sz w:val="20"/>
          <w:szCs w:val="20"/>
          <w:highlight w:val="yellow"/>
        </w:rPr>
        <w:t>(</w:t>
      </w:r>
      <w:proofErr w:type="gramEnd"/>
      <w:r w:rsidR="00F62FE5" w:rsidRPr="00550946">
        <w:rPr>
          <w:rFonts w:ascii="Times New Roman" w:hAnsi="Times New Roman" w:cs="Times New Roman"/>
          <w:sz w:val="20"/>
          <w:szCs w:val="20"/>
          <w:highlight w:val="yellow"/>
        </w:rPr>
        <w:t>Oct10</w:t>
      </w:r>
      <w:r w:rsidRPr="00550946">
        <w:rPr>
          <w:rFonts w:ascii="Times New Roman" w:hAnsi="Times New Roman" w:cs="Times New Roman"/>
          <w:sz w:val="20"/>
          <w:szCs w:val="20"/>
          <w:highlight w:val="yellow"/>
        </w:rPr>
        <w:t>-2016)</w:t>
      </w:r>
      <w:r w:rsidR="00F62FE5" w:rsidRPr="00550946">
        <w:rPr>
          <w:rFonts w:ascii="Times New Roman" w:hAnsi="Times New Roman" w:cs="Times New Roman"/>
          <w:sz w:val="20"/>
          <w:szCs w:val="20"/>
          <w:highlight w:val="yellow"/>
        </w:rPr>
        <w:t>_new types reg</w:t>
      </w:r>
      <w:r w:rsidRPr="00550946">
        <w:rPr>
          <w:rFonts w:ascii="Times New Roman" w:hAnsi="Times New Roman" w:cs="Times New Roman"/>
          <w:sz w:val="20"/>
          <w:szCs w:val="20"/>
          <w:highlight w:val="yellow"/>
        </w:rPr>
        <w:t>.xlsx, sheet “</w:t>
      </w:r>
      <w:r w:rsidR="00670DD8" w:rsidRPr="00550946">
        <w:rPr>
          <w:rFonts w:ascii="Times New Roman" w:hAnsi="Times New Roman" w:cs="Times New Roman"/>
          <w:sz w:val="20"/>
          <w:szCs w:val="20"/>
          <w:highlight w:val="yellow"/>
        </w:rPr>
        <w:t>5.4a</w:t>
      </w:r>
      <w:r w:rsidRPr="00550946">
        <w:rPr>
          <w:rFonts w:ascii="Times New Roman" w:hAnsi="Times New Roman" w:cs="Times New Roman"/>
          <w:sz w:val="20"/>
          <w:szCs w:val="20"/>
          <w:highlight w:val="yellow"/>
        </w:rPr>
        <w:t>”</w:t>
      </w:r>
    </w:p>
    <w:p w14:paraId="14497608" w14:textId="77777777" w:rsidR="00C84B71" w:rsidRDefault="00C84B71">
      <w:pPr>
        <w:rPr>
          <w:rFonts w:ascii="Times New Roman" w:hAnsi="Times New Roman" w:cs="Times New Roman"/>
        </w:rPr>
      </w:pPr>
      <w:r>
        <w:rPr>
          <w:rFonts w:ascii="Times New Roman" w:hAnsi="Times New Roman" w:cs="Times New Roman"/>
        </w:rPr>
        <w:br w:type="page"/>
      </w:r>
    </w:p>
    <w:p w14:paraId="5C4819AF" w14:textId="43A07E23" w:rsidR="008E2A3A" w:rsidRPr="00FC1B5D" w:rsidRDefault="008E2A3A" w:rsidP="00EF7FD9">
      <w:pPr>
        <w:jc w:val="both"/>
        <w:rPr>
          <w:rFonts w:ascii="Times New Roman" w:hAnsi="Times New Roman" w:cs="Times New Roman"/>
        </w:rPr>
      </w:pPr>
      <w:r w:rsidRPr="00FC1B5D">
        <w:rPr>
          <w:rFonts w:ascii="Times New Roman" w:hAnsi="Times New Roman" w:cs="Times New Roman"/>
        </w:rPr>
        <w:lastRenderedPageBreak/>
        <w:t xml:space="preserve">Table </w:t>
      </w:r>
      <w:r w:rsidR="00D52F18">
        <w:rPr>
          <w:rFonts w:ascii="Times New Roman" w:hAnsi="Times New Roman" w:cs="Times New Roman"/>
        </w:rPr>
        <w:t>9</w:t>
      </w:r>
      <w:r w:rsidRPr="00FC1B5D">
        <w:rPr>
          <w:rFonts w:ascii="Times New Roman" w:hAnsi="Times New Roman" w:cs="Times New Roman"/>
        </w:rPr>
        <w:t>.4</w:t>
      </w:r>
      <w:r>
        <w:rPr>
          <w:rFonts w:ascii="Times New Roman" w:hAnsi="Times New Roman" w:cs="Times New Roman"/>
        </w:rPr>
        <w:t>b</w:t>
      </w:r>
      <w:r w:rsidRPr="00FC1B5D">
        <w:rPr>
          <w:rFonts w:ascii="Times New Roman" w:hAnsi="Times New Roman" w:cs="Times New Roman"/>
        </w:rPr>
        <w:t>: Shares of rural households by farm size and district group, 20</w:t>
      </w:r>
      <w:r>
        <w:rPr>
          <w:rFonts w:ascii="Times New Roman" w:hAnsi="Times New Roman" w:cs="Times New Roman"/>
        </w:rPr>
        <w:t>12</w:t>
      </w:r>
      <w:r w:rsidRPr="00FC1B5D">
        <w:rPr>
          <w:rFonts w:ascii="Times New Roman" w:hAnsi="Times New Roman" w:cs="Times New Roman"/>
        </w:rPr>
        <w:t>/</w:t>
      </w:r>
      <w:r>
        <w:rPr>
          <w:rFonts w:ascii="Times New Roman" w:hAnsi="Times New Roman" w:cs="Times New Roman"/>
        </w:rPr>
        <w:t>13</w:t>
      </w:r>
    </w:p>
    <w:tbl>
      <w:tblPr>
        <w:tblW w:w="9117" w:type="dxa"/>
        <w:tblLayout w:type="fixed"/>
        <w:tblLook w:val="04A0" w:firstRow="1" w:lastRow="0" w:firstColumn="1" w:lastColumn="0" w:noHBand="0" w:noVBand="1"/>
      </w:tblPr>
      <w:tblGrid>
        <w:gridCol w:w="2376"/>
        <w:gridCol w:w="1341"/>
        <w:gridCol w:w="810"/>
        <w:gridCol w:w="865"/>
        <w:gridCol w:w="991"/>
        <w:gridCol w:w="1294"/>
        <w:gridCol w:w="1440"/>
      </w:tblGrid>
      <w:tr w:rsidR="008E2A3A" w:rsidRPr="00DD2AE2" w14:paraId="5AB4C543" w14:textId="77777777" w:rsidTr="00BC2AF2">
        <w:trPr>
          <w:trHeight w:val="288"/>
        </w:trPr>
        <w:tc>
          <w:tcPr>
            <w:tcW w:w="2376" w:type="dxa"/>
            <w:vMerge w:val="restart"/>
            <w:tcBorders>
              <w:top w:val="single" w:sz="4" w:space="0" w:color="auto"/>
              <w:left w:val="nil"/>
              <w:right w:val="single" w:sz="4" w:space="0" w:color="auto"/>
            </w:tcBorders>
            <w:shd w:val="clear" w:color="auto" w:fill="auto"/>
            <w:noWrap/>
            <w:vAlign w:val="bottom"/>
            <w:hideMark/>
          </w:tcPr>
          <w:p w14:paraId="550E3453" w14:textId="77777777" w:rsidR="008E2A3A" w:rsidRPr="00B070DA" w:rsidRDefault="008E2A3A" w:rsidP="00C84B71">
            <w:pPr>
              <w:rPr>
                <w:rFonts w:ascii="Times New Roman" w:eastAsia="Times New Roman" w:hAnsi="Times New Roman" w:cs="Times New Roman"/>
              </w:rPr>
            </w:pPr>
            <w:r>
              <w:rPr>
                <w:rFonts w:ascii="Times New Roman" w:eastAsia="Times New Roman" w:hAnsi="Times New Roman" w:cs="Times New Roman"/>
                <w:color w:val="000000"/>
              </w:rPr>
              <w:t>District Group</w:t>
            </w:r>
          </w:p>
        </w:tc>
        <w:tc>
          <w:tcPr>
            <w:tcW w:w="1341" w:type="dxa"/>
            <w:vMerge w:val="restart"/>
            <w:tcBorders>
              <w:top w:val="single" w:sz="4" w:space="0" w:color="auto"/>
              <w:left w:val="nil"/>
              <w:right w:val="single" w:sz="4" w:space="0" w:color="auto"/>
            </w:tcBorders>
            <w:shd w:val="clear" w:color="auto" w:fill="auto"/>
            <w:noWrap/>
            <w:vAlign w:val="bottom"/>
            <w:hideMark/>
          </w:tcPr>
          <w:p w14:paraId="1CFA479F" w14:textId="77777777" w:rsidR="008E2A3A" w:rsidRPr="00B070DA" w:rsidRDefault="008E2A3A" w:rsidP="00C84B71">
            <w:pPr>
              <w:jc w:val="center"/>
              <w:rPr>
                <w:rFonts w:ascii="Times New Roman" w:eastAsia="Times New Roman" w:hAnsi="Times New Roman" w:cs="Times New Roman"/>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landless house-holds</w:t>
            </w:r>
          </w:p>
        </w:tc>
        <w:tc>
          <w:tcPr>
            <w:tcW w:w="39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A4EB7" w14:textId="5F8E8E0D" w:rsidR="008E2A3A" w:rsidRPr="00B070DA" w:rsidRDefault="008E2A3A"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 by </w:t>
            </w:r>
            <w:r>
              <w:rPr>
                <w:rFonts w:ascii="Times New Roman" w:eastAsia="Times New Roman" w:hAnsi="Times New Roman" w:cs="Times New Roman"/>
              </w:rPr>
              <w:t xml:space="preserve">farm </w:t>
            </w:r>
            <w:r w:rsidRPr="00B070DA">
              <w:rPr>
                <w:rFonts w:ascii="Times New Roman" w:eastAsia="Times New Roman" w:hAnsi="Times New Roman" w:cs="Times New Roman"/>
              </w:rPr>
              <w:t>size</w:t>
            </w:r>
          </w:p>
        </w:tc>
        <w:tc>
          <w:tcPr>
            <w:tcW w:w="1440" w:type="dxa"/>
            <w:vMerge w:val="restart"/>
            <w:tcBorders>
              <w:top w:val="single" w:sz="4" w:space="0" w:color="auto"/>
              <w:left w:val="nil"/>
              <w:right w:val="nil"/>
            </w:tcBorders>
            <w:shd w:val="clear" w:color="auto" w:fill="auto"/>
            <w:noWrap/>
            <w:vAlign w:val="bottom"/>
            <w:hideMark/>
          </w:tcPr>
          <w:p w14:paraId="134BB6E9" w14:textId="044397FC" w:rsidR="008E2A3A" w:rsidRPr="00B070DA" w:rsidRDefault="008E2A3A"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w:t>
            </w:r>
          </w:p>
        </w:tc>
      </w:tr>
      <w:tr w:rsidR="008E2A3A" w:rsidRPr="00DD2AE2" w14:paraId="35B7E656" w14:textId="77777777" w:rsidTr="0096274C">
        <w:trPr>
          <w:trHeight w:val="548"/>
        </w:trPr>
        <w:tc>
          <w:tcPr>
            <w:tcW w:w="2376" w:type="dxa"/>
            <w:vMerge/>
            <w:tcBorders>
              <w:left w:val="nil"/>
              <w:bottom w:val="single" w:sz="4" w:space="0" w:color="auto"/>
              <w:right w:val="single" w:sz="4" w:space="0" w:color="auto"/>
            </w:tcBorders>
            <w:shd w:val="clear" w:color="auto" w:fill="auto"/>
            <w:noWrap/>
            <w:vAlign w:val="bottom"/>
            <w:hideMark/>
          </w:tcPr>
          <w:p w14:paraId="64007327" w14:textId="77777777" w:rsidR="008E2A3A" w:rsidRPr="00B070DA" w:rsidRDefault="008E2A3A" w:rsidP="00EF7FD9">
            <w:pPr>
              <w:jc w:val="both"/>
              <w:rPr>
                <w:rFonts w:ascii="Times New Roman" w:eastAsia="Times New Roman" w:hAnsi="Times New Roman" w:cs="Times New Roman"/>
                <w:color w:val="000000"/>
              </w:rPr>
            </w:pPr>
          </w:p>
        </w:tc>
        <w:tc>
          <w:tcPr>
            <w:tcW w:w="1341" w:type="dxa"/>
            <w:vMerge/>
            <w:tcBorders>
              <w:left w:val="nil"/>
              <w:bottom w:val="single" w:sz="4" w:space="0" w:color="auto"/>
              <w:right w:val="single" w:sz="4" w:space="0" w:color="auto"/>
            </w:tcBorders>
            <w:shd w:val="clear" w:color="auto" w:fill="auto"/>
            <w:vAlign w:val="bottom"/>
            <w:hideMark/>
          </w:tcPr>
          <w:p w14:paraId="004E9AE1" w14:textId="77777777" w:rsidR="008E2A3A" w:rsidRPr="00B070DA" w:rsidRDefault="008E2A3A" w:rsidP="00EF7FD9">
            <w:pPr>
              <w:jc w:val="both"/>
              <w:rPr>
                <w:rFonts w:ascii="Times New Roman" w:eastAsia="Times New Roman" w:hAnsi="Times New Roman" w:cs="Times New Roman"/>
              </w:rPr>
            </w:pPr>
          </w:p>
        </w:tc>
        <w:tc>
          <w:tcPr>
            <w:tcW w:w="810" w:type="dxa"/>
            <w:tcBorders>
              <w:top w:val="nil"/>
              <w:left w:val="single" w:sz="4" w:space="0" w:color="auto"/>
              <w:bottom w:val="single" w:sz="4" w:space="0" w:color="auto"/>
            </w:tcBorders>
            <w:shd w:val="clear" w:color="auto" w:fill="auto"/>
            <w:noWrap/>
            <w:vAlign w:val="bottom"/>
            <w:hideMark/>
          </w:tcPr>
          <w:p w14:paraId="629858F1" w14:textId="5E39CA2F"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&lt;2 ha</w:t>
            </w:r>
          </w:p>
        </w:tc>
        <w:tc>
          <w:tcPr>
            <w:tcW w:w="865" w:type="dxa"/>
            <w:tcBorders>
              <w:top w:val="nil"/>
              <w:bottom w:val="single" w:sz="4" w:space="0" w:color="auto"/>
            </w:tcBorders>
            <w:shd w:val="clear" w:color="auto" w:fill="auto"/>
            <w:noWrap/>
            <w:vAlign w:val="bottom"/>
            <w:hideMark/>
          </w:tcPr>
          <w:p w14:paraId="09990007" w14:textId="4283BC81"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2-5 ha</w:t>
            </w:r>
          </w:p>
        </w:tc>
        <w:tc>
          <w:tcPr>
            <w:tcW w:w="991" w:type="dxa"/>
            <w:tcBorders>
              <w:top w:val="nil"/>
              <w:left w:val="nil"/>
              <w:bottom w:val="single" w:sz="4" w:space="0" w:color="auto"/>
              <w:right w:val="nil"/>
            </w:tcBorders>
            <w:shd w:val="clear" w:color="auto" w:fill="auto"/>
            <w:noWrap/>
            <w:vAlign w:val="bottom"/>
            <w:hideMark/>
          </w:tcPr>
          <w:p w14:paraId="4DA2D2AD" w14:textId="7D3A4DCC"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5-20 ha</w:t>
            </w:r>
          </w:p>
        </w:tc>
        <w:tc>
          <w:tcPr>
            <w:tcW w:w="1294" w:type="dxa"/>
            <w:tcBorders>
              <w:top w:val="nil"/>
              <w:left w:val="nil"/>
              <w:bottom w:val="single" w:sz="4" w:space="0" w:color="auto"/>
              <w:right w:val="single" w:sz="4" w:space="0" w:color="auto"/>
            </w:tcBorders>
            <w:shd w:val="clear" w:color="auto" w:fill="auto"/>
            <w:noWrap/>
            <w:vAlign w:val="bottom"/>
            <w:hideMark/>
          </w:tcPr>
          <w:p w14:paraId="7A791148" w14:textId="4404391E"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&gt; 20 ha</w:t>
            </w:r>
          </w:p>
        </w:tc>
        <w:tc>
          <w:tcPr>
            <w:tcW w:w="1440" w:type="dxa"/>
            <w:vMerge/>
            <w:tcBorders>
              <w:left w:val="nil"/>
              <w:bottom w:val="single" w:sz="4" w:space="0" w:color="auto"/>
              <w:right w:val="nil"/>
            </w:tcBorders>
            <w:shd w:val="clear" w:color="auto" w:fill="auto"/>
            <w:vAlign w:val="bottom"/>
            <w:hideMark/>
          </w:tcPr>
          <w:p w14:paraId="11990094" w14:textId="77777777" w:rsidR="008E2A3A" w:rsidRPr="00B070DA" w:rsidRDefault="008E2A3A" w:rsidP="00EF7FD9">
            <w:pPr>
              <w:jc w:val="both"/>
              <w:rPr>
                <w:rFonts w:ascii="Times New Roman" w:eastAsia="Times New Roman" w:hAnsi="Times New Roman" w:cs="Times New Roman"/>
              </w:rPr>
            </w:pPr>
          </w:p>
        </w:tc>
      </w:tr>
      <w:tr w:rsidR="00D37840" w:rsidRPr="00DD2AE2" w14:paraId="6E5D09A6" w14:textId="77777777" w:rsidTr="0096274C">
        <w:trPr>
          <w:trHeight w:val="288"/>
        </w:trPr>
        <w:tc>
          <w:tcPr>
            <w:tcW w:w="2376" w:type="dxa"/>
            <w:tcBorders>
              <w:top w:val="single" w:sz="4" w:space="0" w:color="auto"/>
              <w:left w:val="nil"/>
              <w:right w:val="single" w:sz="4" w:space="0" w:color="auto"/>
            </w:tcBorders>
            <w:shd w:val="clear" w:color="auto" w:fill="auto"/>
            <w:noWrap/>
            <w:vAlign w:val="bottom"/>
            <w:hideMark/>
          </w:tcPr>
          <w:p w14:paraId="6B0C5066" w14:textId="25A1C178" w:rsidR="008E2A3A" w:rsidRPr="00B070DA" w:rsidRDefault="00FD7E50" w:rsidP="00C84B71">
            <w:pPr>
              <w:rPr>
                <w:rFonts w:ascii="Times New Roman" w:eastAsia="Times New Roman" w:hAnsi="Times New Roman" w:cs="Times New Roman"/>
                <w:i/>
                <w:color w:val="000000"/>
              </w:rPr>
            </w:pPr>
            <w:r>
              <w:rPr>
                <w:rFonts w:ascii="Times New Roman" w:eastAsia="Times New Roman" w:hAnsi="Times New Roman" w:cs="Times New Roman"/>
                <w:i/>
                <w:color w:val="000000"/>
              </w:rPr>
              <w:t>North</w:t>
            </w:r>
          </w:p>
        </w:tc>
        <w:tc>
          <w:tcPr>
            <w:tcW w:w="1341" w:type="dxa"/>
            <w:tcBorders>
              <w:top w:val="single" w:sz="4" w:space="0" w:color="auto"/>
              <w:left w:val="nil"/>
              <w:right w:val="single" w:sz="4" w:space="0" w:color="auto"/>
            </w:tcBorders>
            <w:shd w:val="clear" w:color="auto" w:fill="auto"/>
            <w:noWrap/>
            <w:vAlign w:val="bottom"/>
            <w:hideMark/>
          </w:tcPr>
          <w:p w14:paraId="52754D1E" w14:textId="77777777" w:rsidR="008E2A3A" w:rsidRPr="00B070DA" w:rsidRDefault="008E2A3A" w:rsidP="00C84B71">
            <w:pPr>
              <w:jc w:val="center"/>
              <w:rPr>
                <w:rFonts w:ascii="Times New Roman" w:eastAsia="Times New Roman" w:hAnsi="Times New Roman" w:cs="Times New Roman"/>
                <w:color w:val="000000"/>
              </w:rPr>
            </w:pPr>
          </w:p>
        </w:tc>
        <w:tc>
          <w:tcPr>
            <w:tcW w:w="810" w:type="dxa"/>
            <w:tcBorders>
              <w:top w:val="single" w:sz="4" w:space="0" w:color="auto"/>
              <w:left w:val="single" w:sz="4" w:space="0" w:color="auto"/>
            </w:tcBorders>
            <w:shd w:val="clear" w:color="auto" w:fill="auto"/>
            <w:noWrap/>
            <w:vAlign w:val="bottom"/>
            <w:hideMark/>
          </w:tcPr>
          <w:p w14:paraId="791C5FAC" w14:textId="77777777" w:rsidR="008E2A3A" w:rsidRPr="00B070DA" w:rsidRDefault="008E2A3A" w:rsidP="00C84B71">
            <w:pPr>
              <w:jc w:val="center"/>
              <w:rPr>
                <w:rFonts w:ascii="Times New Roman" w:eastAsia="Times New Roman" w:hAnsi="Times New Roman" w:cs="Times New Roman"/>
              </w:rPr>
            </w:pPr>
          </w:p>
        </w:tc>
        <w:tc>
          <w:tcPr>
            <w:tcW w:w="865" w:type="dxa"/>
            <w:tcBorders>
              <w:top w:val="single" w:sz="4" w:space="0" w:color="auto"/>
            </w:tcBorders>
            <w:shd w:val="clear" w:color="auto" w:fill="auto"/>
            <w:noWrap/>
            <w:vAlign w:val="bottom"/>
            <w:hideMark/>
          </w:tcPr>
          <w:p w14:paraId="508F3947" w14:textId="77777777" w:rsidR="008E2A3A" w:rsidRPr="00B070DA" w:rsidRDefault="008E2A3A" w:rsidP="00C84B71">
            <w:pPr>
              <w:jc w:val="center"/>
              <w:rPr>
                <w:rFonts w:ascii="Times New Roman" w:eastAsia="Times New Roman" w:hAnsi="Times New Roman" w:cs="Times New Roman"/>
              </w:rPr>
            </w:pPr>
          </w:p>
        </w:tc>
        <w:tc>
          <w:tcPr>
            <w:tcW w:w="991" w:type="dxa"/>
            <w:tcBorders>
              <w:top w:val="nil"/>
              <w:left w:val="nil"/>
              <w:right w:val="nil"/>
            </w:tcBorders>
            <w:shd w:val="clear" w:color="auto" w:fill="auto"/>
            <w:noWrap/>
            <w:vAlign w:val="bottom"/>
            <w:hideMark/>
          </w:tcPr>
          <w:p w14:paraId="219532EF" w14:textId="77777777" w:rsidR="008E2A3A" w:rsidRPr="00B070DA" w:rsidRDefault="008E2A3A" w:rsidP="00C84B71">
            <w:pPr>
              <w:jc w:val="center"/>
              <w:rPr>
                <w:rFonts w:ascii="Times New Roman" w:eastAsia="Times New Roman" w:hAnsi="Times New Roman" w:cs="Times New Roman"/>
              </w:rPr>
            </w:pPr>
          </w:p>
        </w:tc>
        <w:tc>
          <w:tcPr>
            <w:tcW w:w="1294" w:type="dxa"/>
            <w:tcBorders>
              <w:top w:val="nil"/>
              <w:left w:val="nil"/>
              <w:right w:val="single" w:sz="4" w:space="0" w:color="auto"/>
            </w:tcBorders>
            <w:shd w:val="clear" w:color="auto" w:fill="auto"/>
            <w:noWrap/>
            <w:vAlign w:val="bottom"/>
            <w:hideMark/>
          </w:tcPr>
          <w:p w14:paraId="73CFC201" w14:textId="71100D0F" w:rsidR="008E2A3A" w:rsidRPr="00B070DA" w:rsidRDefault="008E2A3A" w:rsidP="00C84B71">
            <w:pPr>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04528FA3" w14:textId="77777777" w:rsidR="008E2A3A" w:rsidRPr="00B070DA" w:rsidRDefault="008E2A3A" w:rsidP="00C84B71">
            <w:pPr>
              <w:jc w:val="center"/>
              <w:rPr>
                <w:rFonts w:ascii="Times New Roman" w:eastAsia="Times New Roman" w:hAnsi="Times New Roman" w:cs="Times New Roman"/>
                <w:color w:val="000000"/>
              </w:rPr>
            </w:pPr>
          </w:p>
        </w:tc>
      </w:tr>
      <w:tr w:rsidR="00D37840" w:rsidRPr="00DD2AE2" w14:paraId="176D788D" w14:textId="77777777" w:rsidTr="0096274C">
        <w:trPr>
          <w:trHeight w:val="252"/>
        </w:trPr>
        <w:tc>
          <w:tcPr>
            <w:tcW w:w="2376" w:type="dxa"/>
            <w:tcBorders>
              <w:top w:val="nil"/>
              <w:left w:val="nil"/>
              <w:bottom w:val="nil"/>
              <w:right w:val="single" w:sz="4" w:space="0" w:color="auto"/>
            </w:tcBorders>
            <w:shd w:val="clear" w:color="auto" w:fill="auto"/>
            <w:noWrap/>
            <w:vAlign w:val="bottom"/>
            <w:hideMark/>
          </w:tcPr>
          <w:p w14:paraId="0248104E"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left w:val="single" w:sz="4" w:space="0" w:color="auto"/>
              <w:right w:val="single" w:sz="4" w:space="0" w:color="auto"/>
            </w:tcBorders>
            <w:shd w:val="clear" w:color="auto" w:fill="auto"/>
            <w:noWrap/>
            <w:vAlign w:val="center"/>
            <w:hideMark/>
          </w:tcPr>
          <w:p w14:paraId="21A64280" w14:textId="061D265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22.8</w:t>
            </w:r>
          </w:p>
        </w:tc>
        <w:tc>
          <w:tcPr>
            <w:tcW w:w="810" w:type="dxa"/>
            <w:tcBorders>
              <w:left w:val="single" w:sz="4" w:space="0" w:color="auto"/>
            </w:tcBorders>
            <w:shd w:val="clear" w:color="auto" w:fill="auto"/>
            <w:noWrap/>
            <w:vAlign w:val="center"/>
            <w:hideMark/>
          </w:tcPr>
          <w:p w14:paraId="0251EAE5" w14:textId="64B5689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40.5</w:t>
            </w:r>
          </w:p>
        </w:tc>
        <w:tc>
          <w:tcPr>
            <w:tcW w:w="865" w:type="dxa"/>
            <w:shd w:val="clear" w:color="auto" w:fill="auto"/>
            <w:noWrap/>
            <w:vAlign w:val="center"/>
            <w:hideMark/>
          </w:tcPr>
          <w:p w14:paraId="1BACF4C3" w14:textId="09F4FC74" w:rsidR="00C22F1B" w:rsidRPr="0096274C" w:rsidRDefault="00D37840" w:rsidP="00C84B7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37.7</w:t>
            </w:r>
          </w:p>
        </w:tc>
        <w:tc>
          <w:tcPr>
            <w:tcW w:w="991" w:type="dxa"/>
            <w:shd w:val="clear" w:color="auto" w:fill="auto"/>
            <w:noWrap/>
            <w:vAlign w:val="center"/>
            <w:hideMark/>
          </w:tcPr>
          <w:p w14:paraId="55369EB4" w14:textId="33A505AF"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20.6</w:t>
            </w:r>
          </w:p>
        </w:tc>
        <w:tc>
          <w:tcPr>
            <w:tcW w:w="1294" w:type="dxa"/>
            <w:tcBorders>
              <w:right w:val="single" w:sz="4" w:space="0" w:color="auto"/>
            </w:tcBorders>
            <w:shd w:val="clear" w:color="auto" w:fill="auto"/>
            <w:noWrap/>
            <w:vAlign w:val="center"/>
            <w:hideMark/>
          </w:tcPr>
          <w:p w14:paraId="2B734346" w14:textId="5E408C4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w:t>
            </w:r>
          </w:p>
        </w:tc>
        <w:tc>
          <w:tcPr>
            <w:tcW w:w="1440" w:type="dxa"/>
            <w:tcBorders>
              <w:top w:val="nil"/>
              <w:left w:val="single" w:sz="4" w:space="0" w:color="auto"/>
              <w:bottom w:val="nil"/>
              <w:right w:val="nil"/>
            </w:tcBorders>
            <w:shd w:val="clear" w:color="auto" w:fill="auto"/>
            <w:noWrap/>
            <w:vAlign w:val="center"/>
            <w:hideMark/>
          </w:tcPr>
          <w:p w14:paraId="7FE88CC6" w14:textId="740A191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77.2</w:t>
            </w:r>
          </w:p>
        </w:tc>
      </w:tr>
      <w:tr w:rsidR="00C22F1B" w:rsidRPr="00DD2AE2" w14:paraId="063108C9"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5DB66CFF"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left w:val="nil"/>
              <w:bottom w:val="nil"/>
              <w:right w:val="single" w:sz="4" w:space="0" w:color="auto"/>
            </w:tcBorders>
            <w:shd w:val="clear" w:color="auto" w:fill="auto"/>
            <w:noWrap/>
            <w:vAlign w:val="center"/>
            <w:hideMark/>
          </w:tcPr>
          <w:p w14:paraId="3A80602F" w14:textId="1F943830"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w:t>
            </w:r>
          </w:p>
        </w:tc>
        <w:tc>
          <w:tcPr>
            <w:tcW w:w="810" w:type="dxa"/>
            <w:tcBorders>
              <w:left w:val="single" w:sz="4" w:space="0" w:color="auto"/>
              <w:bottom w:val="nil"/>
            </w:tcBorders>
            <w:shd w:val="clear" w:color="auto" w:fill="auto"/>
            <w:noWrap/>
            <w:vAlign w:val="center"/>
            <w:hideMark/>
          </w:tcPr>
          <w:p w14:paraId="69F6B3FA" w14:textId="143C554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49.3</w:t>
            </w:r>
          </w:p>
        </w:tc>
        <w:tc>
          <w:tcPr>
            <w:tcW w:w="865" w:type="dxa"/>
            <w:tcBorders>
              <w:bottom w:val="nil"/>
            </w:tcBorders>
            <w:shd w:val="clear" w:color="auto" w:fill="auto"/>
            <w:noWrap/>
            <w:vAlign w:val="center"/>
            <w:hideMark/>
          </w:tcPr>
          <w:p w14:paraId="386373E8" w14:textId="3613911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35.3</w:t>
            </w:r>
          </w:p>
        </w:tc>
        <w:tc>
          <w:tcPr>
            <w:tcW w:w="991" w:type="dxa"/>
            <w:tcBorders>
              <w:left w:val="nil"/>
              <w:bottom w:val="nil"/>
              <w:right w:val="nil"/>
            </w:tcBorders>
            <w:shd w:val="clear" w:color="auto" w:fill="auto"/>
            <w:noWrap/>
            <w:vAlign w:val="center"/>
            <w:hideMark/>
          </w:tcPr>
          <w:p w14:paraId="5A626F4F" w14:textId="4E759AA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13.1</w:t>
            </w:r>
          </w:p>
        </w:tc>
        <w:tc>
          <w:tcPr>
            <w:tcW w:w="1294" w:type="dxa"/>
            <w:tcBorders>
              <w:left w:val="nil"/>
              <w:bottom w:val="nil"/>
              <w:right w:val="single" w:sz="4" w:space="0" w:color="auto"/>
            </w:tcBorders>
            <w:shd w:val="clear" w:color="auto" w:fill="auto"/>
            <w:noWrap/>
            <w:vAlign w:val="center"/>
            <w:hideMark/>
          </w:tcPr>
          <w:p w14:paraId="0D551659" w14:textId="761D0D4B"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2.3</w:t>
            </w:r>
          </w:p>
        </w:tc>
        <w:tc>
          <w:tcPr>
            <w:tcW w:w="1440" w:type="dxa"/>
            <w:tcBorders>
              <w:top w:val="nil"/>
              <w:left w:val="nil"/>
              <w:bottom w:val="nil"/>
              <w:right w:val="nil"/>
            </w:tcBorders>
            <w:shd w:val="clear" w:color="auto" w:fill="auto"/>
            <w:noWrap/>
            <w:vAlign w:val="center"/>
            <w:hideMark/>
          </w:tcPr>
          <w:p w14:paraId="14471659" w14:textId="6C9C3FF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92.3</w:t>
            </w:r>
          </w:p>
        </w:tc>
      </w:tr>
      <w:tr w:rsidR="00C22F1B" w:rsidRPr="00DD2AE2" w14:paraId="362600FB"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222AC031"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5D1BE1FA" w14:textId="7A90CDB2"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10.2</w:t>
            </w:r>
          </w:p>
        </w:tc>
        <w:tc>
          <w:tcPr>
            <w:tcW w:w="810" w:type="dxa"/>
            <w:tcBorders>
              <w:top w:val="nil"/>
              <w:left w:val="single" w:sz="4" w:space="0" w:color="auto"/>
              <w:bottom w:val="nil"/>
            </w:tcBorders>
            <w:shd w:val="clear" w:color="auto" w:fill="auto"/>
            <w:noWrap/>
            <w:vAlign w:val="center"/>
            <w:hideMark/>
          </w:tcPr>
          <w:p w14:paraId="11B92D48" w14:textId="73011DC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32.5</w:t>
            </w:r>
          </w:p>
        </w:tc>
        <w:tc>
          <w:tcPr>
            <w:tcW w:w="865" w:type="dxa"/>
            <w:tcBorders>
              <w:top w:val="nil"/>
              <w:bottom w:val="nil"/>
            </w:tcBorders>
            <w:shd w:val="clear" w:color="auto" w:fill="auto"/>
            <w:noWrap/>
            <w:vAlign w:val="center"/>
            <w:hideMark/>
          </w:tcPr>
          <w:p w14:paraId="080AE77F" w14:textId="0695BC1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44.4</w:t>
            </w:r>
          </w:p>
        </w:tc>
        <w:tc>
          <w:tcPr>
            <w:tcW w:w="991" w:type="dxa"/>
            <w:tcBorders>
              <w:top w:val="nil"/>
              <w:left w:val="nil"/>
              <w:bottom w:val="nil"/>
              <w:right w:val="nil"/>
            </w:tcBorders>
            <w:shd w:val="clear" w:color="auto" w:fill="auto"/>
            <w:noWrap/>
            <w:vAlign w:val="center"/>
            <w:hideMark/>
          </w:tcPr>
          <w:p w14:paraId="255F996D" w14:textId="40662808"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21.7</w:t>
            </w:r>
          </w:p>
        </w:tc>
        <w:tc>
          <w:tcPr>
            <w:tcW w:w="1294" w:type="dxa"/>
            <w:tcBorders>
              <w:top w:val="nil"/>
              <w:left w:val="nil"/>
              <w:bottom w:val="nil"/>
              <w:right w:val="single" w:sz="4" w:space="0" w:color="auto"/>
            </w:tcBorders>
            <w:shd w:val="clear" w:color="auto" w:fill="auto"/>
            <w:noWrap/>
            <w:vAlign w:val="center"/>
            <w:hideMark/>
          </w:tcPr>
          <w:p w14:paraId="5F8DBD77" w14:textId="5795A2E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1.4</w:t>
            </w:r>
          </w:p>
        </w:tc>
        <w:tc>
          <w:tcPr>
            <w:tcW w:w="1440" w:type="dxa"/>
            <w:tcBorders>
              <w:top w:val="nil"/>
              <w:left w:val="nil"/>
              <w:bottom w:val="nil"/>
              <w:right w:val="nil"/>
            </w:tcBorders>
            <w:shd w:val="clear" w:color="auto" w:fill="auto"/>
            <w:noWrap/>
            <w:vAlign w:val="center"/>
            <w:hideMark/>
          </w:tcPr>
          <w:p w14:paraId="5BAA7A63" w14:textId="196ED5A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89.8</w:t>
            </w:r>
          </w:p>
        </w:tc>
      </w:tr>
      <w:tr w:rsidR="00C22F1B" w:rsidRPr="00DD2AE2" w14:paraId="24E45D05"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6B006EEE" w14:textId="77777777" w:rsidR="00C22F1B" w:rsidRPr="00B070DA" w:rsidRDefault="00C22F1B"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North</w:t>
            </w:r>
          </w:p>
        </w:tc>
        <w:tc>
          <w:tcPr>
            <w:tcW w:w="1341" w:type="dxa"/>
            <w:tcBorders>
              <w:top w:val="nil"/>
              <w:left w:val="nil"/>
              <w:bottom w:val="single" w:sz="4" w:space="0" w:color="auto"/>
              <w:right w:val="single" w:sz="4" w:space="0" w:color="auto"/>
            </w:tcBorders>
            <w:shd w:val="clear" w:color="auto" w:fill="auto"/>
            <w:noWrap/>
            <w:vAlign w:val="center"/>
            <w:hideMark/>
          </w:tcPr>
          <w:p w14:paraId="0AAC80D3" w14:textId="3347F6D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10.3</w:t>
            </w:r>
          </w:p>
        </w:tc>
        <w:tc>
          <w:tcPr>
            <w:tcW w:w="810" w:type="dxa"/>
            <w:tcBorders>
              <w:top w:val="nil"/>
              <w:left w:val="single" w:sz="4" w:space="0" w:color="auto"/>
              <w:bottom w:val="single" w:sz="4" w:space="0" w:color="auto"/>
            </w:tcBorders>
            <w:shd w:val="clear" w:color="auto" w:fill="auto"/>
            <w:noWrap/>
            <w:vAlign w:val="center"/>
            <w:hideMark/>
          </w:tcPr>
          <w:p w14:paraId="16D6C28C" w14:textId="18F80B4E"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37.3</w:t>
            </w:r>
          </w:p>
        </w:tc>
        <w:tc>
          <w:tcPr>
            <w:tcW w:w="865" w:type="dxa"/>
            <w:tcBorders>
              <w:top w:val="nil"/>
              <w:bottom w:val="single" w:sz="4" w:space="0" w:color="auto"/>
            </w:tcBorders>
            <w:shd w:val="clear" w:color="auto" w:fill="auto"/>
            <w:noWrap/>
            <w:vAlign w:val="center"/>
            <w:hideMark/>
          </w:tcPr>
          <w:p w14:paraId="47F2288F" w14:textId="0303C6F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41.7</w:t>
            </w:r>
          </w:p>
        </w:tc>
        <w:tc>
          <w:tcPr>
            <w:tcW w:w="991" w:type="dxa"/>
            <w:tcBorders>
              <w:top w:val="nil"/>
              <w:left w:val="nil"/>
              <w:bottom w:val="single" w:sz="4" w:space="0" w:color="auto"/>
              <w:right w:val="nil"/>
            </w:tcBorders>
            <w:shd w:val="clear" w:color="auto" w:fill="auto"/>
            <w:noWrap/>
            <w:vAlign w:val="center"/>
            <w:hideMark/>
          </w:tcPr>
          <w:p w14:paraId="300ADC87" w14:textId="1E8F233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19.4</w:t>
            </w:r>
          </w:p>
        </w:tc>
        <w:tc>
          <w:tcPr>
            <w:tcW w:w="1294" w:type="dxa"/>
            <w:tcBorders>
              <w:top w:val="nil"/>
              <w:left w:val="nil"/>
              <w:bottom w:val="single" w:sz="4" w:space="0" w:color="auto"/>
              <w:right w:val="single" w:sz="4" w:space="0" w:color="auto"/>
            </w:tcBorders>
            <w:shd w:val="clear" w:color="auto" w:fill="auto"/>
            <w:noWrap/>
            <w:vAlign w:val="center"/>
            <w:hideMark/>
          </w:tcPr>
          <w:p w14:paraId="2BBAF412" w14:textId="598D961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1.7</w:t>
            </w:r>
          </w:p>
        </w:tc>
        <w:tc>
          <w:tcPr>
            <w:tcW w:w="1440" w:type="dxa"/>
            <w:tcBorders>
              <w:top w:val="nil"/>
              <w:left w:val="nil"/>
              <w:bottom w:val="single" w:sz="4" w:space="0" w:color="auto"/>
              <w:right w:val="nil"/>
            </w:tcBorders>
            <w:shd w:val="clear" w:color="auto" w:fill="auto"/>
            <w:noWrap/>
            <w:vAlign w:val="center"/>
            <w:hideMark/>
          </w:tcPr>
          <w:p w14:paraId="3E3225E3" w14:textId="0842A2E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89.7</w:t>
            </w:r>
          </w:p>
        </w:tc>
      </w:tr>
      <w:tr w:rsidR="008E2A3A" w:rsidRPr="00DD2AE2" w14:paraId="3310B97C"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67D13D57" w14:textId="4987E312" w:rsidR="008E2A3A" w:rsidRPr="00B070DA" w:rsidRDefault="00FD7E50" w:rsidP="00C84B71">
            <w:pPr>
              <w:rPr>
                <w:rFonts w:ascii="Times New Roman" w:eastAsia="Times New Roman" w:hAnsi="Times New Roman" w:cs="Times New Roman"/>
                <w:i/>
                <w:color w:val="000000"/>
              </w:rPr>
            </w:pPr>
            <w:r>
              <w:rPr>
                <w:rFonts w:ascii="Times New Roman" w:eastAsia="Times New Roman" w:hAnsi="Times New Roman" w:cs="Times New Roman"/>
                <w:i/>
                <w:color w:val="000000"/>
              </w:rPr>
              <w:t>South</w:t>
            </w:r>
          </w:p>
        </w:tc>
        <w:tc>
          <w:tcPr>
            <w:tcW w:w="1341" w:type="dxa"/>
            <w:tcBorders>
              <w:top w:val="nil"/>
              <w:left w:val="nil"/>
              <w:bottom w:val="nil"/>
              <w:right w:val="single" w:sz="4" w:space="0" w:color="auto"/>
            </w:tcBorders>
            <w:shd w:val="clear" w:color="auto" w:fill="auto"/>
            <w:noWrap/>
            <w:vAlign w:val="bottom"/>
            <w:hideMark/>
          </w:tcPr>
          <w:p w14:paraId="612B191B" w14:textId="77777777" w:rsidR="008E2A3A" w:rsidRPr="00870D55" w:rsidRDefault="008E2A3A" w:rsidP="00C84B71">
            <w:pPr>
              <w:jc w:val="center"/>
              <w:rPr>
                <w:rFonts w:ascii="Times New Roman" w:eastAsia="Times New Roman" w:hAnsi="Times New Roman" w:cs="Times New Roman"/>
                <w:color w:val="000000"/>
              </w:rPr>
            </w:pPr>
          </w:p>
        </w:tc>
        <w:tc>
          <w:tcPr>
            <w:tcW w:w="810" w:type="dxa"/>
            <w:tcBorders>
              <w:top w:val="nil"/>
              <w:left w:val="single" w:sz="4" w:space="0" w:color="auto"/>
              <w:bottom w:val="nil"/>
            </w:tcBorders>
            <w:shd w:val="clear" w:color="auto" w:fill="auto"/>
            <w:noWrap/>
            <w:vAlign w:val="bottom"/>
            <w:hideMark/>
          </w:tcPr>
          <w:p w14:paraId="4D6F0D3B" w14:textId="77777777" w:rsidR="008E2A3A" w:rsidRPr="00870D55" w:rsidRDefault="008E2A3A" w:rsidP="00C84B71">
            <w:pPr>
              <w:jc w:val="center"/>
              <w:rPr>
                <w:rFonts w:ascii="Times New Roman" w:eastAsia="Times New Roman" w:hAnsi="Times New Roman" w:cs="Times New Roman"/>
              </w:rPr>
            </w:pPr>
          </w:p>
        </w:tc>
        <w:tc>
          <w:tcPr>
            <w:tcW w:w="865" w:type="dxa"/>
            <w:tcBorders>
              <w:top w:val="single" w:sz="4" w:space="0" w:color="auto"/>
            </w:tcBorders>
            <w:shd w:val="clear" w:color="auto" w:fill="auto"/>
            <w:noWrap/>
            <w:vAlign w:val="bottom"/>
            <w:hideMark/>
          </w:tcPr>
          <w:p w14:paraId="385B63E8" w14:textId="77777777" w:rsidR="008E2A3A" w:rsidRPr="00870D55" w:rsidRDefault="008E2A3A" w:rsidP="00C84B71">
            <w:pPr>
              <w:jc w:val="center"/>
              <w:rPr>
                <w:rFonts w:ascii="Times New Roman" w:eastAsia="Times New Roman" w:hAnsi="Times New Roman" w:cs="Times New Roman"/>
              </w:rPr>
            </w:pPr>
          </w:p>
        </w:tc>
        <w:tc>
          <w:tcPr>
            <w:tcW w:w="991" w:type="dxa"/>
            <w:tcBorders>
              <w:top w:val="nil"/>
              <w:left w:val="nil"/>
              <w:bottom w:val="nil"/>
              <w:right w:val="nil"/>
            </w:tcBorders>
            <w:shd w:val="clear" w:color="auto" w:fill="auto"/>
            <w:noWrap/>
            <w:vAlign w:val="bottom"/>
            <w:hideMark/>
          </w:tcPr>
          <w:p w14:paraId="25147C19" w14:textId="77777777" w:rsidR="008E2A3A" w:rsidRPr="00870D55" w:rsidRDefault="008E2A3A" w:rsidP="00C84B71">
            <w:pPr>
              <w:jc w:val="center"/>
              <w:rPr>
                <w:rFonts w:ascii="Times New Roman" w:eastAsia="Times New Roman" w:hAnsi="Times New Roman" w:cs="Times New Roman"/>
              </w:rPr>
            </w:pPr>
          </w:p>
        </w:tc>
        <w:tc>
          <w:tcPr>
            <w:tcW w:w="1294" w:type="dxa"/>
            <w:tcBorders>
              <w:top w:val="nil"/>
              <w:left w:val="nil"/>
              <w:bottom w:val="nil"/>
              <w:right w:val="single" w:sz="4" w:space="0" w:color="auto"/>
            </w:tcBorders>
            <w:shd w:val="clear" w:color="auto" w:fill="auto"/>
            <w:noWrap/>
            <w:vAlign w:val="bottom"/>
            <w:hideMark/>
          </w:tcPr>
          <w:p w14:paraId="1DE98321" w14:textId="7F7033EF" w:rsidR="008E2A3A" w:rsidRPr="00870D55" w:rsidRDefault="008E2A3A" w:rsidP="00C84B71">
            <w:pPr>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2585DBC" w14:textId="77777777" w:rsidR="008E2A3A" w:rsidRPr="00870D55" w:rsidRDefault="008E2A3A" w:rsidP="00C84B71">
            <w:pPr>
              <w:jc w:val="center"/>
              <w:rPr>
                <w:rFonts w:ascii="Times New Roman" w:eastAsia="Times New Roman" w:hAnsi="Times New Roman" w:cs="Times New Roman"/>
                <w:color w:val="000000"/>
              </w:rPr>
            </w:pPr>
          </w:p>
        </w:tc>
      </w:tr>
      <w:tr w:rsidR="00C22F1B" w:rsidRPr="00DD2AE2" w14:paraId="79AE25DC"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23A888C4"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Big city districts</w:t>
            </w:r>
          </w:p>
        </w:tc>
        <w:tc>
          <w:tcPr>
            <w:tcW w:w="1341" w:type="dxa"/>
            <w:tcBorders>
              <w:top w:val="nil"/>
              <w:left w:val="nil"/>
              <w:bottom w:val="nil"/>
              <w:right w:val="single" w:sz="4" w:space="0" w:color="auto"/>
            </w:tcBorders>
            <w:shd w:val="clear" w:color="auto" w:fill="auto"/>
            <w:noWrap/>
            <w:vAlign w:val="center"/>
            <w:hideMark/>
          </w:tcPr>
          <w:p w14:paraId="13937BF5" w14:textId="29A657B6"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87.8</w:t>
            </w:r>
          </w:p>
        </w:tc>
        <w:tc>
          <w:tcPr>
            <w:tcW w:w="810" w:type="dxa"/>
            <w:tcBorders>
              <w:top w:val="nil"/>
              <w:left w:val="single" w:sz="4" w:space="0" w:color="auto"/>
              <w:bottom w:val="nil"/>
            </w:tcBorders>
            <w:shd w:val="clear" w:color="auto" w:fill="auto"/>
            <w:noWrap/>
            <w:vAlign w:val="center"/>
            <w:hideMark/>
          </w:tcPr>
          <w:p w14:paraId="1C0714B0" w14:textId="6D7FB3B0"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90.3</w:t>
            </w:r>
          </w:p>
        </w:tc>
        <w:tc>
          <w:tcPr>
            <w:tcW w:w="865" w:type="dxa"/>
            <w:tcBorders>
              <w:top w:val="nil"/>
              <w:bottom w:val="nil"/>
            </w:tcBorders>
            <w:shd w:val="clear" w:color="auto" w:fill="auto"/>
            <w:noWrap/>
            <w:vAlign w:val="center"/>
            <w:hideMark/>
          </w:tcPr>
          <w:p w14:paraId="56B15DA2" w14:textId="194218EC"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9.7</w:t>
            </w:r>
          </w:p>
        </w:tc>
        <w:tc>
          <w:tcPr>
            <w:tcW w:w="991" w:type="dxa"/>
            <w:tcBorders>
              <w:top w:val="nil"/>
              <w:left w:val="nil"/>
              <w:bottom w:val="nil"/>
              <w:right w:val="nil"/>
            </w:tcBorders>
            <w:shd w:val="clear" w:color="auto" w:fill="auto"/>
            <w:noWrap/>
            <w:vAlign w:val="center"/>
            <w:hideMark/>
          </w:tcPr>
          <w:p w14:paraId="6D61E471" w14:textId="264952D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294" w:type="dxa"/>
            <w:tcBorders>
              <w:top w:val="nil"/>
              <w:left w:val="nil"/>
              <w:bottom w:val="nil"/>
              <w:right w:val="single" w:sz="4" w:space="0" w:color="auto"/>
            </w:tcBorders>
            <w:shd w:val="clear" w:color="auto" w:fill="auto"/>
            <w:noWrap/>
            <w:vAlign w:val="center"/>
            <w:hideMark/>
          </w:tcPr>
          <w:p w14:paraId="5F85C606" w14:textId="6640628E"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440" w:type="dxa"/>
            <w:tcBorders>
              <w:top w:val="nil"/>
              <w:left w:val="nil"/>
              <w:bottom w:val="nil"/>
              <w:right w:val="nil"/>
            </w:tcBorders>
            <w:shd w:val="clear" w:color="auto" w:fill="auto"/>
            <w:noWrap/>
            <w:vAlign w:val="center"/>
            <w:hideMark/>
          </w:tcPr>
          <w:p w14:paraId="2A0AC180" w14:textId="7B2CBE4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12.2</w:t>
            </w:r>
          </w:p>
        </w:tc>
      </w:tr>
      <w:tr w:rsidR="00C22F1B" w:rsidRPr="00DD2AE2" w14:paraId="0DEFB0E2" w14:textId="77777777" w:rsidTr="00BC2AF2">
        <w:trPr>
          <w:trHeight w:val="288"/>
        </w:trPr>
        <w:tc>
          <w:tcPr>
            <w:tcW w:w="2376" w:type="dxa"/>
            <w:tcBorders>
              <w:top w:val="nil"/>
              <w:left w:val="nil"/>
              <w:bottom w:val="nil"/>
              <w:right w:val="single" w:sz="4" w:space="0" w:color="auto"/>
            </w:tcBorders>
            <w:shd w:val="clear" w:color="auto" w:fill="auto"/>
            <w:noWrap/>
            <w:vAlign w:val="bottom"/>
            <w:hideMark/>
          </w:tcPr>
          <w:p w14:paraId="28EF6B60"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03F6FE7F" w14:textId="66DDB4AD"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42.7</w:t>
            </w:r>
          </w:p>
        </w:tc>
        <w:tc>
          <w:tcPr>
            <w:tcW w:w="810" w:type="dxa"/>
            <w:tcBorders>
              <w:top w:val="nil"/>
              <w:left w:val="single" w:sz="4" w:space="0" w:color="auto"/>
              <w:bottom w:val="nil"/>
              <w:right w:val="nil"/>
            </w:tcBorders>
            <w:shd w:val="clear" w:color="auto" w:fill="auto"/>
            <w:noWrap/>
            <w:vAlign w:val="center"/>
            <w:hideMark/>
          </w:tcPr>
          <w:p w14:paraId="358DFF97" w14:textId="7907630D"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61.8</w:t>
            </w:r>
          </w:p>
        </w:tc>
        <w:tc>
          <w:tcPr>
            <w:tcW w:w="865" w:type="dxa"/>
            <w:tcBorders>
              <w:top w:val="nil"/>
              <w:left w:val="nil"/>
              <w:bottom w:val="nil"/>
              <w:right w:val="nil"/>
            </w:tcBorders>
            <w:shd w:val="clear" w:color="auto" w:fill="auto"/>
            <w:noWrap/>
            <w:vAlign w:val="center"/>
            <w:hideMark/>
          </w:tcPr>
          <w:p w14:paraId="23931933" w14:textId="00CCAB12"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24.5</w:t>
            </w:r>
          </w:p>
        </w:tc>
        <w:tc>
          <w:tcPr>
            <w:tcW w:w="991" w:type="dxa"/>
            <w:tcBorders>
              <w:top w:val="nil"/>
              <w:left w:val="nil"/>
              <w:bottom w:val="nil"/>
              <w:right w:val="nil"/>
            </w:tcBorders>
            <w:shd w:val="clear" w:color="auto" w:fill="auto"/>
            <w:noWrap/>
            <w:vAlign w:val="center"/>
            <w:hideMark/>
          </w:tcPr>
          <w:p w14:paraId="5D3A8F18" w14:textId="091997DD"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12.9</w:t>
            </w:r>
          </w:p>
        </w:tc>
        <w:tc>
          <w:tcPr>
            <w:tcW w:w="1294" w:type="dxa"/>
            <w:tcBorders>
              <w:top w:val="nil"/>
              <w:left w:val="nil"/>
              <w:bottom w:val="nil"/>
              <w:right w:val="single" w:sz="4" w:space="0" w:color="auto"/>
            </w:tcBorders>
            <w:shd w:val="clear" w:color="auto" w:fill="auto"/>
            <w:noWrap/>
            <w:vAlign w:val="center"/>
            <w:hideMark/>
          </w:tcPr>
          <w:p w14:paraId="2A907632" w14:textId="78EC179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0.8</w:t>
            </w:r>
          </w:p>
        </w:tc>
        <w:tc>
          <w:tcPr>
            <w:tcW w:w="1440" w:type="dxa"/>
            <w:tcBorders>
              <w:top w:val="nil"/>
              <w:left w:val="nil"/>
              <w:bottom w:val="nil"/>
              <w:right w:val="nil"/>
            </w:tcBorders>
            <w:shd w:val="clear" w:color="auto" w:fill="auto"/>
            <w:noWrap/>
            <w:vAlign w:val="center"/>
            <w:hideMark/>
          </w:tcPr>
          <w:p w14:paraId="031313EA" w14:textId="17F798B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57.3</w:t>
            </w:r>
          </w:p>
        </w:tc>
      </w:tr>
      <w:tr w:rsidR="00C22F1B" w:rsidRPr="00DD2AE2" w14:paraId="072DEEAE" w14:textId="77777777" w:rsidTr="00BC2AF2">
        <w:trPr>
          <w:trHeight w:val="288"/>
        </w:trPr>
        <w:tc>
          <w:tcPr>
            <w:tcW w:w="2376" w:type="dxa"/>
            <w:tcBorders>
              <w:top w:val="nil"/>
              <w:left w:val="nil"/>
              <w:bottom w:val="nil"/>
              <w:right w:val="single" w:sz="4" w:space="0" w:color="auto"/>
            </w:tcBorders>
            <w:shd w:val="clear" w:color="auto" w:fill="auto"/>
            <w:noWrap/>
            <w:vAlign w:val="bottom"/>
            <w:hideMark/>
          </w:tcPr>
          <w:p w14:paraId="3F617C69"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19EE9C5E" w14:textId="7D1803C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35.0</w:t>
            </w:r>
          </w:p>
        </w:tc>
        <w:tc>
          <w:tcPr>
            <w:tcW w:w="810" w:type="dxa"/>
            <w:tcBorders>
              <w:top w:val="nil"/>
              <w:left w:val="single" w:sz="4" w:space="0" w:color="auto"/>
              <w:bottom w:val="nil"/>
              <w:right w:val="nil"/>
            </w:tcBorders>
            <w:shd w:val="clear" w:color="auto" w:fill="auto"/>
            <w:noWrap/>
            <w:vAlign w:val="center"/>
            <w:hideMark/>
          </w:tcPr>
          <w:p w14:paraId="71F17BEA" w14:textId="76F9341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61.6</w:t>
            </w:r>
          </w:p>
        </w:tc>
        <w:tc>
          <w:tcPr>
            <w:tcW w:w="865" w:type="dxa"/>
            <w:tcBorders>
              <w:top w:val="nil"/>
              <w:left w:val="nil"/>
              <w:bottom w:val="nil"/>
              <w:right w:val="nil"/>
            </w:tcBorders>
            <w:shd w:val="clear" w:color="auto" w:fill="auto"/>
            <w:noWrap/>
            <w:vAlign w:val="center"/>
            <w:hideMark/>
          </w:tcPr>
          <w:p w14:paraId="582BC1EF" w14:textId="514F786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29.2</w:t>
            </w:r>
          </w:p>
        </w:tc>
        <w:tc>
          <w:tcPr>
            <w:tcW w:w="991" w:type="dxa"/>
            <w:tcBorders>
              <w:top w:val="nil"/>
              <w:left w:val="nil"/>
              <w:bottom w:val="nil"/>
              <w:right w:val="nil"/>
            </w:tcBorders>
            <w:shd w:val="clear" w:color="auto" w:fill="auto"/>
            <w:noWrap/>
            <w:vAlign w:val="center"/>
            <w:hideMark/>
          </w:tcPr>
          <w:p w14:paraId="21BBC677" w14:textId="27FE681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8.4</w:t>
            </w:r>
          </w:p>
        </w:tc>
        <w:tc>
          <w:tcPr>
            <w:tcW w:w="1294" w:type="dxa"/>
            <w:tcBorders>
              <w:top w:val="nil"/>
              <w:left w:val="nil"/>
              <w:bottom w:val="nil"/>
              <w:right w:val="single" w:sz="4" w:space="0" w:color="auto"/>
            </w:tcBorders>
            <w:shd w:val="clear" w:color="auto" w:fill="auto"/>
            <w:noWrap/>
            <w:vAlign w:val="center"/>
            <w:hideMark/>
          </w:tcPr>
          <w:p w14:paraId="3BB99880" w14:textId="18DE798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0.8</w:t>
            </w:r>
          </w:p>
        </w:tc>
        <w:tc>
          <w:tcPr>
            <w:tcW w:w="1440" w:type="dxa"/>
            <w:tcBorders>
              <w:top w:val="nil"/>
              <w:left w:val="nil"/>
              <w:bottom w:val="nil"/>
              <w:right w:val="nil"/>
            </w:tcBorders>
            <w:shd w:val="clear" w:color="auto" w:fill="auto"/>
            <w:noWrap/>
            <w:vAlign w:val="center"/>
            <w:hideMark/>
          </w:tcPr>
          <w:p w14:paraId="5A1C3519" w14:textId="5F5A4876"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65.0</w:t>
            </w:r>
          </w:p>
        </w:tc>
      </w:tr>
      <w:tr w:rsidR="00C22F1B" w:rsidRPr="00DD2AE2" w14:paraId="439701BC" w14:textId="77777777" w:rsidTr="00BC2AF2">
        <w:trPr>
          <w:trHeight w:val="288"/>
        </w:trPr>
        <w:tc>
          <w:tcPr>
            <w:tcW w:w="2376" w:type="dxa"/>
            <w:tcBorders>
              <w:top w:val="nil"/>
              <w:left w:val="nil"/>
              <w:bottom w:val="nil"/>
              <w:right w:val="single" w:sz="4" w:space="0" w:color="auto"/>
            </w:tcBorders>
            <w:shd w:val="clear" w:color="auto" w:fill="auto"/>
            <w:noWrap/>
            <w:vAlign w:val="bottom"/>
            <w:hideMark/>
          </w:tcPr>
          <w:p w14:paraId="082A4096"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57FC76E2" w14:textId="3E4B357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22.3</w:t>
            </w:r>
          </w:p>
        </w:tc>
        <w:tc>
          <w:tcPr>
            <w:tcW w:w="810" w:type="dxa"/>
            <w:tcBorders>
              <w:top w:val="nil"/>
              <w:left w:val="single" w:sz="4" w:space="0" w:color="auto"/>
              <w:bottom w:val="nil"/>
              <w:right w:val="nil"/>
            </w:tcBorders>
            <w:shd w:val="clear" w:color="auto" w:fill="auto"/>
            <w:noWrap/>
            <w:vAlign w:val="center"/>
            <w:hideMark/>
          </w:tcPr>
          <w:p w14:paraId="0B69A561" w14:textId="6EC99C1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52.2</w:t>
            </w:r>
          </w:p>
        </w:tc>
        <w:tc>
          <w:tcPr>
            <w:tcW w:w="865" w:type="dxa"/>
            <w:tcBorders>
              <w:top w:val="nil"/>
              <w:left w:val="nil"/>
              <w:bottom w:val="nil"/>
              <w:right w:val="nil"/>
            </w:tcBorders>
            <w:shd w:val="clear" w:color="auto" w:fill="auto"/>
            <w:noWrap/>
            <w:vAlign w:val="center"/>
            <w:hideMark/>
          </w:tcPr>
          <w:p w14:paraId="6EFA3594" w14:textId="7F2D54D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34.5</w:t>
            </w:r>
          </w:p>
        </w:tc>
        <w:tc>
          <w:tcPr>
            <w:tcW w:w="991" w:type="dxa"/>
            <w:tcBorders>
              <w:top w:val="nil"/>
              <w:left w:val="nil"/>
              <w:bottom w:val="nil"/>
              <w:right w:val="nil"/>
            </w:tcBorders>
            <w:shd w:val="clear" w:color="auto" w:fill="auto"/>
            <w:noWrap/>
            <w:vAlign w:val="center"/>
            <w:hideMark/>
          </w:tcPr>
          <w:p w14:paraId="0FE66994" w14:textId="22C09B2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13.1</w:t>
            </w:r>
          </w:p>
        </w:tc>
        <w:tc>
          <w:tcPr>
            <w:tcW w:w="1294" w:type="dxa"/>
            <w:tcBorders>
              <w:top w:val="nil"/>
              <w:left w:val="nil"/>
              <w:bottom w:val="nil"/>
              <w:right w:val="single" w:sz="4" w:space="0" w:color="auto"/>
            </w:tcBorders>
            <w:shd w:val="clear" w:color="auto" w:fill="auto"/>
            <w:noWrap/>
            <w:vAlign w:val="center"/>
            <w:hideMark/>
          </w:tcPr>
          <w:p w14:paraId="156CFB28" w14:textId="533251D8"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0.2</w:t>
            </w:r>
          </w:p>
        </w:tc>
        <w:tc>
          <w:tcPr>
            <w:tcW w:w="1440" w:type="dxa"/>
            <w:tcBorders>
              <w:top w:val="nil"/>
              <w:left w:val="nil"/>
              <w:bottom w:val="nil"/>
              <w:right w:val="nil"/>
            </w:tcBorders>
            <w:shd w:val="clear" w:color="auto" w:fill="auto"/>
            <w:noWrap/>
            <w:vAlign w:val="center"/>
            <w:hideMark/>
          </w:tcPr>
          <w:p w14:paraId="10EBDD57" w14:textId="195DEB4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77.7</w:t>
            </w:r>
          </w:p>
        </w:tc>
      </w:tr>
      <w:tr w:rsidR="00C22F1B" w:rsidRPr="00DD2AE2" w14:paraId="00683F83" w14:textId="77777777" w:rsidTr="00BC2AF2">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132A6CCE" w14:textId="77777777" w:rsidR="00C22F1B" w:rsidRPr="00B070DA" w:rsidRDefault="00C22F1B"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South</w:t>
            </w:r>
            <w:r w:rsidRPr="00B070DA">
              <w:rPr>
                <w:rFonts w:ascii="Times New Roman" w:eastAsia="Times New Roman" w:hAnsi="Times New Roman" w:cs="Times New Roman"/>
                <w:color w:val="000000"/>
              </w:rPr>
              <w:t xml:space="preserve"> </w:t>
            </w:r>
          </w:p>
        </w:tc>
        <w:tc>
          <w:tcPr>
            <w:tcW w:w="1341" w:type="dxa"/>
            <w:tcBorders>
              <w:top w:val="nil"/>
              <w:left w:val="nil"/>
              <w:bottom w:val="nil"/>
              <w:right w:val="single" w:sz="4" w:space="0" w:color="auto"/>
            </w:tcBorders>
            <w:shd w:val="clear" w:color="auto" w:fill="auto"/>
            <w:noWrap/>
            <w:vAlign w:val="center"/>
            <w:hideMark/>
          </w:tcPr>
          <w:p w14:paraId="5D9CD6B4" w14:textId="01535440"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28.8</w:t>
            </w:r>
          </w:p>
        </w:tc>
        <w:tc>
          <w:tcPr>
            <w:tcW w:w="810" w:type="dxa"/>
            <w:tcBorders>
              <w:top w:val="nil"/>
              <w:left w:val="single" w:sz="4" w:space="0" w:color="auto"/>
              <w:bottom w:val="nil"/>
              <w:right w:val="nil"/>
            </w:tcBorders>
            <w:shd w:val="clear" w:color="auto" w:fill="auto"/>
            <w:noWrap/>
            <w:vAlign w:val="center"/>
            <w:hideMark/>
          </w:tcPr>
          <w:p w14:paraId="64E5963F" w14:textId="7A897FF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55.8</w:t>
            </w:r>
          </w:p>
        </w:tc>
        <w:tc>
          <w:tcPr>
            <w:tcW w:w="865" w:type="dxa"/>
            <w:tcBorders>
              <w:top w:val="nil"/>
              <w:left w:val="nil"/>
              <w:bottom w:val="nil"/>
              <w:right w:val="nil"/>
            </w:tcBorders>
            <w:shd w:val="clear" w:color="auto" w:fill="auto"/>
            <w:noWrap/>
            <w:vAlign w:val="center"/>
            <w:hideMark/>
          </w:tcPr>
          <w:p w14:paraId="56C1ED71" w14:textId="3EED4A8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32.3</w:t>
            </w:r>
          </w:p>
        </w:tc>
        <w:tc>
          <w:tcPr>
            <w:tcW w:w="991" w:type="dxa"/>
            <w:tcBorders>
              <w:top w:val="nil"/>
              <w:left w:val="nil"/>
              <w:bottom w:val="nil"/>
              <w:right w:val="nil"/>
            </w:tcBorders>
            <w:shd w:val="clear" w:color="auto" w:fill="auto"/>
            <w:noWrap/>
            <w:vAlign w:val="center"/>
            <w:hideMark/>
          </w:tcPr>
          <w:p w14:paraId="68BED9DF" w14:textId="36DDFD6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11.4</w:t>
            </w:r>
          </w:p>
        </w:tc>
        <w:tc>
          <w:tcPr>
            <w:tcW w:w="1294" w:type="dxa"/>
            <w:tcBorders>
              <w:top w:val="nil"/>
              <w:left w:val="nil"/>
              <w:bottom w:val="single" w:sz="4" w:space="0" w:color="auto"/>
              <w:right w:val="single" w:sz="4" w:space="0" w:color="auto"/>
            </w:tcBorders>
            <w:shd w:val="clear" w:color="auto" w:fill="auto"/>
            <w:noWrap/>
            <w:vAlign w:val="center"/>
            <w:hideMark/>
          </w:tcPr>
          <w:p w14:paraId="7CB92756" w14:textId="4EF4DE38"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0.4</w:t>
            </w:r>
          </w:p>
        </w:tc>
        <w:tc>
          <w:tcPr>
            <w:tcW w:w="1440" w:type="dxa"/>
            <w:tcBorders>
              <w:top w:val="nil"/>
              <w:left w:val="nil"/>
              <w:bottom w:val="nil"/>
              <w:right w:val="nil"/>
            </w:tcBorders>
            <w:shd w:val="clear" w:color="auto" w:fill="auto"/>
            <w:noWrap/>
            <w:vAlign w:val="center"/>
            <w:hideMark/>
          </w:tcPr>
          <w:p w14:paraId="6626FA96" w14:textId="005E79CE"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71.2</w:t>
            </w:r>
          </w:p>
        </w:tc>
      </w:tr>
      <w:tr w:rsidR="00C22F1B" w:rsidRPr="00DD2AE2" w14:paraId="519C35EB" w14:textId="77777777" w:rsidTr="00BC2AF2">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3A593119"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National</w:t>
            </w:r>
            <w:r>
              <w:rPr>
                <w:rFonts w:ascii="Times New Roman" w:eastAsia="Times New Roman" w:hAnsi="Times New Roman" w:cs="Times New Roman"/>
                <w:color w:val="000000"/>
              </w:rPr>
              <w:t xml:space="preserve"> total</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14:paraId="0ABD61E1" w14:textId="3F467A5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23.2</w:t>
            </w:r>
          </w:p>
        </w:tc>
        <w:tc>
          <w:tcPr>
            <w:tcW w:w="810" w:type="dxa"/>
            <w:tcBorders>
              <w:top w:val="single" w:sz="4" w:space="0" w:color="auto"/>
              <w:left w:val="single" w:sz="4" w:space="0" w:color="auto"/>
              <w:bottom w:val="single" w:sz="4" w:space="0" w:color="auto"/>
              <w:right w:val="nil"/>
            </w:tcBorders>
            <w:shd w:val="clear" w:color="auto" w:fill="auto"/>
            <w:noWrap/>
            <w:vAlign w:val="center"/>
            <w:hideMark/>
          </w:tcPr>
          <w:p w14:paraId="1E60B5C7" w14:textId="731E543B"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49.3</w:t>
            </w:r>
          </w:p>
        </w:tc>
        <w:tc>
          <w:tcPr>
            <w:tcW w:w="865" w:type="dxa"/>
            <w:tcBorders>
              <w:top w:val="single" w:sz="4" w:space="0" w:color="auto"/>
              <w:left w:val="nil"/>
              <w:bottom w:val="single" w:sz="4" w:space="0" w:color="auto"/>
              <w:right w:val="nil"/>
            </w:tcBorders>
            <w:shd w:val="clear" w:color="auto" w:fill="auto"/>
            <w:noWrap/>
            <w:vAlign w:val="center"/>
            <w:hideMark/>
          </w:tcPr>
          <w:p w14:paraId="7F2A603E" w14:textId="23A144A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35.6</w:t>
            </w:r>
          </w:p>
        </w:tc>
        <w:tc>
          <w:tcPr>
            <w:tcW w:w="991" w:type="dxa"/>
            <w:tcBorders>
              <w:top w:val="single" w:sz="4" w:space="0" w:color="auto"/>
              <w:left w:val="nil"/>
              <w:bottom w:val="single" w:sz="4" w:space="0" w:color="auto"/>
              <w:right w:val="nil"/>
            </w:tcBorders>
            <w:shd w:val="clear" w:color="auto" w:fill="auto"/>
            <w:noWrap/>
            <w:vAlign w:val="center"/>
            <w:hideMark/>
          </w:tcPr>
          <w:p w14:paraId="17BB1945" w14:textId="58B9362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14.2</w:t>
            </w:r>
          </w:p>
        </w:tc>
        <w:tc>
          <w:tcPr>
            <w:tcW w:w="1294" w:type="dxa"/>
            <w:tcBorders>
              <w:top w:val="nil"/>
              <w:left w:val="nil"/>
              <w:bottom w:val="single" w:sz="4" w:space="0" w:color="auto"/>
              <w:right w:val="single" w:sz="4" w:space="0" w:color="auto"/>
            </w:tcBorders>
            <w:shd w:val="clear" w:color="auto" w:fill="auto"/>
            <w:noWrap/>
            <w:vAlign w:val="center"/>
            <w:hideMark/>
          </w:tcPr>
          <w:p w14:paraId="7FC53185" w14:textId="5BA6377C"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0.9</w:t>
            </w:r>
          </w:p>
        </w:tc>
        <w:tc>
          <w:tcPr>
            <w:tcW w:w="1440" w:type="dxa"/>
            <w:tcBorders>
              <w:top w:val="single" w:sz="4" w:space="0" w:color="auto"/>
              <w:left w:val="nil"/>
              <w:bottom w:val="single" w:sz="4" w:space="0" w:color="auto"/>
              <w:right w:val="nil"/>
            </w:tcBorders>
            <w:shd w:val="clear" w:color="auto" w:fill="auto"/>
            <w:noWrap/>
            <w:vAlign w:val="center"/>
            <w:hideMark/>
          </w:tcPr>
          <w:p w14:paraId="4B09CA21" w14:textId="543544B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76.8</w:t>
            </w:r>
          </w:p>
        </w:tc>
      </w:tr>
    </w:tbl>
    <w:p w14:paraId="70CD61B8" w14:textId="77777777" w:rsidR="008E2A3A" w:rsidRPr="00550946" w:rsidRDefault="008E2A3A"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Note: Land is defined as cultivated farmland</w:t>
      </w:r>
    </w:p>
    <w:p w14:paraId="122AB886" w14:textId="77777777" w:rsidR="008E2A3A" w:rsidRPr="00550946" w:rsidRDefault="008E2A3A"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Source: Authors’ calculation using data of GLSS6 (GSS 2015)</w:t>
      </w:r>
    </w:p>
    <w:p w14:paraId="49C064D2" w14:textId="4B304CDE" w:rsidR="008A2F22" w:rsidRDefault="008E2A3A" w:rsidP="00EF7FD9">
      <w:pPr>
        <w:spacing w:after="240" w:line="240" w:lineRule="auto"/>
        <w:jc w:val="both"/>
        <w:rPr>
          <w:rFonts w:ascii="Times New Roman" w:hAnsi="Times New Roman" w:cs="Times New Roman"/>
          <w:sz w:val="24"/>
          <w:szCs w:val="24"/>
        </w:rPr>
      </w:pPr>
      <w:r w:rsidRPr="00550946">
        <w:rPr>
          <w:rFonts w:ascii="Times New Roman" w:hAnsi="Times New Roman" w:cs="Times New Roman"/>
          <w:sz w:val="20"/>
          <w:szCs w:val="20"/>
          <w:highlight w:val="yellow"/>
        </w:rPr>
        <w:t>The excel file is in Daily\2015\GSSP\youth\</w:t>
      </w:r>
      <w:proofErr w:type="spellStart"/>
      <w:r w:rsidRPr="00550946">
        <w:rPr>
          <w:rFonts w:ascii="Times New Roman" w:hAnsi="Times New Roman" w:cs="Times New Roman"/>
          <w:sz w:val="20"/>
          <w:szCs w:val="20"/>
          <w:highlight w:val="yellow"/>
        </w:rPr>
        <w:t>land&amp;input</w:t>
      </w:r>
      <w:proofErr w:type="spellEnd"/>
      <w:r w:rsidRPr="00550946">
        <w:rPr>
          <w:rFonts w:ascii="Times New Roman" w:hAnsi="Times New Roman" w:cs="Times New Roman"/>
          <w:sz w:val="20"/>
          <w:szCs w:val="20"/>
          <w:highlight w:val="yellow"/>
        </w:rPr>
        <w:t>\</w:t>
      </w:r>
      <w:proofErr w:type="spellStart"/>
      <w:proofErr w:type="gramStart"/>
      <w:r w:rsidRPr="00550946">
        <w:rPr>
          <w:rFonts w:ascii="Times New Roman" w:hAnsi="Times New Roman" w:cs="Times New Roman"/>
          <w:sz w:val="20"/>
          <w:szCs w:val="20"/>
          <w:highlight w:val="yellow"/>
        </w:rPr>
        <w:t>landinputcosts</w:t>
      </w:r>
      <w:proofErr w:type="spellEnd"/>
      <w:r w:rsidRPr="00550946">
        <w:rPr>
          <w:rFonts w:ascii="Times New Roman" w:hAnsi="Times New Roman" w:cs="Times New Roman"/>
          <w:sz w:val="20"/>
          <w:szCs w:val="20"/>
          <w:highlight w:val="yellow"/>
        </w:rPr>
        <w:t>(</w:t>
      </w:r>
      <w:proofErr w:type="gramEnd"/>
      <w:r w:rsidRPr="00550946">
        <w:rPr>
          <w:rFonts w:ascii="Times New Roman" w:hAnsi="Times New Roman" w:cs="Times New Roman"/>
          <w:sz w:val="20"/>
          <w:szCs w:val="20"/>
          <w:highlight w:val="yellow"/>
        </w:rPr>
        <w:t>Oct10-2016)_new types reg.xlsx, sheet “5</w:t>
      </w:r>
      <w:r w:rsidR="00B7735A" w:rsidRPr="00550946">
        <w:rPr>
          <w:rFonts w:ascii="Times New Roman" w:hAnsi="Times New Roman" w:cs="Times New Roman"/>
          <w:sz w:val="20"/>
          <w:szCs w:val="20"/>
          <w:highlight w:val="yellow"/>
        </w:rPr>
        <w:t>.4b</w:t>
      </w:r>
      <w:r w:rsidRPr="00550946">
        <w:rPr>
          <w:rFonts w:ascii="Times New Roman" w:hAnsi="Times New Roman" w:cs="Times New Roman"/>
          <w:sz w:val="20"/>
          <w:szCs w:val="20"/>
          <w:highlight w:val="yellow"/>
        </w:rPr>
        <w:t>”</w:t>
      </w:r>
      <w:r w:rsidRPr="00550946" w:rsidDel="008E2A3A">
        <w:rPr>
          <w:rFonts w:ascii="Times New Roman" w:hAnsi="Times New Roman" w:cs="Times New Roman"/>
          <w:sz w:val="20"/>
          <w:szCs w:val="20"/>
        </w:rPr>
        <w:t xml:space="preserve"> </w:t>
      </w:r>
      <w:r w:rsidR="005C235E" w:rsidRPr="00550946">
        <w:rPr>
          <w:rFonts w:ascii="Times New Roman" w:hAnsi="Times New Roman" w:cs="Times New Roman"/>
          <w:sz w:val="20"/>
          <w:szCs w:val="20"/>
        </w:rPr>
        <w:t xml:space="preserve"> </w:t>
      </w:r>
    </w:p>
    <w:p w14:paraId="1C6DCF56" w14:textId="7F13EDFC" w:rsidR="008A2F22" w:rsidRPr="004A3F04" w:rsidRDefault="00791462" w:rsidP="00C84B7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However, t</w:t>
      </w:r>
      <w:r w:rsidR="008A2F22" w:rsidRPr="004A3F04">
        <w:rPr>
          <w:rFonts w:ascii="Times New Roman" w:hAnsi="Times New Roman" w:cs="Times New Roman"/>
          <w:sz w:val="24"/>
          <w:szCs w:val="24"/>
        </w:rPr>
        <w:t xml:space="preserve">hese changes </w:t>
      </w:r>
      <w:r>
        <w:rPr>
          <w:rFonts w:ascii="Times New Roman" w:hAnsi="Times New Roman" w:cs="Times New Roman"/>
          <w:sz w:val="24"/>
          <w:szCs w:val="24"/>
        </w:rPr>
        <w:t>in the distribution of rural households by farm size seem not</w:t>
      </w:r>
      <w:r w:rsidR="00FD7E50">
        <w:rPr>
          <w:rFonts w:ascii="Times New Roman" w:hAnsi="Times New Roman" w:cs="Times New Roman"/>
          <w:sz w:val="24"/>
          <w:szCs w:val="24"/>
        </w:rPr>
        <w:t xml:space="preserve"> to have</w:t>
      </w:r>
      <w:r>
        <w:rPr>
          <w:rFonts w:ascii="Times New Roman" w:hAnsi="Times New Roman" w:cs="Times New Roman"/>
          <w:sz w:val="24"/>
          <w:szCs w:val="24"/>
        </w:rPr>
        <w:t xml:space="preserve"> </w:t>
      </w:r>
      <w:r w:rsidR="00C41C88">
        <w:rPr>
          <w:rFonts w:ascii="Times New Roman" w:hAnsi="Times New Roman" w:cs="Times New Roman"/>
          <w:sz w:val="24"/>
          <w:szCs w:val="24"/>
        </w:rPr>
        <w:t>affect</w:t>
      </w:r>
      <w:r w:rsidR="00FD7E50">
        <w:rPr>
          <w:rFonts w:ascii="Times New Roman" w:hAnsi="Times New Roman" w:cs="Times New Roman"/>
          <w:sz w:val="24"/>
          <w:szCs w:val="24"/>
        </w:rPr>
        <w:t>ed</w:t>
      </w:r>
      <w:r w:rsidR="00C41C88">
        <w:rPr>
          <w:rFonts w:ascii="Times New Roman" w:hAnsi="Times New Roman" w:cs="Times New Roman"/>
          <w:sz w:val="24"/>
          <w:szCs w:val="24"/>
        </w:rPr>
        <w:t xml:space="preserve"> the average farm sizes of small, medium and large farms</w:t>
      </w:r>
      <w:r w:rsidR="008A2F22" w:rsidRPr="004A3F04">
        <w:rPr>
          <w:rFonts w:ascii="Times New Roman" w:hAnsi="Times New Roman" w:cs="Times New Roman"/>
          <w:sz w:val="24"/>
          <w:szCs w:val="24"/>
        </w:rPr>
        <w:t xml:space="preserve"> (Figure </w:t>
      </w:r>
      <w:r w:rsidR="00D52F18">
        <w:rPr>
          <w:rFonts w:ascii="Times New Roman" w:hAnsi="Times New Roman" w:cs="Times New Roman"/>
          <w:sz w:val="24"/>
          <w:szCs w:val="24"/>
        </w:rPr>
        <w:t>9</w:t>
      </w:r>
      <w:r w:rsidR="00677E74">
        <w:rPr>
          <w:rFonts w:ascii="Times New Roman" w:hAnsi="Times New Roman" w:cs="Times New Roman"/>
          <w:sz w:val="24"/>
          <w:szCs w:val="24"/>
        </w:rPr>
        <w:t>.5</w:t>
      </w:r>
      <w:r w:rsidR="008A2F22" w:rsidRPr="004A3F04">
        <w:rPr>
          <w:rFonts w:ascii="Times New Roman" w:hAnsi="Times New Roman" w:cs="Times New Roman"/>
          <w:sz w:val="24"/>
          <w:szCs w:val="24"/>
        </w:rPr>
        <w:t xml:space="preserve">). </w:t>
      </w:r>
      <w:r>
        <w:rPr>
          <w:rFonts w:ascii="Times New Roman" w:hAnsi="Times New Roman" w:cs="Times New Roman"/>
          <w:sz w:val="24"/>
          <w:szCs w:val="24"/>
        </w:rPr>
        <w:t>The</w:t>
      </w:r>
      <w:r w:rsidRPr="004A3F04">
        <w:rPr>
          <w:rFonts w:ascii="Times New Roman" w:hAnsi="Times New Roman" w:cs="Times New Roman"/>
          <w:sz w:val="24"/>
          <w:szCs w:val="24"/>
        </w:rPr>
        <w:t xml:space="preserve"> </w:t>
      </w:r>
      <w:r w:rsidR="008A2F22" w:rsidRPr="004A3F04">
        <w:rPr>
          <w:rFonts w:ascii="Times New Roman" w:hAnsi="Times New Roman" w:cs="Times New Roman"/>
          <w:sz w:val="24"/>
          <w:szCs w:val="24"/>
        </w:rPr>
        <w:t>average</w:t>
      </w:r>
      <w:r>
        <w:rPr>
          <w:rFonts w:ascii="Times New Roman" w:hAnsi="Times New Roman" w:cs="Times New Roman"/>
          <w:sz w:val="24"/>
          <w:szCs w:val="24"/>
        </w:rPr>
        <w:t xml:space="preserve"> farm size for</w:t>
      </w:r>
      <w:r w:rsidR="008A2F22" w:rsidRPr="004A3F0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A2F22" w:rsidRPr="004A3F04">
        <w:rPr>
          <w:rFonts w:ascii="Times New Roman" w:hAnsi="Times New Roman" w:cs="Times New Roman"/>
          <w:sz w:val="24"/>
          <w:szCs w:val="24"/>
        </w:rPr>
        <w:t xml:space="preserve">small farms </w:t>
      </w:r>
      <w:r>
        <w:rPr>
          <w:rFonts w:ascii="Times New Roman" w:hAnsi="Times New Roman" w:cs="Times New Roman"/>
          <w:sz w:val="24"/>
          <w:szCs w:val="24"/>
        </w:rPr>
        <w:t xml:space="preserve">with </w:t>
      </w:r>
      <w:r w:rsidR="008A2F22" w:rsidRPr="004A3F04">
        <w:rPr>
          <w:rFonts w:ascii="Times New Roman" w:hAnsi="Times New Roman" w:cs="Times New Roman"/>
          <w:sz w:val="24"/>
          <w:szCs w:val="24"/>
        </w:rPr>
        <w:t xml:space="preserve">less </w:t>
      </w:r>
      <w:r w:rsidR="00BB5E32">
        <w:rPr>
          <w:rFonts w:ascii="Times New Roman" w:hAnsi="Times New Roman" w:cs="Times New Roman"/>
          <w:sz w:val="24"/>
          <w:szCs w:val="24"/>
        </w:rPr>
        <w:t xml:space="preserve">than </w:t>
      </w:r>
      <w:r w:rsidR="008A2F22" w:rsidRPr="004A3F04">
        <w:rPr>
          <w:rFonts w:ascii="Times New Roman" w:hAnsi="Times New Roman" w:cs="Times New Roman"/>
          <w:sz w:val="24"/>
          <w:szCs w:val="24"/>
        </w:rPr>
        <w:t xml:space="preserve">2 ha </w:t>
      </w:r>
      <w:r>
        <w:rPr>
          <w:rFonts w:ascii="Times New Roman" w:hAnsi="Times New Roman" w:cs="Times New Roman"/>
          <w:sz w:val="24"/>
          <w:szCs w:val="24"/>
        </w:rPr>
        <w:t xml:space="preserve">is about 0.91 and 0.95 ha in </w:t>
      </w:r>
      <w:r w:rsidR="00BB5E32">
        <w:rPr>
          <w:rFonts w:ascii="Times New Roman" w:hAnsi="Times New Roman" w:cs="Times New Roman"/>
          <w:sz w:val="24"/>
          <w:szCs w:val="24"/>
        </w:rPr>
        <w:t>2005 (</w:t>
      </w:r>
      <w:r>
        <w:rPr>
          <w:rFonts w:ascii="Times New Roman" w:hAnsi="Times New Roman" w:cs="Times New Roman"/>
          <w:sz w:val="24"/>
          <w:szCs w:val="24"/>
        </w:rPr>
        <w:t>GLSS5</w:t>
      </w:r>
      <w:r w:rsidR="00BB5E32">
        <w:rPr>
          <w:rFonts w:ascii="Times New Roman" w:hAnsi="Times New Roman" w:cs="Times New Roman"/>
          <w:sz w:val="24"/>
          <w:szCs w:val="24"/>
        </w:rPr>
        <w:t>)</w:t>
      </w:r>
      <w:r>
        <w:rPr>
          <w:rFonts w:ascii="Times New Roman" w:hAnsi="Times New Roman" w:cs="Times New Roman"/>
          <w:sz w:val="24"/>
          <w:szCs w:val="24"/>
        </w:rPr>
        <w:t xml:space="preserve"> and </w:t>
      </w:r>
      <w:r w:rsidR="00BB5E32">
        <w:rPr>
          <w:rFonts w:ascii="Times New Roman" w:hAnsi="Times New Roman" w:cs="Times New Roman"/>
          <w:sz w:val="24"/>
          <w:szCs w:val="24"/>
        </w:rPr>
        <w:t>2012 (</w:t>
      </w:r>
      <w:r>
        <w:rPr>
          <w:rFonts w:ascii="Times New Roman" w:hAnsi="Times New Roman" w:cs="Times New Roman"/>
          <w:sz w:val="24"/>
          <w:szCs w:val="24"/>
        </w:rPr>
        <w:t>GLSS6</w:t>
      </w:r>
      <w:r w:rsidR="00BB5E32">
        <w:rPr>
          <w:rFonts w:ascii="Times New Roman" w:hAnsi="Times New Roman" w:cs="Times New Roman"/>
          <w:sz w:val="24"/>
          <w:szCs w:val="24"/>
        </w:rPr>
        <w:t>)</w:t>
      </w:r>
      <w:r>
        <w:rPr>
          <w:rFonts w:ascii="Times New Roman" w:hAnsi="Times New Roman" w:cs="Times New Roman"/>
          <w:sz w:val="24"/>
          <w:szCs w:val="24"/>
        </w:rPr>
        <w:t>, respectively at the national level, and 3.02 ha and 3.05 ha for the farm size group of 2-5ha in these two rounds of the surveys</w:t>
      </w:r>
      <w:r w:rsidR="008A2F22" w:rsidRPr="004A3F04">
        <w:rPr>
          <w:rFonts w:ascii="Times New Roman" w:hAnsi="Times New Roman" w:cs="Times New Roman"/>
          <w:sz w:val="24"/>
          <w:szCs w:val="24"/>
        </w:rPr>
        <w:t>, while farms of 5-20 ha in size have become marginally smaller on average.</w:t>
      </w:r>
      <w:r>
        <w:rPr>
          <w:rFonts w:ascii="Times New Roman" w:hAnsi="Times New Roman" w:cs="Times New Roman"/>
          <w:sz w:val="24"/>
          <w:szCs w:val="24"/>
        </w:rPr>
        <w:t xml:space="preserve"> These trends are similar for both types of regions. </w:t>
      </w:r>
    </w:p>
    <w:p w14:paraId="0C86DC20" w14:textId="77777777" w:rsidR="00677E74" w:rsidRDefault="00677E74" w:rsidP="00EF7FD9">
      <w:pPr>
        <w:jc w:val="both"/>
        <w:rPr>
          <w:rFonts w:ascii="Times New Roman" w:hAnsi="Times New Roman" w:cs="Times New Roman"/>
        </w:rPr>
      </w:pPr>
    </w:p>
    <w:p w14:paraId="1512E5E6" w14:textId="3A9DE49E" w:rsidR="008A2F22" w:rsidRPr="00DD3D68" w:rsidRDefault="008A2F22" w:rsidP="00EF7FD9">
      <w:pPr>
        <w:jc w:val="both"/>
        <w:rPr>
          <w:rFonts w:ascii="Times New Roman" w:hAnsi="Times New Roman" w:cs="Times New Roman"/>
          <w:b/>
        </w:rPr>
      </w:pPr>
      <w:r w:rsidRPr="00FC1B5D">
        <w:rPr>
          <w:rFonts w:ascii="Times New Roman" w:hAnsi="Times New Roman" w:cs="Times New Roman"/>
        </w:rPr>
        <w:t xml:space="preserve">Figure </w:t>
      </w:r>
      <w:r w:rsidR="00D52F18">
        <w:rPr>
          <w:rFonts w:ascii="Times New Roman" w:hAnsi="Times New Roman" w:cs="Times New Roman"/>
        </w:rPr>
        <w:t>9</w:t>
      </w:r>
      <w:r w:rsidR="00DD3D68" w:rsidRPr="00FC1B5D">
        <w:rPr>
          <w:rFonts w:ascii="Times New Roman" w:hAnsi="Times New Roman" w:cs="Times New Roman"/>
        </w:rPr>
        <w:t>.5</w:t>
      </w:r>
      <w:r w:rsidRPr="00FC1B5D">
        <w:rPr>
          <w:rFonts w:ascii="Times New Roman" w:hAnsi="Times New Roman" w:cs="Times New Roman"/>
        </w:rPr>
        <w:t xml:space="preserve">. Average farm size (ha) </w:t>
      </w:r>
      <w:r w:rsidR="002A0930" w:rsidRPr="00FC1B5D">
        <w:rPr>
          <w:rFonts w:ascii="Times New Roman" w:hAnsi="Times New Roman" w:cs="Times New Roman"/>
        </w:rPr>
        <w:t>by</w:t>
      </w:r>
      <w:r w:rsidRPr="00FC1B5D">
        <w:rPr>
          <w:rFonts w:ascii="Times New Roman" w:hAnsi="Times New Roman" w:cs="Times New Roman"/>
        </w:rPr>
        <w:t xml:space="preserve"> farm size group</w:t>
      </w:r>
      <w:r w:rsidR="002A0930" w:rsidRPr="00FC1B5D">
        <w:rPr>
          <w:rFonts w:ascii="Times New Roman" w:hAnsi="Times New Roman" w:cs="Times New Roman"/>
        </w:rPr>
        <w:t>, rural households, 2005/06 and 2012/13</w:t>
      </w:r>
    </w:p>
    <w:p w14:paraId="74E8A779" w14:textId="1EB210A7" w:rsidR="008A2F22" w:rsidRDefault="00E87012" w:rsidP="00EF7FD9">
      <w:pPr>
        <w:spacing w:after="240"/>
        <w:ind w:firstLine="360"/>
        <w:jc w:val="both"/>
        <w:rPr>
          <w:rFonts w:ascii="Times New Roman" w:hAnsi="Times New Roman" w:cs="Times New Roman"/>
          <w:sz w:val="24"/>
          <w:szCs w:val="24"/>
        </w:rPr>
      </w:pPr>
      <w:r w:rsidRPr="00E87012">
        <w:rPr>
          <w:noProof/>
          <w:lang w:eastAsia="zh-CN"/>
        </w:rPr>
        <w:t xml:space="preserve"> </w:t>
      </w:r>
      <w:r>
        <w:rPr>
          <w:noProof/>
        </w:rPr>
        <w:drawing>
          <wp:inline distT="0" distB="0" distL="0" distR="0" wp14:anchorId="4F11D9D6" wp14:editId="72CC2331">
            <wp:extent cx="4895850" cy="28003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371636" w14:textId="47607158" w:rsidR="008A2F22" w:rsidRPr="00550946" w:rsidRDefault="008A2F22" w:rsidP="00EF7FD9">
      <w:pPr>
        <w:ind w:left="810" w:hanging="810"/>
        <w:jc w:val="both"/>
        <w:rPr>
          <w:rFonts w:ascii="Times New Roman" w:hAnsi="Times New Roman" w:cs="Times New Roman"/>
          <w:sz w:val="20"/>
          <w:szCs w:val="20"/>
        </w:rPr>
      </w:pPr>
      <w:r w:rsidRPr="00550946">
        <w:rPr>
          <w:rFonts w:ascii="Times New Roman" w:hAnsi="Times New Roman" w:cs="Times New Roman"/>
          <w:sz w:val="20"/>
          <w:szCs w:val="20"/>
        </w:rPr>
        <w:lastRenderedPageBreak/>
        <w:t xml:space="preserve">       Note: Farm size is defined according to cultivated farmland and only rural households with cultivated farmland are counted.</w:t>
      </w:r>
    </w:p>
    <w:p w14:paraId="5680D160" w14:textId="77777777" w:rsidR="002C246E" w:rsidRPr="00550946" w:rsidRDefault="008A2F22" w:rsidP="00EF7FD9">
      <w:pPr>
        <w:ind w:left="360"/>
        <w:jc w:val="both"/>
        <w:rPr>
          <w:rFonts w:ascii="Times New Roman" w:hAnsi="Times New Roman" w:cs="Times New Roman"/>
          <w:sz w:val="20"/>
          <w:szCs w:val="20"/>
        </w:rPr>
      </w:pPr>
      <w:r w:rsidRPr="00550946">
        <w:rPr>
          <w:rFonts w:ascii="Times New Roman" w:hAnsi="Times New Roman" w:cs="Times New Roman"/>
          <w:sz w:val="20"/>
          <w:szCs w:val="20"/>
        </w:rPr>
        <w:t>Source: Authors’ calculation using GLSS5 and GLSS6 (GSS</w:t>
      </w:r>
      <w:r w:rsidR="00E63B8C" w:rsidRPr="00550946">
        <w:rPr>
          <w:rFonts w:ascii="Times New Roman" w:hAnsi="Times New Roman" w:cs="Times New Roman"/>
          <w:sz w:val="20"/>
          <w:szCs w:val="20"/>
        </w:rPr>
        <w:t xml:space="preserve"> 2008; 2014</w:t>
      </w:r>
      <w:r w:rsidRPr="00550946">
        <w:rPr>
          <w:rFonts w:ascii="Times New Roman" w:hAnsi="Times New Roman" w:cs="Times New Roman"/>
          <w:sz w:val="20"/>
          <w:szCs w:val="20"/>
        </w:rPr>
        <w:t>)</w:t>
      </w:r>
      <w:r w:rsidR="002C246E" w:rsidRPr="00550946">
        <w:rPr>
          <w:rFonts w:ascii="Times New Roman" w:hAnsi="Times New Roman" w:cs="Times New Roman"/>
          <w:sz w:val="20"/>
          <w:szCs w:val="20"/>
        </w:rPr>
        <w:t xml:space="preserve"> </w:t>
      </w:r>
    </w:p>
    <w:p w14:paraId="47D8EBB7" w14:textId="6704C699" w:rsidR="002C246E" w:rsidRPr="00550946" w:rsidRDefault="002C246E" w:rsidP="00EF7FD9">
      <w:pPr>
        <w:spacing w:after="240"/>
        <w:jc w:val="both"/>
        <w:rPr>
          <w:rFonts w:ascii="Times New Roman" w:hAnsi="Times New Roman" w:cs="Times New Roman"/>
          <w:sz w:val="24"/>
          <w:szCs w:val="24"/>
        </w:rPr>
      </w:pPr>
      <w:r w:rsidRPr="00550946">
        <w:rPr>
          <w:rFonts w:ascii="Times New Roman" w:hAnsi="Times New Roman" w:cs="Times New Roman"/>
          <w:sz w:val="20"/>
          <w:szCs w:val="20"/>
          <w:highlight w:val="yellow"/>
        </w:rPr>
        <w:t>The excel file is in Daily\2015\GSSP\youth\land&amp;input\</w:t>
      </w:r>
      <w:proofErr w:type="gramStart"/>
      <w:r w:rsidRPr="00550946">
        <w:rPr>
          <w:rFonts w:ascii="Times New Roman" w:hAnsi="Times New Roman" w:cs="Times New Roman"/>
          <w:sz w:val="20"/>
          <w:szCs w:val="20"/>
          <w:highlight w:val="yellow"/>
        </w:rPr>
        <w:t>l</w:t>
      </w:r>
      <w:r w:rsidR="00CC770A" w:rsidRPr="00550946">
        <w:rPr>
          <w:rFonts w:ascii="Times New Roman" w:hAnsi="Times New Roman" w:cs="Times New Roman"/>
          <w:sz w:val="20"/>
          <w:szCs w:val="20"/>
          <w:highlight w:val="yellow"/>
        </w:rPr>
        <w:t>andinputcosts(</w:t>
      </w:r>
      <w:proofErr w:type="gramEnd"/>
      <w:r w:rsidR="00CC770A" w:rsidRPr="00550946">
        <w:rPr>
          <w:rFonts w:ascii="Times New Roman" w:hAnsi="Times New Roman" w:cs="Times New Roman"/>
          <w:sz w:val="20"/>
          <w:szCs w:val="20"/>
          <w:highlight w:val="yellow"/>
        </w:rPr>
        <w:t>Sep</w:t>
      </w:r>
      <w:r w:rsidR="00EA6630" w:rsidRPr="00550946">
        <w:rPr>
          <w:rFonts w:ascii="Times New Roman" w:hAnsi="Times New Roman" w:cs="Times New Roman"/>
          <w:sz w:val="20"/>
          <w:szCs w:val="20"/>
          <w:highlight w:val="yellow"/>
        </w:rPr>
        <w:t>cot10</w:t>
      </w:r>
      <w:r w:rsidRPr="00550946">
        <w:rPr>
          <w:rFonts w:ascii="Times New Roman" w:hAnsi="Times New Roman" w:cs="Times New Roman"/>
          <w:sz w:val="20"/>
          <w:szCs w:val="20"/>
          <w:highlight w:val="yellow"/>
        </w:rPr>
        <w:t>-2016)</w:t>
      </w:r>
      <w:r w:rsidR="00EA6630" w:rsidRPr="00550946">
        <w:rPr>
          <w:rFonts w:ascii="Times New Roman" w:hAnsi="Times New Roman" w:cs="Times New Roman"/>
          <w:sz w:val="20"/>
          <w:szCs w:val="20"/>
          <w:highlight w:val="yellow"/>
        </w:rPr>
        <w:t>-new types reg</w:t>
      </w:r>
      <w:r w:rsidRPr="00550946">
        <w:rPr>
          <w:rFonts w:ascii="Times New Roman" w:hAnsi="Times New Roman" w:cs="Times New Roman"/>
          <w:sz w:val="20"/>
          <w:szCs w:val="20"/>
          <w:highlight w:val="yellow"/>
        </w:rPr>
        <w:t>.xlsx, sheet “</w:t>
      </w:r>
      <w:r w:rsidR="00EA6630" w:rsidRPr="00550946">
        <w:rPr>
          <w:rFonts w:ascii="Times New Roman" w:hAnsi="Times New Roman" w:cs="Times New Roman"/>
          <w:sz w:val="20"/>
          <w:szCs w:val="20"/>
          <w:highlight w:val="yellow"/>
        </w:rPr>
        <w:t>fig5.5</w:t>
      </w:r>
      <w:r w:rsidRPr="00550946">
        <w:rPr>
          <w:rFonts w:ascii="Times New Roman" w:hAnsi="Times New Roman" w:cs="Times New Roman"/>
          <w:sz w:val="20"/>
          <w:szCs w:val="20"/>
          <w:highlight w:val="yellow"/>
        </w:rPr>
        <w:t>”</w:t>
      </w:r>
      <w:r w:rsidR="00EA6630" w:rsidRPr="00550946">
        <w:rPr>
          <w:rFonts w:ascii="Times New Roman" w:hAnsi="Times New Roman" w:cs="Times New Roman"/>
          <w:sz w:val="20"/>
          <w:szCs w:val="20"/>
          <w:highlight w:val="yellow"/>
        </w:rPr>
        <w:t xml:space="preserve"> row F31</w:t>
      </w:r>
      <w:r w:rsidRPr="00550946">
        <w:rPr>
          <w:rFonts w:ascii="Times New Roman" w:hAnsi="Times New Roman" w:cs="Times New Roman"/>
          <w:sz w:val="20"/>
          <w:szCs w:val="20"/>
        </w:rPr>
        <w:t xml:space="preserve">  </w:t>
      </w:r>
    </w:p>
    <w:p w14:paraId="391D631B" w14:textId="77777777" w:rsidR="00782472" w:rsidRDefault="00782472" w:rsidP="00EF7FD9">
      <w:pPr>
        <w:jc w:val="both"/>
        <w:rPr>
          <w:rFonts w:ascii="Times New Roman" w:hAnsi="Times New Roman" w:cs="Times New Roman"/>
          <w:sz w:val="24"/>
          <w:szCs w:val="24"/>
          <w:u w:val="single"/>
        </w:rPr>
      </w:pPr>
    </w:p>
    <w:p w14:paraId="14876321" w14:textId="565855D7" w:rsidR="00AC1DA1" w:rsidRPr="0085669B" w:rsidRDefault="00D52F18" w:rsidP="00C84B7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9</w:t>
      </w:r>
      <w:r w:rsidR="007415D2">
        <w:rPr>
          <w:rFonts w:ascii="Times New Roman" w:hAnsi="Times New Roman" w:cs="Times New Roman"/>
          <w:b/>
          <w:i/>
          <w:sz w:val="24"/>
          <w:szCs w:val="24"/>
        </w:rPr>
        <w:t xml:space="preserve">.4.2 </w:t>
      </w:r>
      <w:r w:rsidR="00AC1DA1" w:rsidRPr="0085669B">
        <w:rPr>
          <w:rFonts w:ascii="Times New Roman" w:hAnsi="Times New Roman" w:cs="Times New Roman"/>
          <w:b/>
          <w:i/>
          <w:sz w:val="24"/>
          <w:szCs w:val="24"/>
        </w:rPr>
        <w:t>Farming Practices</w:t>
      </w:r>
    </w:p>
    <w:p w14:paraId="2A2813E4" w14:textId="42CF55F2" w:rsidR="0085669B" w:rsidRDefault="00AC1DA1" w:rsidP="00C84B71">
      <w:pPr>
        <w:spacing w:after="240" w:line="360" w:lineRule="auto"/>
        <w:jc w:val="both"/>
        <w:rPr>
          <w:rFonts w:ascii="Times New Roman" w:hAnsi="Times New Roman" w:cs="Times New Roman"/>
          <w:sz w:val="24"/>
          <w:szCs w:val="24"/>
        </w:rPr>
      </w:pPr>
      <w:r w:rsidRPr="00CD704D">
        <w:rPr>
          <w:rFonts w:ascii="Times New Roman" w:hAnsi="Times New Roman" w:cs="Times New Roman"/>
          <w:sz w:val="24"/>
          <w:szCs w:val="24"/>
        </w:rPr>
        <w:t xml:space="preserve">Urbanization has had important impacts on rural livelihoods, </w:t>
      </w:r>
      <w:r w:rsidR="00BE4191">
        <w:rPr>
          <w:rFonts w:ascii="Times New Roman" w:hAnsi="Times New Roman" w:cs="Times New Roman"/>
          <w:sz w:val="24"/>
          <w:szCs w:val="24"/>
        </w:rPr>
        <w:t xml:space="preserve">increasing the </w:t>
      </w:r>
      <w:r w:rsidR="00C84B71">
        <w:rPr>
          <w:rFonts w:ascii="Times New Roman" w:hAnsi="Times New Roman" w:cs="Times New Roman"/>
          <w:sz w:val="24"/>
          <w:szCs w:val="24"/>
        </w:rPr>
        <w:t xml:space="preserve">share of </w:t>
      </w:r>
      <w:r w:rsidRPr="00CD704D">
        <w:rPr>
          <w:rFonts w:ascii="Times New Roman" w:hAnsi="Times New Roman" w:cs="Times New Roman"/>
          <w:sz w:val="24"/>
          <w:szCs w:val="24"/>
        </w:rPr>
        <w:t xml:space="preserve">rural </w:t>
      </w:r>
      <w:r w:rsidR="00BE4191">
        <w:rPr>
          <w:rFonts w:ascii="Times New Roman" w:hAnsi="Times New Roman" w:cs="Times New Roman"/>
          <w:sz w:val="24"/>
          <w:szCs w:val="24"/>
        </w:rPr>
        <w:t>households engaged in the nonfarm economy</w:t>
      </w:r>
      <w:r w:rsidRPr="00CD704D">
        <w:rPr>
          <w:rFonts w:ascii="Times New Roman" w:hAnsi="Times New Roman" w:cs="Times New Roman"/>
          <w:sz w:val="24"/>
          <w:szCs w:val="24"/>
        </w:rPr>
        <w:t>. It has also contributed to an increase in the</w:t>
      </w:r>
      <w:r w:rsidR="00367096" w:rsidRPr="00CD704D">
        <w:rPr>
          <w:rFonts w:ascii="Times New Roman" w:hAnsi="Times New Roman" w:cs="Times New Roman"/>
          <w:sz w:val="24"/>
          <w:szCs w:val="24"/>
        </w:rPr>
        <w:t xml:space="preserve"> share of small</w:t>
      </w:r>
      <w:r w:rsidR="00BE4191">
        <w:rPr>
          <w:rFonts w:ascii="Times New Roman" w:hAnsi="Times New Roman" w:cs="Times New Roman"/>
          <w:sz w:val="24"/>
          <w:szCs w:val="24"/>
        </w:rPr>
        <w:t>,</w:t>
      </w:r>
      <w:r w:rsidR="00367096" w:rsidRPr="00CD704D">
        <w:rPr>
          <w:rFonts w:ascii="Times New Roman" w:hAnsi="Times New Roman" w:cs="Times New Roman"/>
          <w:sz w:val="24"/>
          <w:szCs w:val="24"/>
        </w:rPr>
        <w:t xml:space="preserve"> part-</w:t>
      </w:r>
      <w:r w:rsidRPr="00CD704D">
        <w:rPr>
          <w:rFonts w:ascii="Times New Roman" w:hAnsi="Times New Roman" w:cs="Times New Roman"/>
          <w:sz w:val="24"/>
          <w:szCs w:val="24"/>
        </w:rPr>
        <w:t xml:space="preserve">time farms in urbanized areas, </w:t>
      </w:r>
      <w:r w:rsidR="0085669B">
        <w:rPr>
          <w:rFonts w:ascii="Times New Roman" w:hAnsi="Times New Roman" w:cs="Times New Roman"/>
          <w:sz w:val="24"/>
          <w:szCs w:val="24"/>
        </w:rPr>
        <w:t xml:space="preserve">and </w:t>
      </w:r>
      <w:r w:rsidRPr="00CD704D">
        <w:rPr>
          <w:rFonts w:ascii="Times New Roman" w:hAnsi="Times New Roman" w:cs="Times New Roman"/>
          <w:sz w:val="24"/>
          <w:szCs w:val="24"/>
        </w:rPr>
        <w:t xml:space="preserve">a shift towards </w:t>
      </w:r>
      <w:r w:rsidR="0085669B">
        <w:rPr>
          <w:rFonts w:ascii="Times New Roman" w:hAnsi="Times New Roman" w:cs="Times New Roman"/>
          <w:sz w:val="24"/>
          <w:szCs w:val="24"/>
        </w:rPr>
        <w:t xml:space="preserve">more </w:t>
      </w:r>
      <w:r w:rsidR="00712B73">
        <w:rPr>
          <w:rFonts w:ascii="Times New Roman" w:hAnsi="Times New Roman" w:cs="Times New Roman"/>
          <w:sz w:val="24"/>
          <w:szCs w:val="24"/>
        </w:rPr>
        <w:t xml:space="preserve">medium </w:t>
      </w:r>
      <w:r w:rsidR="0085669B">
        <w:rPr>
          <w:rFonts w:ascii="Times New Roman" w:hAnsi="Times New Roman" w:cs="Times New Roman"/>
          <w:sz w:val="24"/>
          <w:szCs w:val="24"/>
        </w:rPr>
        <w:t xml:space="preserve">sized farms </w:t>
      </w:r>
      <w:r w:rsidRPr="00CD704D">
        <w:rPr>
          <w:rFonts w:ascii="Times New Roman" w:hAnsi="Times New Roman" w:cs="Times New Roman"/>
          <w:sz w:val="24"/>
          <w:szCs w:val="24"/>
        </w:rPr>
        <w:t>in the agricultur</w:t>
      </w:r>
      <w:r w:rsidR="0085669B">
        <w:rPr>
          <w:rFonts w:ascii="Times New Roman" w:hAnsi="Times New Roman" w:cs="Times New Roman"/>
          <w:sz w:val="24"/>
          <w:szCs w:val="24"/>
        </w:rPr>
        <w:t xml:space="preserve">ally </w:t>
      </w:r>
      <w:r w:rsidR="00BE4191">
        <w:rPr>
          <w:rFonts w:ascii="Times New Roman" w:hAnsi="Times New Roman" w:cs="Times New Roman"/>
          <w:sz w:val="24"/>
          <w:szCs w:val="24"/>
        </w:rPr>
        <w:t>important areas of the north</w:t>
      </w:r>
      <w:r w:rsidRPr="00CD704D">
        <w:rPr>
          <w:rFonts w:ascii="Times New Roman" w:hAnsi="Times New Roman" w:cs="Times New Roman"/>
          <w:sz w:val="24"/>
          <w:szCs w:val="24"/>
        </w:rPr>
        <w:t xml:space="preserve">. </w:t>
      </w:r>
      <w:r w:rsidR="00BE4191">
        <w:rPr>
          <w:rFonts w:ascii="Times New Roman" w:hAnsi="Times New Roman" w:cs="Times New Roman"/>
          <w:sz w:val="24"/>
          <w:szCs w:val="24"/>
        </w:rPr>
        <w:t>The induced innovation hypothesis</w:t>
      </w:r>
      <w:r w:rsidR="00BE4191" w:rsidRPr="00CD704D">
        <w:rPr>
          <w:rFonts w:ascii="Times New Roman" w:hAnsi="Times New Roman" w:cs="Times New Roman"/>
          <w:sz w:val="24"/>
          <w:szCs w:val="24"/>
        </w:rPr>
        <w:t xml:space="preserve"> </w:t>
      </w:r>
      <w:r w:rsidR="00BE4191">
        <w:rPr>
          <w:rFonts w:ascii="Times New Roman" w:hAnsi="Times New Roman" w:cs="Times New Roman"/>
          <w:sz w:val="24"/>
          <w:szCs w:val="24"/>
        </w:rPr>
        <w:t xml:space="preserve">predicts that urbanization and associated increases in population density and market access should lead to more intensive farming practices, both in terms of land use patterns and the choice of </w:t>
      </w:r>
      <w:r w:rsidRPr="00CD704D">
        <w:rPr>
          <w:rFonts w:ascii="Times New Roman" w:hAnsi="Times New Roman" w:cs="Times New Roman"/>
          <w:sz w:val="24"/>
          <w:szCs w:val="24"/>
        </w:rPr>
        <w:t>technologies</w:t>
      </w:r>
      <w:r w:rsidR="00BE4191">
        <w:rPr>
          <w:rFonts w:ascii="Times New Roman" w:hAnsi="Times New Roman" w:cs="Times New Roman"/>
          <w:sz w:val="24"/>
          <w:szCs w:val="24"/>
        </w:rPr>
        <w:t>. We examine these relationships in this section.</w:t>
      </w:r>
      <w:r w:rsidR="00D96158" w:rsidRPr="00CD704D">
        <w:rPr>
          <w:rFonts w:ascii="Times New Roman" w:hAnsi="Times New Roman" w:cs="Times New Roman"/>
          <w:sz w:val="24"/>
          <w:szCs w:val="24"/>
        </w:rPr>
        <w:t xml:space="preserve"> </w:t>
      </w:r>
    </w:p>
    <w:p w14:paraId="05C38F09" w14:textId="2EFF1D32" w:rsidR="00843EE2" w:rsidRPr="00CD704D" w:rsidRDefault="00843EE2" w:rsidP="0061439C">
      <w:pPr>
        <w:spacing w:after="240" w:line="360" w:lineRule="auto"/>
        <w:ind w:firstLine="360"/>
        <w:jc w:val="both"/>
        <w:rPr>
          <w:rFonts w:ascii="Times New Roman" w:hAnsi="Times New Roman" w:cs="Times New Roman"/>
          <w:sz w:val="24"/>
          <w:szCs w:val="24"/>
        </w:rPr>
      </w:pPr>
      <w:r w:rsidRPr="0085669B">
        <w:rPr>
          <w:rFonts w:ascii="Times New Roman" w:hAnsi="Times New Roman" w:cs="Times New Roman"/>
          <w:sz w:val="24"/>
          <w:szCs w:val="24"/>
          <w:u w:val="single"/>
        </w:rPr>
        <w:t>Fertilizer use</w:t>
      </w:r>
      <w:r w:rsidR="00E462BB">
        <w:rPr>
          <w:rFonts w:ascii="Times New Roman" w:hAnsi="Times New Roman" w:cs="Times New Roman"/>
          <w:sz w:val="24"/>
          <w:szCs w:val="24"/>
          <w:u w:val="single"/>
        </w:rPr>
        <w:t>,</w:t>
      </w:r>
      <w:r w:rsidRPr="00CD704D">
        <w:rPr>
          <w:rFonts w:ascii="Times New Roman" w:hAnsi="Times New Roman" w:cs="Times New Roman"/>
          <w:sz w:val="24"/>
          <w:szCs w:val="24"/>
        </w:rPr>
        <w:t xml:space="preserve"> </w:t>
      </w:r>
      <w:r w:rsidR="008E2577">
        <w:rPr>
          <w:rFonts w:ascii="Times New Roman" w:hAnsi="Times New Roman" w:cs="Times New Roman"/>
          <w:sz w:val="24"/>
          <w:szCs w:val="24"/>
        </w:rPr>
        <w:t>particularly inorganic fertilizer</w:t>
      </w:r>
      <w:r w:rsidR="00E462BB">
        <w:rPr>
          <w:rFonts w:ascii="Times New Roman" w:hAnsi="Times New Roman" w:cs="Times New Roman"/>
          <w:sz w:val="24"/>
          <w:szCs w:val="24"/>
        </w:rPr>
        <w:t>,</w:t>
      </w:r>
      <w:r w:rsidR="008E2577">
        <w:rPr>
          <w:rFonts w:ascii="Times New Roman" w:hAnsi="Times New Roman" w:cs="Times New Roman"/>
          <w:sz w:val="24"/>
          <w:szCs w:val="24"/>
        </w:rPr>
        <w:t xml:space="preserve"> </w:t>
      </w:r>
      <w:r w:rsidR="00F81077">
        <w:rPr>
          <w:rFonts w:ascii="Times New Roman" w:hAnsi="Times New Roman" w:cs="Times New Roman"/>
          <w:sz w:val="24"/>
          <w:szCs w:val="24"/>
        </w:rPr>
        <w:t>has increased significantly</w:t>
      </w:r>
      <w:r w:rsidR="00E462BB">
        <w:rPr>
          <w:rFonts w:ascii="Times New Roman" w:hAnsi="Times New Roman" w:cs="Times New Roman"/>
          <w:sz w:val="24"/>
          <w:szCs w:val="24"/>
        </w:rPr>
        <w:t xml:space="preserve"> in Ghana</w:t>
      </w:r>
      <w:r w:rsidR="00F81077">
        <w:rPr>
          <w:rFonts w:ascii="Times New Roman" w:hAnsi="Times New Roman" w:cs="Times New Roman"/>
          <w:sz w:val="24"/>
          <w:szCs w:val="24"/>
        </w:rPr>
        <w:t xml:space="preserve"> from </w:t>
      </w:r>
      <w:r w:rsidR="00F81077" w:rsidRPr="00CD704D">
        <w:rPr>
          <w:rFonts w:ascii="Times New Roman" w:hAnsi="Times New Roman" w:cs="Times New Roman"/>
          <w:sz w:val="24"/>
          <w:szCs w:val="24"/>
        </w:rPr>
        <w:t>3.7 kg NPK/ha arable land in 2002 to 35.8 kg/ha in 2013</w:t>
      </w:r>
      <w:r w:rsidR="00F81077">
        <w:rPr>
          <w:rFonts w:ascii="Times New Roman" w:hAnsi="Times New Roman" w:cs="Times New Roman"/>
          <w:sz w:val="24"/>
          <w:szCs w:val="24"/>
        </w:rPr>
        <w:t xml:space="preserve"> (see </w:t>
      </w:r>
      <w:r w:rsidR="00BB5E32">
        <w:rPr>
          <w:rFonts w:ascii="Times New Roman" w:hAnsi="Times New Roman" w:cs="Times New Roman"/>
          <w:sz w:val="24"/>
          <w:szCs w:val="24"/>
        </w:rPr>
        <w:t xml:space="preserve">Chapter </w:t>
      </w:r>
      <w:r w:rsidR="00F81077">
        <w:rPr>
          <w:rFonts w:ascii="Times New Roman" w:hAnsi="Times New Roman" w:cs="Times New Roman"/>
          <w:sz w:val="24"/>
          <w:szCs w:val="24"/>
        </w:rPr>
        <w:t>4</w:t>
      </w:r>
      <w:r w:rsidR="00F81077" w:rsidRPr="00CD704D">
        <w:rPr>
          <w:rFonts w:ascii="Times New Roman" w:hAnsi="Times New Roman" w:cs="Times New Roman"/>
          <w:sz w:val="24"/>
          <w:szCs w:val="24"/>
        </w:rPr>
        <w:t>).</w:t>
      </w:r>
      <w:r w:rsidR="00F81077">
        <w:rPr>
          <w:rFonts w:ascii="Times New Roman" w:hAnsi="Times New Roman" w:cs="Times New Roman"/>
          <w:sz w:val="24"/>
          <w:szCs w:val="24"/>
        </w:rPr>
        <w:t xml:space="preserve"> Still, only </w:t>
      </w:r>
      <w:r w:rsidR="006B358D">
        <w:rPr>
          <w:rFonts w:ascii="Times New Roman" w:hAnsi="Times New Roman" w:cs="Times New Roman"/>
          <w:sz w:val="24"/>
          <w:szCs w:val="24"/>
        </w:rPr>
        <w:t>45 percent</w:t>
      </w:r>
      <w:r w:rsidR="00F81077">
        <w:rPr>
          <w:rFonts w:ascii="Times New Roman" w:hAnsi="Times New Roman" w:cs="Times New Roman"/>
          <w:sz w:val="24"/>
          <w:szCs w:val="24"/>
        </w:rPr>
        <w:t xml:space="preserve"> of farmers were using </w:t>
      </w:r>
      <w:r w:rsidR="006B358D">
        <w:rPr>
          <w:rFonts w:ascii="Times New Roman" w:hAnsi="Times New Roman" w:cs="Times New Roman"/>
          <w:sz w:val="24"/>
          <w:szCs w:val="24"/>
        </w:rPr>
        <w:t xml:space="preserve">either organic or </w:t>
      </w:r>
      <w:r w:rsidR="008E2577">
        <w:rPr>
          <w:rFonts w:ascii="Times New Roman" w:hAnsi="Times New Roman" w:cs="Times New Roman"/>
          <w:sz w:val="24"/>
          <w:szCs w:val="24"/>
        </w:rPr>
        <w:t xml:space="preserve">inorganic </w:t>
      </w:r>
      <w:r w:rsidR="00F81077">
        <w:rPr>
          <w:rFonts w:ascii="Times New Roman" w:hAnsi="Times New Roman" w:cs="Times New Roman"/>
          <w:sz w:val="24"/>
          <w:szCs w:val="24"/>
        </w:rPr>
        <w:t>fertilizer in 2012/13</w:t>
      </w:r>
      <w:r w:rsidR="00BB5E32">
        <w:rPr>
          <w:rFonts w:ascii="Times New Roman" w:hAnsi="Times New Roman" w:cs="Times New Roman"/>
          <w:sz w:val="24"/>
          <w:szCs w:val="24"/>
        </w:rPr>
        <w:t xml:space="preserve"> (GLSS6)</w:t>
      </w:r>
      <w:r w:rsidR="0072303F">
        <w:rPr>
          <w:rFonts w:ascii="Times New Roman" w:hAnsi="Times New Roman" w:cs="Times New Roman"/>
          <w:sz w:val="24"/>
          <w:szCs w:val="24"/>
        </w:rPr>
        <w:t>, and the share of farmers using fertilizer was nearly twice as high</w:t>
      </w:r>
      <w:r w:rsidR="00F81077">
        <w:rPr>
          <w:rFonts w:ascii="Times New Roman" w:hAnsi="Times New Roman" w:cs="Times New Roman"/>
          <w:sz w:val="24"/>
          <w:szCs w:val="24"/>
        </w:rPr>
        <w:t xml:space="preserve"> in </w:t>
      </w:r>
      <w:r w:rsidRPr="00CD704D">
        <w:rPr>
          <w:rFonts w:ascii="Times New Roman" w:hAnsi="Times New Roman" w:cs="Times New Roman"/>
          <w:sz w:val="24"/>
          <w:szCs w:val="24"/>
        </w:rPr>
        <w:t xml:space="preserve">the </w:t>
      </w:r>
      <w:r w:rsidR="008E2577">
        <w:rPr>
          <w:rFonts w:ascii="Times New Roman" w:hAnsi="Times New Roman" w:cs="Times New Roman"/>
          <w:sz w:val="24"/>
          <w:szCs w:val="24"/>
        </w:rPr>
        <w:t xml:space="preserve">North </w:t>
      </w:r>
      <w:r w:rsidR="00F81077">
        <w:rPr>
          <w:rFonts w:ascii="Times New Roman" w:hAnsi="Times New Roman" w:cs="Times New Roman"/>
          <w:sz w:val="24"/>
          <w:szCs w:val="24"/>
        </w:rPr>
        <w:t xml:space="preserve">than in the </w:t>
      </w:r>
      <w:r w:rsidR="008E2577">
        <w:rPr>
          <w:rFonts w:ascii="Times New Roman" w:hAnsi="Times New Roman" w:cs="Times New Roman"/>
          <w:sz w:val="24"/>
          <w:szCs w:val="24"/>
        </w:rPr>
        <w:t>South</w:t>
      </w:r>
      <w:r w:rsidR="0072303F">
        <w:rPr>
          <w:rFonts w:ascii="Times New Roman" w:hAnsi="Times New Roman" w:cs="Times New Roman"/>
          <w:sz w:val="24"/>
          <w:szCs w:val="24"/>
        </w:rPr>
        <w:t xml:space="preserve"> (Table </w:t>
      </w:r>
      <w:r w:rsidR="00D52F18">
        <w:rPr>
          <w:rFonts w:ascii="Times New Roman" w:hAnsi="Times New Roman" w:cs="Times New Roman"/>
          <w:sz w:val="24"/>
          <w:szCs w:val="24"/>
        </w:rPr>
        <w:t>9</w:t>
      </w:r>
      <w:r w:rsidR="0072303F">
        <w:rPr>
          <w:rFonts w:ascii="Times New Roman" w:hAnsi="Times New Roman" w:cs="Times New Roman"/>
          <w:sz w:val="24"/>
          <w:szCs w:val="24"/>
        </w:rPr>
        <w:t>.5)</w:t>
      </w:r>
      <w:r w:rsidR="006B358D">
        <w:rPr>
          <w:rFonts w:ascii="Times New Roman" w:hAnsi="Times New Roman" w:cs="Times New Roman"/>
          <w:sz w:val="24"/>
          <w:szCs w:val="24"/>
        </w:rPr>
        <w:t xml:space="preserve">, mainly reflecting the poor soil </w:t>
      </w:r>
      <w:r w:rsidR="00BB5E32">
        <w:rPr>
          <w:rFonts w:ascii="Times New Roman" w:hAnsi="Times New Roman" w:cs="Times New Roman"/>
          <w:sz w:val="24"/>
          <w:szCs w:val="24"/>
        </w:rPr>
        <w:t>fertility</w:t>
      </w:r>
      <w:r w:rsidR="006B358D">
        <w:rPr>
          <w:rFonts w:ascii="Times New Roman" w:hAnsi="Times New Roman" w:cs="Times New Roman"/>
          <w:sz w:val="24"/>
          <w:szCs w:val="24"/>
        </w:rPr>
        <w:t xml:space="preserve"> in the North</w:t>
      </w:r>
      <w:r w:rsidR="00F81077">
        <w:rPr>
          <w:rFonts w:ascii="Times New Roman" w:hAnsi="Times New Roman" w:cs="Times New Roman"/>
          <w:sz w:val="24"/>
          <w:szCs w:val="24"/>
        </w:rPr>
        <w:t xml:space="preserve">. </w:t>
      </w:r>
      <w:r w:rsidR="00E462BB">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E462BB">
        <w:rPr>
          <w:rFonts w:ascii="Times New Roman" w:hAnsi="Times New Roman" w:cs="Times New Roman"/>
          <w:sz w:val="24"/>
          <w:szCs w:val="24"/>
        </w:rPr>
        <w:t>.5 also shows an inverse</w:t>
      </w:r>
      <w:r w:rsidR="006B358D">
        <w:rPr>
          <w:rFonts w:ascii="Times New Roman" w:hAnsi="Times New Roman" w:cs="Times New Roman"/>
          <w:sz w:val="24"/>
          <w:szCs w:val="24"/>
        </w:rPr>
        <w:t xml:space="preserve"> </w:t>
      </w:r>
      <w:r w:rsidR="0072303F">
        <w:rPr>
          <w:rFonts w:ascii="Times New Roman" w:hAnsi="Times New Roman" w:cs="Times New Roman"/>
          <w:sz w:val="24"/>
          <w:szCs w:val="24"/>
        </w:rPr>
        <w:t>relationship between the degree of urbanization of a district and the share of farmers using fertilizer</w:t>
      </w:r>
      <w:r w:rsidR="00E462BB">
        <w:rPr>
          <w:rFonts w:ascii="Times New Roman" w:hAnsi="Times New Roman" w:cs="Times New Roman"/>
          <w:sz w:val="24"/>
          <w:szCs w:val="24"/>
        </w:rPr>
        <w:t xml:space="preserve"> in both the North and South</w:t>
      </w:r>
      <w:r w:rsidR="006B358D">
        <w:rPr>
          <w:rFonts w:ascii="Times New Roman" w:hAnsi="Times New Roman" w:cs="Times New Roman"/>
          <w:sz w:val="24"/>
          <w:szCs w:val="24"/>
        </w:rPr>
        <w:t xml:space="preserve">, </w:t>
      </w:r>
      <w:r w:rsidR="00142EB5">
        <w:rPr>
          <w:rFonts w:ascii="Times New Roman" w:hAnsi="Times New Roman" w:cs="Times New Roman"/>
          <w:sz w:val="24"/>
          <w:szCs w:val="24"/>
        </w:rPr>
        <w:t xml:space="preserve">i.e., </w:t>
      </w:r>
      <w:r w:rsidR="006B358D">
        <w:rPr>
          <w:rFonts w:ascii="Times New Roman" w:hAnsi="Times New Roman" w:cs="Times New Roman"/>
          <w:sz w:val="24"/>
          <w:szCs w:val="24"/>
        </w:rPr>
        <w:t xml:space="preserve">the lower the level of urbanization </w:t>
      </w:r>
      <w:r w:rsidR="00142EB5">
        <w:rPr>
          <w:rFonts w:ascii="Times New Roman" w:hAnsi="Times New Roman" w:cs="Times New Roman"/>
          <w:sz w:val="24"/>
          <w:szCs w:val="24"/>
        </w:rPr>
        <w:t>for</w:t>
      </w:r>
      <w:r w:rsidR="006B358D">
        <w:rPr>
          <w:rFonts w:ascii="Times New Roman" w:hAnsi="Times New Roman" w:cs="Times New Roman"/>
          <w:sz w:val="24"/>
          <w:szCs w:val="24"/>
        </w:rPr>
        <w:t xml:space="preserve"> a district group</w:t>
      </w:r>
      <w:r w:rsidR="00E462BB">
        <w:rPr>
          <w:rFonts w:ascii="Times New Roman" w:hAnsi="Times New Roman" w:cs="Times New Roman"/>
          <w:sz w:val="24"/>
          <w:szCs w:val="24"/>
        </w:rPr>
        <w:t xml:space="preserve">, </w:t>
      </w:r>
      <w:r w:rsidR="006B358D">
        <w:rPr>
          <w:rFonts w:ascii="Times New Roman" w:hAnsi="Times New Roman" w:cs="Times New Roman"/>
          <w:sz w:val="24"/>
          <w:szCs w:val="24"/>
        </w:rPr>
        <w:t xml:space="preserve">the </w:t>
      </w:r>
      <w:r w:rsidR="00BC2AF2">
        <w:rPr>
          <w:rFonts w:ascii="Times New Roman" w:hAnsi="Times New Roman" w:cs="Times New Roman"/>
          <w:sz w:val="24"/>
          <w:szCs w:val="24"/>
        </w:rPr>
        <w:t>higher</w:t>
      </w:r>
      <w:r w:rsidR="006B358D">
        <w:rPr>
          <w:rFonts w:ascii="Times New Roman" w:hAnsi="Times New Roman" w:cs="Times New Roman"/>
          <w:sz w:val="24"/>
          <w:szCs w:val="24"/>
        </w:rPr>
        <w:t xml:space="preserve"> percentage of farmers that use fertilizer</w:t>
      </w:r>
      <w:r w:rsidR="0072303F">
        <w:rPr>
          <w:rFonts w:ascii="Times New Roman" w:hAnsi="Times New Roman" w:cs="Times New Roman"/>
          <w:sz w:val="24"/>
          <w:szCs w:val="24"/>
        </w:rPr>
        <w:t xml:space="preserve">. </w:t>
      </w:r>
      <w:r w:rsidR="006B358D">
        <w:rPr>
          <w:rFonts w:ascii="Times New Roman" w:hAnsi="Times New Roman" w:cs="Times New Roman"/>
          <w:sz w:val="24"/>
          <w:szCs w:val="24"/>
        </w:rPr>
        <w:t>Thus, r</w:t>
      </w:r>
      <w:r w:rsidR="0072303F">
        <w:rPr>
          <w:rFonts w:ascii="Times New Roman" w:hAnsi="Times New Roman" w:cs="Times New Roman"/>
          <w:sz w:val="24"/>
          <w:szCs w:val="24"/>
        </w:rPr>
        <w:t xml:space="preserve">ather than any pattern of induced </w:t>
      </w:r>
      <w:r w:rsidR="006B358D">
        <w:rPr>
          <w:rFonts w:ascii="Times New Roman" w:hAnsi="Times New Roman" w:cs="Times New Roman"/>
          <w:sz w:val="24"/>
          <w:szCs w:val="24"/>
        </w:rPr>
        <w:t xml:space="preserve">fertilizer adoption </w:t>
      </w:r>
      <w:r w:rsidR="0072303F">
        <w:rPr>
          <w:rFonts w:ascii="Times New Roman" w:hAnsi="Times New Roman" w:cs="Times New Roman"/>
          <w:sz w:val="24"/>
          <w:szCs w:val="24"/>
        </w:rPr>
        <w:t>from urbanization, these d</w:t>
      </w:r>
      <w:r w:rsidR="000F02B5">
        <w:rPr>
          <w:rFonts w:ascii="Times New Roman" w:hAnsi="Times New Roman" w:cs="Times New Roman"/>
          <w:sz w:val="24"/>
          <w:szCs w:val="24"/>
        </w:rPr>
        <w:t>ata suggest that the main drive</w:t>
      </w:r>
      <w:r w:rsidR="0072303F">
        <w:rPr>
          <w:rFonts w:ascii="Times New Roman" w:hAnsi="Times New Roman" w:cs="Times New Roman"/>
          <w:sz w:val="24"/>
          <w:szCs w:val="24"/>
        </w:rPr>
        <w:t xml:space="preserve">rs of increased fertilizer use may have been </w:t>
      </w:r>
      <w:r w:rsidR="006B358D">
        <w:rPr>
          <w:rFonts w:ascii="Times New Roman" w:hAnsi="Times New Roman" w:cs="Times New Roman"/>
          <w:sz w:val="24"/>
          <w:szCs w:val="24"/>
        </w:rPr>
        <w:t>a</w:t>
      </w:r>
      <w:r w:rsidR="0072303F">
        <w:rPr>
          <w:rFonts w:ascii="Times New Roman" w:hAnsi="Times New Roman" w:cs="Times New Roman"/>
          <w:sz w:val="24"/>
          <w:szCs w:val="24"/>
        </w:rPr>
        <w:t xml:space="preserve">) the need to maintain soil fertility and crop yields in the </w:t>
      </w:r>
      <w:r w:rsidR="00E462BB">
        <w:rPr>
          <w:rFonts w:ascii="Times New Roman" w:hAnsi="Times New Roman" w:cs="Times New Roman"/>
          <w:sz w:val="24"/>
          <w:szCs w:val="24"/>
        </w:rPr>
        <w:t xml:space="preserve">North </w:t>
      </w:r>
      <w:r w:rsidR="0072303F">
        <w:rPr>
          <w:rFonts w:ascii="Times New Roman" w:hAnsi="Times New Roman" w:cs="Times New Roman"/>
          <w:sz w:val="24"/>
          <w:szCs w:val="24"/>
        </w:rPr>
        <w:t>as fallow peri</w:t>
      </w:r>
      <w:r w:rsidR="00262539">
        <w:rPr>
          <w:rFonts w:ascii="Times New Roman" w:hAnsi="Times New Roman" w:cs="Times New Roman"/>
          <w:sz w:val="24"/>
          <w:szCs w:val="24"/>
        </w:rPr>
        <w:t>ods were shortened</w:t>
      </w:r>
      <w:r w:rsidR="006B358D">
        <w:rPr>
          <w:rFonts w:ascii="Times New Roman" w:hAnsi="Times New Roman" w:cs="Times New Roman"/>
          <w:sz w:val="24"/>
          <w:szCs w:val="24"/>
        </w:rPr>
        <w:t xml:space="preserve"> </w:t>
      </w:r>
      <w:r w:rsidR="00262539">
        <w:rPr>
          <w:rFonts w:ascii="Times New Roman" w:hAnsi="Times New Roman" w:cs="Times New Roman"/>
          <w:sz w:val="24"/>
          <w:szCs w:val="24"/>
        </w:rPr>
        <w:t xml:space="preserve">(see Chapters </w:t>
      </w:r>
      <w:r w:rsidR="0072303F">
        <w:rPr>
          <w:rFonts w:ascii="Times New Roman" w:hAnsi="Times New Roman" w:cs="Times New Roman"/>
          <w:sz w:val="24"/>
          <w:szCs w:val="24"/>
        </w:rPr>
        <w:t>4</w:t>
      </w:r>
      <w:r w:rsidR="00262539">
        <w:rPr>
          <w:rFonts w:ascii="Times New Roman" w:hAnsi="Times New Roman" w:cs="Times New Roman"/>
          <w:sz w:val="24"/>
          <w:szCs w:val="24"/>
        </w:rPr>
        <w:t xml:space="preserve"> and </w:t>
      </w:r>
      <w:r w:rsidR="00D52F18">
        <w:rPr>
          <w:rFonts w:ascii="Times New Roman" w:hAnsi="Times New Roman" w:cs="Times New Roman"/>
          <w:sz w:val="24"/>
          <w:szCs w:val="24"/>
        </w:rPr>
        <w:t>7</w:t>
      </w:r>
      <w:r w:rsidR="0072303F">
        <w:rPr>
          <w:rFonts w:ascii="Times New Roman" w:hAnsi="Times New Roman" w:cs="Times New Roman"/>
          <w:sz w:val="24"/>
          <w:szCs w:val="24"/>
        </w:rPr>
        <w:t>)</w:t>
      </w:r>
      <w:r w:rsidR="006B358D">
        <w:rPr>
          <w:rFonts w:ascii="Times New Roman" w:hAnsi="Times New Roman" w:cs="Times New Roman"/>
          <w:sz w:val="24"/>
          <w:szCs w:val="24"/>
        </w:rPr>
        <w:t>, and b</w:t>
      </w:r>
      <w:r w:rsidR="006B358D" w:rsidRPr="006B358D">
        <w:rPr>
          <w:rFonts w:ascii="Times New Roman" w:hAnsi="Times New Roman" w:cs="Times New Roman"/>
          <w:sz w:val="24"/>
          <w:szCs w:val="24"/>
        </w:rPr>
        <w:t xml:space="preserve">) </w:t>
      </w:r>
      <w:r w:rsidR="006B358D">
        <w:rPr>
          <w:rFonts w:ascii="Times New Roman" w:hAnsi="Times New Roman" w:cs="Times New Roman"/>
          <w:sz w:val="24"/>
          <w:szCs w:val="24"/>
        </w:rPr>
        <w:t>possibly</w:t>
      </w:r>
      <w:r w:rsidR="006B358D" w:rsidRPr="006B358D">
        <w:rPr>
          <w:rFonts w:ascii="Times New Roman" w:hAnsi="Times New Roman" w:cs="Times New Roman"/>
          <w:sz w:val="24"/>
          <w:szCs w:val="24"/>
        </w:rPr>
        <w:t xml:space="preserve"> the introduction of a fertilizer subsidy </w:t>
      </w:r>
      <w:r w:rsidR="00BB5E32">
        <w:rPr>
          <w:rFonts w:ascii="Times New Roman" w:hAnsi="Times New Roman" w:cs="Times New Roman"/>
          <w:sz w:val="24"/>
          <w:szCs w:val="24"/>
        </w:rPr>
        <w:t xml:space="preserve">policy </w:t>
      </w:r>
      <w:r w:rsidR="006B358D" w:rsidRPr="006B358D">
        <w:rPr>
          <w:rFonts w:ascii="Times New Roman" w:hAnsi="Times New Roman" w:cs="Times New Roman"/>
          <w:sz w:val="24"/>
          <w:szCs w:val="24"/>
        </w:rPr>
        <w:t>in 2007/08</w:t>
      </w:r>
      <w:r w:rsidR="0072303F">
        <w:rPr>
          <w:rFonts w:ascii="Times New Roman" w:hAnsi="Times New Roman" w:cs="Times New Roman"/>
          <w:sz w:val="24"/>
          <w:szCs w:val="24"/>
        </w:rPr>
        <w:t xml:space="preserve">. </w:t>
      </w:r>
    </w:p>
    <w:p w14:paraId="417015A5" w14:textId="0C0FC3EF" w:rsidR="00DE596E" w:rsidRPr="00CD704D" w:rsidRDefault="00C91EDC" w:rsidP="0061439C">
      <w:pPr>
        <w:rPr>
          <w:rFonts w:ascii="Times New Roman" w:hAnsi="Times New Roman" w:cs="Times New Roman"/>
          <w:sz w:val="24"/>
          <w:szCs w:val="24"/>
        </w:rPr>
      </w:pPr>
      <w:r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FC1B5D">
        <w:rPr>
          <w:rFonts w:ascii="Times New Roman" w:hAnsi="Times New Roman" w:cs="Times New Roman"/>
          <w:sz w:val="24"/>
          <w:szCs w:val="24"/>
        </w:rPr>
        <w:t>.</w:t>
      </w:r>
      <w:r w:rsidRPr="00CD704D">
        <w:rPr>
          <w:rFonts w:ascii="Times New Roman" w:hAnsi="Times New Roman" w:cs="Times New Roman"/>
          <w:sz w:val="24"/>
          <w:szCs w:val="24"/>
        </w:rPr>
        <w:t>5</w:t>
      </w:r>
      <w:r w:rsidR="00DE596E" w:rsidRPr="00CD704D">
        <w:rPr>
          <w:rFonts w:ascii="Times New Roman" w:hAnsi="Times New Roman" w:cs="Times New Roman"/>
          <w:sz w:val="24"/>
          <w:szCs w:val="24"/>
        </w:rPr>
        <w:t xml:space="preserve">: Share of rural farm households using </w:t>
      </w:r>
      <w:r w:rsidR="008E2577">
        <w:rPr>
          <w:rFonts w:ascii="Times New Roman" w:hAnsi="Times New Roman" w:cs="Times New Roman"/>
          <w:sz w:val="24"/>
          <w:szCs w:val="24"/>
        </w:rPr>
        <w:t xml:space="preserve">organic and </w:t>
      </w:r>
      <w:r w:rsidR="00DE596E" w:rsidRPr="00CD704D">
        <w:rPr>
          <w:rFonts w:ascii="Times New Roman" w:hAnsi="Times New Roman" w:cs="Times New Roman"/>
          <w:sz w:val="24"/>
          <w:szCs w:val="24"/>
        </w:rPr>
        <w:t>inorganic fertilizer</w:t>
      </w:r>
      <w:r w:rsidR="00E13F37">
        <w:rPr>
          <w:rFonts w:ascii="Times New Roman" w:hAnsi="Times New Roman" w:cs="Times New Roman"/>
          <w:sz w:val="24"/>
          <w:szCs w:val="24"/>
        </w:rPr>
        <w:t>,</w:t>
      </w:r>
      <w:r w:rsidR="00DE596E" w:rsidRPr="00CD704D">
        <w:rPr>
          <w:rFonts w:ascii="Times New Roman" w:hAnsi="Times New Roman" w:cs="Times New Roman"/>
          <w:sz w:val="24"/>
          <w:szCs w:val="24"/>
        </w:rPr>
        <w:t xml:space="preserve"> 2012/13 </w:t>
      </w:r>
    </w:p>
    <w:tbl>
      <w:tblPr>
        <w:tblStyle w:val="TableGrid"/>
        <w:tblW w:w="5191"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2511"/>
        <w:gridCol w:w="1020"/>
        <w:gridCol w:w="937"/>
        <w:gridCol w:w="1105"/>
        <w:gridCol w:w="1018"/>
        <w:gridCol w:w="935"/>
      </w:tblGrid>
      <w:tr w:rsidR="00173B2F" w:rsidRPr="00CD704D" w14:paraId="08F68F09" w14:textId="77777777" w:rsidTr="000A13D3">
        <w:tc>
          <w:tcPr>
            <w:tcW w:w="2163" w:type="pct"/>
            <w:gridSpan w:val="2"/>
            <w:tcBorders>
              <w:top w:val="single" w:sz="4" w:space="0" w:color="auto"/>
              <w:bottom w:val="single" w:sz="4" w:space="0" w:color="auto"/>
            </w:tcBorders>
          </w:tcPr>
          <w:p w14:paraId="03FB24E6" w14:textId="77777777" w:rsidR="00DE596E" w:rsidRPr="0061439C" w:rsidRDefault="00DE596E" w:rsidP="0061439C">
            <w:pPr>
              <w:rPr>
                <w:rFonts w:ascii="Times New Roman" w:hAnsi="Times New Roman" w:cs="Times New Roman"/>
                <w:sz w:val="22"/>
                <w:szCs w:val="22"/>
              </w:rPr>
            </w:pPr>
            <w:r w:rsidRPr="0061439C">
              <w:rPr>
                <w:rFonts w:ascii="Times New Roman" w:hAnsi="Times New Roman" w:cs="Times New Roman"/>
                <w:sz w:val="22"/>
                <w:szCs w:val="22"/>
              </w:rPr>
              <w:t>Type district</w:t>
            </w:r>
          </w:p>
        </w:tc>
        <w:tc>
          <w:tcPr>
            <w:tcW w:w="577" w:type="pct"/>
            <w:tcBorders>
              <w:top w:val="single" w:sz="4" w:space="0" w:color="auto"/>
              <w:bottom w:val="single" w:sz="4" w:space="0" w:color="auto"/>
            </w:tcBorders>
            <w:vAlign w:val="bottom"/>
          </w:tcPr>
          <w:p w14:paraId="54C349BF" w14:textId="5203CF3E"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&lt;2 ha</w:t>
            </w:r>
          </w:p>
        </w:tc>
        <w:tc>
          <w:tcPr>
            <w:tcW w:w="530" w:type="pct"/>
            <w:tcBorders>
              <w:top w:val="single" w:sz="4" w:space="0" w:color="auto"/>
              <w:bottom w:val="single" w:sz="4" w:space="0" w:color="auto"/>
            </w:tcBorders>
            <w:vAlign w:val="bottom"/>
          </w:tcPr>
          <w:p w14:paraId="62F0F515" w14:textId="60C74289"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2-5 ha</w:t>
            </w:r>
          </w:p>
        </w:tc>
        <w:tc>
          <w:tcPr>
            <w:tcW w:w="625" w:type="pct"/>
            <w:tcBorders>
              <w:top w:val="single" w:sz="4" w:space="0" w:color="auto"/>
              <w:bottom w:val="single" w:sz="4" w:space="0" w:color="auto"/>
            </w:tcBorders>
            <w:vAlign w:val="bottom"/>
          </w:tcPr>
          <w:p w14:paraId="50F71885" w14:textId="4110BEC2"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5-20 ha</w:t>
            </w:r>
          </w:p>
        </w:tc>
        <w:tc>
          <w:tcPr>
            <w:tcW w:w="576" w:type="pct"/>
            <w:tcBorders>
              <w:top w:val="single" w:sz="4" w:space="0" w:color="auto"/>
              <w:bottom w:val="single" w:sz="4" w:space="0" w:color="auto"/>
            </w:tcBorders>
            <w:vAlign w:val="bottom"/>
          </w:tcPr>
          <w:p w14:paraId="327483C1" w14:textId="65DB29B3"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&gt; 20 ha</w:t>
            </w:r>
          </w:p>
        </w:tc>
        <w:tc>
          <w:tcPr>
            <w:tcW w:w="529" w:type="pct"/>
            <w:tcBorders>
              <w:top w:val="single" w:sz="4" w:space="0" w:color="auto"/>
              <w:bottom w:val="single" w:sz="4" w:space="0" w:color="auto"/>
            </w:tcBorders>
            <w:vAlign w:val="bottom"/>
          </w:tcPr>
          <w:p w14:paraId="3AEF49FF" w14:textId="3E0C8E8E"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w:t>
            </w:r>
          </w:p>
        </w:tc>
      </w:tr>
      <w:tr w:rsidR="00173B2F" w:rsidRPr="00CD704D" w14:paraId="5E90F5C8" w14:textId="77777777" w:rsidTr="000A13D3">
        <w:tc>
          <w:tcPr>
            <w:tcW w:w="743" w:type="pct"/>
            <w:vMerge w:val="restart"/>
            <w:tcBorders>
              <w:top w:val="single" w:sz="4" w:space="0" w:color="auto"/>
              <w:bottom w:val="nil"/>
            </w:tcBorders>
          </w:tcPr>
          <w:p w14:paraId="021332E9" w14:textId="1681B6C3" w:rsidR="00173B2F" w:rsidRPr="0061439C" w:rsidRDefault="00FD7E50" w:rsidP="0061439C">
            <w:pPr>
              <w:rPr>
                <w:rFonts w:ascii="Times New Roman" w:hAnsi="Times New Roman" w:cs="Times New Roman"/>
                <w:sz w:val="22"/>
                <w:szCs w:val="22"/>
              </w:rPr>
            </w:pPr>
            <w:r>
              <w:rPr>
                <w:rFonts w:ascii="Times New Roman" w:hAnsi="Times New Roman" w:cs="Times New Roman"/>
                <w:sz w:val="22"/>
                <w:szCs w:val="22"/>
              </w:rPr>
              <w:t>North</w:t>
            </w:r>
          </w:p>
        </w:tc>
        <w:tc>
          <w:tcPr>
            <w:tcW w:w="1420" w:type="pct"/>
            <w:tcBorders>
              <w:top w:val="single" w:sz="4" w:space="0" w:color="auto"/>
              <w:bottom w:val="nil"/>
            </w:tcBorders>
            <w:vAlign w:val="bottom"/>
          </w:tcPr>
          <w:p w14:paraId="3594BE88"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577" w:type="pct"/>
            <w:tcBorders>
              <w:top w:val="single" w:sz="4" w:space="0" w:color="auto"/>
              <w:bottom w:val="nil"/>
            </w:tcBorders>
            <w:vAlign w:val="bottom"/>
          </w:tcPr>
          <w:p w14:paraId="265E2F7E" w14:textId="7A7ACBD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38.7</w:t>
            </w:r>
          </w:p>
        </w:tc>
        <w:tc>
          <w:tcPr>
            <w:tcW w:w="530" w:type="pct"/>
            <w:tcBorders>
              <w:top w:val="single" w:sz="4" w:space="0" w:color="auto"/>
              <w:bottom w:val="nil"/>
            </w:tcBorders>
            <w:vAlign w:val="bottom"/>
          </w:tcPr>
          <w:p w14:paraId="0650B537" w14:textId="53EA20A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59.1</w:t>
            </w:r>
          </w:p>
        </w:tc>
        <w:tc>
          <w:tcPr>
            <w:tcW w:w="625" w:type="pct"/>
            <w:tcBorders>
              <w:top w:val="single" w:sz="4" w:space="0" w:color="auto"/>
              <w:bottom w:val="nil"/>
            </w:tcBorders>
            <w:vAlign w:val="bottom"/>
          </w:tcPr>
          <w:p w14:paraId="6144BA8C" w14:textId="57F465F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70.3</w:t>
            </w:r>
          </w:p>
        </w:tc>
        <w:tc>
          <w:tcPr>
            <w:tcW w:w="576" w:type="pct"/>
            <w:tcBorders>
              <w:top w:val="single" w:sz="4" w:space="0" w:color="auto"/>
              <w:bottom w:val="nil"/>
            </w:tcBorders>
            <w:vAlign w:val="bottom"/>
          </w:tcPr>
          <w:p w14:paraId="24B57636" w14:textId="55F780E7"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82.0</w:t>
            </w:r>
          </w:p>
        </w:tc>
        <w:tc>
          <w:tcPr>
            <w:tcW w:w="529" w:type="pct"/>
            <w:tcBorders>
              <w:top w:val="single" w:sz="4" w:space="0" w:color="auto"/>
              <w:bottom w:val="nil"/>
            </w:tcBorders>
            <w:vAlign w:val="bottom"/>
          </w:tcPr>
          <w:p w14:paraId="6084B7ED" w14:textId="1318FA2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53.4</w:t>
            </w:r>
          </w:p>
        </w:tc>
      </w:tr>
      <w:tr w:rsidR="00173B2F" w:rsidRPr="00CD704D" w14:paraId="4E1FD157" w14:textId="77777777" w:rsidTr="00173B2F">
        <w:tc>
          <w:tcPr>
            <w:tcW w:w="743" w:type="pct"/>
            <w:vMerge/>
            <w:tcBorders>
              <w:top w:val="nil"/>
              <w:bottom w:val="nil"/>
            </w:tcBorders>
          </w:tcPr>
          <w:p w14:paraId="7A31EF11"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68AD5137"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577" w:type="pct"/>
            <w:tcBorders>
              <w:top w:val="nil"/>
              <w:bottom w:val="nil"/>
            </w:tcBorders>
            <w:vAlign w:val="bottom"/>
          </w:tcPr>
          <w:p w14:paraId="5C119680" w14:textId="40419B0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55.5</w:t>
            </w:r>
          </w:p>
        </w:tc>
        <w:tc>
          <w:tcPr>
            <w:tcW w:w="530" w:type="pct"/>
            <w:tcBorders>
              <w:top w:val="nil"/>
              <w:bottom w:val="nil"/>
            </w:tcBorders>
            <w:vAlign w:val="bottom"/>
          </w:tcPr>
          <w:p w14:paraId="29C79F71" w14:textId="2FE48AB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67.2</w:t>
            </w:r>
          </w:p>
        </w:tc>
        <w:tc>
          <w:tcPr>
            <w:tcW w:w="625" w:type="pct"/>
            <w:tcBorders>
              <w:top w:val="nil"/>
              <w:bottom w:val="nil"/>
            </w:tcBorders>
            <w:vAlign w:val="bottom"/>
          </w:tcPr>
          <w:p w14:paraId="6A3C7DF3" w14:textId="6DA9A8E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63.9</w:t>
            </w:r>
          </w:p>
        </w:tc>
        <w:tc>
          <w:tcPr>
            <w:tcW w:w="576" w:type="pct"/>
            <w:tcBorders>
              <w:top w:val="nil"/>
              <w:bottom w:val="nil"/>
            </w:tcBorders>
            <w:vAlign w:val="bottom"/>
          </w:tcPr>
          <w:p w14:paraId="2DB8D38E" w14:textId="20C08DE4"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84.5</w:t>
            </w:r>
          </w:p>
        </w:tc>
        <w:tc>
          <w:tcPr>
            <w:tcW w:w="529" w:type="pct"/>
            <w:tcBorders>
              <w:top w:val="nil"/>
              <w:bottom w:val="nil"/>
            </w:tcBorders>
            <w:vAlign w:val="bottom"/>
          </w:tcPr>
          <w:p w14:paraId="2698C73A" w14:textId="161028B1"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61.4</w:t>
            </w:r>
          </w:p>
        </w:tc>
      </w:tr>
      <w:tr w:rsidR="00173B2F" w:rsidRPr="00CD704D" w14:paraId="336B224B" w14:textId="77777777" w:rsidTr="00173B2F">
        <w:trPr>
          <w:trHeight w:val="245"/>
        </w:trPr>
        <w:tc>
          <w:tcPr>
            <w:tcW w:w="743" w:type="pct"/>
            <w:vMerge/>
            <w:tcBorders>
              <w:top w:val="nil"/>
              <w:bottom w:val="nil"/>
            </w:tcBorders>
          </w:tcPr>
          <w:p w14:paraId="35AEC535"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0CD04A7D"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577" w:type="pct"/>
            <w:tcBorders>
              <w:top w:val="nil"/>
              <w:bottom w:val="nil"/>
            </w:tcBorders>
            <w:vAlign w:val="bottom"/>
          </w:tcPr>
          <w:p w14:paraId="2DC654C9" w14:textId="62AD65C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48.3</w:t>
            </w:r>
          </w:p>
        </w:tc>
        <w:tc>
          <w:tcPr>
            <w:tcW w:w="530" w:type="pct"/>
            <w:tcBorders>
              <w:top w:val="nil"/>
              <w:bottom w:val="nil"/>
            </w:tcBorders>
            <w:vAlign w:val="bottom"/>
          </w:tcPr>
          <w:p w14:paraId="2CAF5F6A" w14:textId="5D0F728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69.0</w:t>
            </w:r>
          </w:p>
        </w:tc>
        <w:tc>
          <w:tcPr>
            <w:tcW w:w="625" w:type="pct"/>
            <w:tcBorders>
              <w:top w:val="nil"/>
              <w:bottom w:val="nil"/>
            </w:tcBorders>
            <w:vAlign w:val="bottom"/>
          </w:tcPr>
          <w:p w14:paraId="5EEC286B" w14:textId="5EAE515B"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73.1</w:t>
            </w:r>
          </w:p>
        </w:tc>
        <w:tc>
          <w:tcPr>
            <w:tcW w:w="576" w:type="pct"/>
            <w:tcBorders>
              <w:top w:val="nil"/>
              <w:bottom w:val="nil"/>
            </w:tcBorders>
            <w:vAlign w:val="bottom"/>
          </w:tcPr>
          <w:p w14:paraId="24D77294" w14:textId="5B763BF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93.5</w:t>
            </w:r>
          </w:p>
        </w:tc>
        <w:tc>
          <w:tcPr>
            <w:tcW w:w="529" w:type="pct"/>
            <w:tcBorders>
              <w:top w:val="nil"/>
              <w:bottom w:val="nil"/>
            </w:tcBorders>
            <w:vAlign w:val="bottom"/>
          </w:tcPr>
          <w:p w14:paraId="78536C35" w14:textId="28C6A9AF"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63.5</w:t>
            </w:r>
          </w:p>
        </w:tc>
      </w:tr>
      <w:tr w:rsidR="00173B2F" w:rsidRPr="00CD704D" w14:paraId="1387ACFB" w14:textId="77777777" w:rsidTr="00173B2F">
        <w:tc>
          <w:tcPr>
            <w:tcW w:w="743" w:type="pct"/>
            <w:vMerge/>
            <w:tcBorders>
              <w:top w:val="nil"/>
              <w:bottom w:val="single" w:sz="4" w:space="0" w:color="auto"/>
            </w:tcBorders>
          </w:tcPr>
          <w:p w14:paraId="300F6699" w14:textId="77777777" w:rsidR="00173B2F" w:rsidRPr="0061439C" w:rsidRDefault="00173B2F" w:rsidP="0061439C">
            <w:pPr>
              <w:rPr>
                <w:rFonts w:ascii="Times New Roman" w:hAnsi="Times New Roman" w:cs="Times New Roman"/>
                <w:sz w:val="22"/>
                <w:szCs w:val="22"/>
              </w:rPr>
            </w:pPr>
          </w:p>
        </w:tc>
        <w:tc>
          <w:tcPr>
            <w:tcW w:w="1420" w:type="pct"/>
            <w:tcBorders>
              <w:top w:val="nil"/>
              <w:bottom w:val="single" w:sz="4" w:space="0" w:color="auto"/>
            </w:tcBorders>
            <w:vAlign w:val="bottom"/>
          </w:tcPr>
          <w:p w14:paraId="59DFBCC5" w14:textId="091740BF"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North</w:t>
            </w:r>
          </w:p>
        </w:tc>
        <w:tc>
          <w:tcPr>
            <w:tcW w:w="577" w:type="pct"/>
            <w:tcBorders>
              <w:top w:val="nil"/>
              <w:bottom w:val="single" w:sz="4" w:space="0" w:color="auto"/>
            </w:tcBorders>
            <w:vAlign w:val="bottom"/>
          </w:tcPr>
          <w:p w14:paraId="7759AC74" w14:textId="2942956F"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50.3</w:t>
            </w:r>
          </w:p>
        </w:tc>
        <w:tc>
          <w:tcPr>
            <w:tcW w:w="530" w:type="pct"/>
            <w:tcBorders>
              <w:top w:val="nil"/>
              <w:bottom w:val="single" w:sz="4" w:space="0" w:color="auto"/>
            </w:tcBorders>
            <w:vAlign w:val="bottom"/>
          </w:tcPr>
          <w:p w14:paraId="4639C4A4" w14:textId="0909B904"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68.2</w:t>
            </w:r>
          </w:p>
        </w:tc>
        <w:tc>
          <w:tcPr>
            <w:tcW w:w="625" w:type="pct"/>
            <w:tcBorders>
              <w:top w:val="nil"/>
              <w:bottom w:val="single" w:sz="4" w:space="0" w:color="auto"/>
            </w:tcBorders>
            <w:vAlign w:val="bottom"/>
          </w:tcPr>
          <w:p w14:paraId="3139B400" w14:textId="37F13D3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71.3</w:t>
            </w:r>
          </w:p>
        </w:tc>
        <w:tc>
          <w:tcPr>
            <w:tcW w:w="576" w:type="pct"/>
            <w:tcBorders>
              <w:top w:val="nil"/>
              <w:bottom w:val="single" w:sz="4" w:space="0" w:color="auto"/>
            </w:tcBorders>
            <w:vAlign w:val="bottom"/>
          </w:tcPr>
          <w:p w14:paraId="0DBB3779" w14:textId="0476610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89.8</w:t>
            </w:r>
          </w:p>
        </w:tc>
        <w:tc>
          <w:tcPr>
            <w:tcW w:w="529" w:type="pct"/>
            <w:tcBorders>
              <w:top w:val="nil"/>
              <w:bottom w:val="single" w:sz="4" w:space="0" w:color="auto"/>
            </w:tcBorders>
            <w:vAlign w:val="bottom"/>
          </w:tcPr>
          <w:p w14:paraId="624BDDC5" w14:textId="55AC39D9"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62.4</w:t>
            </w:r>
          </w:p>
        </w:tc>
      </w:tr>
      <w:tr w:rsidR="00173B2F" w:rsidRPr="00CD704D" w14:paraId="1EBE2F93" w14:textId="77777777" w:rsidTr="00173B2F">
        <w:tc>
          <w:tcPr>
            <w:tcW w:w="743" w:type="pct"/>
            <w:vMerge w:val="restart"/>
            <w:tcBorders>
              <w:top w:val="single" w:sz="4" w:space="0" w:color="auto"/>
              <w:bottom w:val="nil"/>
            </w:tcBorders>
          </w:tcPr>
          <w:p w14:paraId="5703C790" w14:textId="094D15B5" w:rsidR="00173B2F" w:rsidRPr="0061439C" w:rsidRDefault="00FD7E50" w:rsidP="0061439C">
            <w:pPr>
              <w:rPr>
                <w:rFonts w:ascii="Times New Roman" w:hAnsi="Times New Roman" w:cs="Times New Roman"/>
                <w:sz w:val="22"/>
                <w:szCs w:val="22"/>
              </w:rPr>
            </w:pPr>
            <w:r>
              <w:rPr>
                <w:rFonts w:ascii="Times New Roman" w:hAnsi="Times New Roman" w:cs="Times New Roman"/>
                <w:sz w:val="22"/>
                <w:szCs w:val="22"/>
              </w:rPr>
              <w:t>South</w:t>
            </w:r>
          </w:p>
        </w:tc>
        <w:tc>
          <w:tcPr>
            <w:tcW w:w="1420" w:type="pct"/>
            <w:tcBorders>
              <w:top w:val="single" w:sz="4" w:space="0" w:color="auto"/>
              <w:bottom w:val="nil"/>
            </w:tcBorders>
            <w:vAlign w:val="bottom"/>
          </w:tcPr>
          <w:p w14:paraId="470BC9DC"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Big city districts</w:t>
            </w:r>
          </w:p>
        </w:tc>
        <w:tc>
          <w:tcPr>
            <w:tcW w:w="577" w:type="pct"/>
            <w:tcBorders>
              <w:top w:val="single" w:sz="4" w:space="0" w:color="auto"/>
              <w:bottom w:val="nil"/>
            </w:tcBorders>
            <w:vAlign w:val="bottom"/>
          </w:tcPr>
          <w:p w14:paraId="2A4BE200" w14:textId="51109C9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3.6</w:t>
            </w:r>
          </w:p>
        </w:tc>
        <w:tc>
          <w:tcPr>
            <w:tcW w:w="530" w:type="pct"/>
            <w:tcBorders>
              <w:top w:val="single" w:sz="4" w:space="0" w:color="auto"/>
              <w:bottom w:val="nil"/>
            </w:tcBorders>
            <w:vAlign w:val="bottom"/>
          </w:tcPr>
          <w:p w14:paraId="3C29F51D" w14:textId="73190147" w:rsidR="00173B2F" w:rsidRPr="0061439C" w:rsidRDefault="00173B2F" w:rsidP="0061439C">
            <w:pPr>
              <w:jc w:val="center"/>
              <w:rPr>
                <w:rFonts w:ascii="Times New Roman" w:hAnsi="Times New Roman" w:cs="Times New Roman"/>
                <w:sz w:val="22"/>
                <w:szCs w:val="22"/>
              </w:rPr>
            </w:pPr>
          </w:p>
        </w:tc>
        <w:tc>
          <w:tcPr>
            <w:tcW w:w="625" w:type="pct"/>
            <w:tcBorders>
              <w:top w:val="single" w:sz="4" w:space="0" w:color="auto"/>
              <w:bottom w:val="nil"/>
            </w:tcBorders>
            <w:vAlign w:val="bottom"/>
          </w:tcPr>
          <w:p w14:paraId="30AD2E94" w14:textId="615DE8E2" w:rsidR="00173B2F" w:rsidRPr="0061439C" w:rsidRDefault="00173B2F" w:rsidP="0061439C">
            <w:pPr>
              <w:jc w:val="center"/>
              <w:rPr>
                <w:rFonts w:ascii="Times New Roman" w:hAnsi="Times New Roman" w:cs="Times New Roman"/>
                <w:sz w:val="22"/>
                <w:szCs w:val="22"/>
              </w:rPr>
            </w:pPr>
          </w:p>
        </w:tc>
        <w:tc>
          <w:tcPr>
            <w:tcW w:w="576" w:type="pct"/>
            <w:tcBorders>
              <w:top w:val="single" w:sz="4" w:space="0" w:color="auto"/>
              <w:bottom w:val="nil"/>
            </w:tcBorders>
            <w:vAlign w:val="bottom"/>
          </w:tcPr>
          <w:p w14:paraId="7EE0C3D2" w14:textId="53996830" w:rsidR="00173B2F" w:rsidRPr="0061439C" w:rsidRDefault="00173B2F" w:rsidP="0061439C">
            <w:pPr>
              <w:jc w:val="center"/>
              <w:rPr>
                <w:rFonts w:ascii="Times New Roman" w:hAnsi="Times New Roman" w:cs="Times New Roman"/>
                <w:sz w:val="22"/>
                <w:szCs w:val="22"/>
              </w:rPr>
            </w:pPr>
          </w:p>
        </w:tc>
        <w:tc>
          <w:tcPr>
            <w:tcW w:w="529" w:type="pct"/>
            <w:tcBorders>
              <w:top w:val="single" w:sz="4" w:space="0" w:color="auto"/>
              <w:bottom w:val="nil"/>
            </w:tcBorders>
            <w:vAlign w:val="bottom"/>
          </w:tcPr>
          <w:p w14:paraId="0FC54A40" w14:textId="69BD4B2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3.3</w:t>
            </w:r>
          </w:p>
        </w:tc>
      </w:tr>
      <w:tr w:rsidR="00173B2F" w:rsidRPr="00CD704D" w14:paraId="5FF6A92C" w14:textId="77777777" w:rsidTr="00173B2F">
        <w:tc>
          <w:tcPr>
            <w:tcW w:w="743" w:type="pct"/>
            <w:vMerge/>
            <w:tcBorders>
              <w:top w:val="nil"/>
              <w:bottom w:val="nil"/>
            </w:tcBorders>
          </w:tcPr>
          <w:p w14:paraId="0133E855"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3F64B4C2"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577" w:type="pct"/>
            <w:tcBorders>
              <w:top w:val="nil"/>
              <w:bottom w:val="nil"/>
            </w:tcBorders>
            <w:vAlign w:val="bottom"/>
          </w:tcPr>
          <w:p w14:paraId="157752F1" w14:textId="1DF847F9"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15.7</w:t>
            </w:r>
          </w:p>
        </w:tc>
        <w:tc>
          <w:tcPr>
            <w:tcW w:w="530" w:type="pct"/>
            <w:tcBorders>
              <w:top w:val="nil"/>
              <w:bottom w:val="nil"/>
            </w:tcBorders>
            <w:vAlign w:val="bottom"/>
          </w:tcPr>
          <w:p w14:paraId="1DB5AC0A" w14:textId="58EDCF2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36.4</w:t>
            </w:r>
          </w:p>
        </w:tc>
        <w:tc>
          <w:tcPr>
            <w:tcW w:w="625" w:type="pct"/>
            <w:tcBorders>
              <w:top w:val="nil"/>
              <w:bottom w:val="nil"/>
            </w:tcBorders>
            <w:vAlign w:val="bottom"/>
          </w:tcPr>
          <w:p w14:paraId="5D95AFDB" w14:textId="3631181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50.4</w:t>
            </w:r>
          </w:p>
        </w:tc>
        <w:tc>
          <w:tcPr>
            <w:tcW w:w="576" w:type="pct"/>
            <w:tcBorders>
              <w:top w:val="nil"/>
              <w:bottom w:val="nil"/>
            </w:tcBorders>
            <w:vAlign w:val="bottom"/>
          </w:tcPr>
          <w:p w14:paraId="5288558D" w14:textId="39FEEEE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529" w:type="pct"/>
            <w:tcBorders>
              <w:top w:val="nil"/>
              <w:bottom w:val="nil"/>
            </w:tcBorders>
            <w:vAlign w:val="bottom"/>
          </w:tcPr>
          <w:p w14:paraId="5346D8C4" w14:textId="0420D4F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25.1</w:t>
            </w:r>
          </w:p>
        </w:tc>
      </w:tr>
      <w:tr w:rsidR="00173B2F" w:rsidRPr="00CD704D" w14:paraId="514A2392" w14:textId="77777777" w:rsidTr="00173B2F">
        <w:tc>
          <w:tcPr>
            <w:tcW w:w="743" w:type="pct"/>
            <w:vMerge/>
            <w:tcBorders>
              <w:top w:val="nil"/>
              <w:bottom w:val="nil"/>
            </w:tcBorders>
          </w:tcPr>
          <w:p w14:paraId="14C4F240"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628E3EFD"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577" w:type="pct"/>
            <w:tcBorders>
              <w:top w:val="nil"/>
              <w:bottom w:val="nil"/>
            </w:tcBorders>
            <w:vAlign w:val="bottom"/>
          </w:tcPr>
          <w:p w14:paraId="06136387" w14:textId="7A97AE0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23.3</w:t>
            </w:r>
          </w:p>
        </w:tc>
        <w:tc>
          <w:tcPr>
            <w:tcW w:w="530" w:type="pct"/>
            <w:tcBorders>
              <w:top w:val="nil"/>
              <w:bottom w:val="nil"/>
            </w:tcBorders>
            <w:vAlign w:val="bottom"/>
          </w:tcPr>
          <w:p w14:paraId="30DDEFEF" w14:textId="27FCEEC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42.3</w:t>
            </w:r>
          </w:p>
        </w:tc>
        <w:tc>
          <w:tcPr>
            <w:tcW w:w="625" w:type="pct"/>
            <w:tcBorders>
              <w:top w:val="nil"/>
              <w:bottom w:val="nil"/>
            </w:tcBorders>
            <w:vAlign w:val="bottom"/>
          </w:tcPr>
          <w:p w14:paraId="4D4A7F03" w14:textId="2D614234"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58.6</w:t>
            </w:r>
          </w:p>
        </w:tc>
        <w:tc>
          <w:tcPr>
            <w:tcW w:w="576" w:type="pct"/>
            <w:tcBorders>
              <w:top w:val="nil"/>
              <w:bottom w:val="nil"/>
            </w:tcBorders>
            <w:vAlign w:val="bottom"/>
          </w:tcPr>
          <w:p w14:paraId="3DF7721A" w14:textId="07358CA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48.7</w:t>
            </w:r>
          </w:p>
        </w:tc>
        <w:tc>
          <w:tcPr>
            <w:tcW w:w="529" w:type="pct"/>
            <w:tcBorders>
              <w:top w:val="nil"/>
              <w:bottom w:val="nil"/>
            </w:tcBorders>
            <w:vAlign w:val="bottom"/>
          </w:tcPr>
          <w:p w14:paraId="58E12B62" w14:textId="59598D0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32.0</w:t>
            </w:r>
          </w:p>
        </w:tc>
      </w:tr>
      <w:tr w:rsidR="00173B2F" w:rsidRPr="00CD704D" w14:paraId="2E8032A2" w14:textId="77777777" w:rsidTr="00173B2F">
        <w:tc>
          <w:tcPr>
            <w:tcW w:w="743" w:type="pct"/>
            <w:vMerge/>
            <w:tcBorders>
              <w:top w:val="nil"/>
              <w:bottom w:val="nil"/>
            </w:tcBorders>
          </w:tcPr>
          <w:p w14:paraId="24437121"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4A57D7B4"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577" w:type="pct"/>
            <w:tcBorders>
              <w:top w:val="nil"/>
              <w:bottom w:val="nil"/>
            </w:tcBorders>
            <w:vAlign w:val="bottom"/>
          </w:tcPr>
          <w:p w14:paraId="26FAF0A1" w14:textId="5B84EC6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28.6</w:t>
            </w:r>
          </w:p>
        </w:tc>
        <w:tc>
          <w:tcPr>
            <w:tcW w:w="530" w:type="pct"/>
            <w:tcBorders>
              <w:top w:val="nil"/>
              <w:bottom w:val="nil"/>
            </w:tcBorders>
            <w:vAlign w:val="bottom"/>
          </w:tcPr>
          <w:p w14:paraId="03EE1AF9" w14:textId="156D6271"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47.6</w:t>
            </w:r>
          </w:p>
        </w:tc>
        <w:tc>
          <w:tcPr>
            <w:tcW w:w="625" w:type="pct"/>
            <w:tcBorders>
              <w:top w:val="nil"/>
              <w:bottom w:val="nil"/>
            </w:tcBorders>
            <w:vAlign w:val="bottom"/>
          </w:tcPr>
          <w:p w14:paraId="608D64B3" w14:textId="20663FA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56.1</w:t>
            </w:r>
          </w:p>
        </w:tc>
        <w:tc>
          <w:tcPr>
            <w:tcW w:w="576" w:type="pct"/>
            <w:tcBorders>
              <w:top w:val="nil"/>
              <w:bottom w:val="nil"/>
            </w:tcBorders>
            <w:vAlign w:val="bottom"/>
          </w:tcPr>
          <w:p w14:paraId="2B5D013E" w14:textId="19400AC1"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29.2</w:t>
            </w:r>
          </w:p>
        </w:tc>
        <w:tc>
          <w:tcPr>
            <w:tcW w:w="529" w:type="pct"/>
            <w:tcBorders>
              <w:top w:val="nil"/>
              <w:bottom w:val="nil"/>
            </w:tcBorders>
            <w:vAlign w:val="bottom"/>
          </w:tcPr>
          <w:p w14:paraId="2A0575AD" w14:textId="48E95F69"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38.8</w:t>
            </w:r>
          </w:p>
        </w:tc>
      </w:tr>
      <w:tr w:rsidR="00173B2F" w:rsidRPr="00CD704D" w14:paraId="6E0CF44A" w14:textId="77777777" w:rsidTr="00173B2F">
        <w:tc>
          <w:tcPr>
            <w:tcW w:w="743" w:type="pct"/>
            <w:vMerge/>
            <w:tcBorders>
              <w:top w:val="nil"/>
              <w:bottom w:val="single" w:sz="4" w:space="0" w:color="auto"/>
            </w:tcBorders>
          </w:tcPr>
          <w:p w14:paraId="072340F4" w14:textId="77777777" w:rsidR="00173B2F" w:rsidRPr="0061439C" w:rsidRDefault="00173B2F" w:rsidP="0061439C">
            <w:pPr>
              <w:rPr>
                <w:rFonts w:ascii="Times New Roman" w:hAnsi="Times New Roman" w:cs="Times New Roman"/>
                <w:sz w:val="22"/>
                <w:szCs w:val="22"/>
              </w:rPr>
            </w:pPr>
          </w:p>
        </w:tc>
        <w:tc>
          <w:tcPr>
            <w:tcW w:w="1420" w:type="pct"/>
            <w:tcBorders>
              <w:top w:val="nil"/>
              <w:bottom w:val="single" w:sz="4" w:space="0" w:color="auto"/>
            </w:tcBorders>
            <w:vAlign w:val="bottom"/>
          </w:tcPr>
          <w:p w14:paraId="6E7F8AC8" w14:textId="3BFE1C0E"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South</w:t>
            </w:r>
          </w:p>
        </w:tc>
        <w:tc>
          <w:tcPr>
            <w:tcW w:w="577" w:type="pct"/>
            <w:tcBorders>
              <w:top w:val="nil"/>
              <w:bottom w:val="single" w:sz="4" w:space="0" w:color="auto"/>
            </w:tcBorders>
            <w:vAlign w:val="bottom"/>
          </w:tcPr>
          <w:p w14:paraId="2DFC1910" w14:textId="1E8727EB"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26.2</w:t>
            </w:r>
          </w:p>
        </w:tc>
        <w:tc>
          <w:tcPr>
            <w:tcW w:w="530" w:type="pct"/>
            <w:tcBorders>
              <w:top w:val="nil"/>
              <w:bottom w:val="single" w:sz="4" w:space="0" w:color="auto"/>
            </w:tcBorders>
            <w:vAlign w:val="bottom"/>
          </w:tcPr>
          <w:p w14:paraId="3B5A3EC6" w14:textId="42132C4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45.7</w:t>
            </w:r>
          </w:p>
        </w:tc>
        <w:tc>
          <w:tcPr>
            <w:tcW w:w="625" w:type="pct"/>
            <w:tcBorders>
              <w:top w:val="nil"/>
              <w:bottom w:val="single" w:sz="4" w:space="0" w:color="auto"/>
            </w:tcBorders>
            <w:vAlign w:val="bottom"/>
          </w:tcPr>
          <w:p w14:paraId="1027021B" w14:textId="749570D5"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56.6</w:t>
            </w:r>
          </w:p>
        </w:tc>
        <w:tc>
          <w:tcPr>
            <w:tcW w:w="576" w:type="pct"/>
            <w:tcBorders>
              <w:top w:val="nil"/>
              <w:bottom w:val="single" w:sz="4" w:space="0" w:color="auto"/>
            </w:tcBorders>
            <w:vAlign w:val="bottom"/>
          </w:tcPr>
          <w:p w14:paraId="438886EC" w14:textId="2416969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40.4</w:t>
            </w:r>
          </w:p>
        </w:tc>
        <w:tc>
          <w:tcPr>
            <w:tcW w:w="529" w:type="pct"/>
            <w:tcBorders>
              <w:top w:val="nil"/>
              <w:bottom w:val="single" w:sz="4" w:space="0" w:color="auto"/>
            </w:tcBorders>
            <w:vAlign w:val="bottom"/>
          </w:tcPr>
          <w:p w14:paraId="67ACDFA7" w14:textId="119ADD7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36.1</w:t>
            </w:r>
          </w:p>
        </w:tc>
      </w:tr>
      <w:tr w:rsidR="00173B2F" w:rsidRPr="00CD704D" w14:paraId="419714CD" w14:textId="77777777" w:rsidTr="00173B2F">
        <w:tc>
          <w:tcPr>
            <w:tcW w:w="743" w:type="pct"/>
            <w:tcBorders>
              <w:top w:val="single" w:sz="4" w:space="0" w:color="auto"/>
            </w:tcBorders>
          </w:tcPr>
          <w:p w14:paraId="0204A6EF" w14:textId="591A4F62" w:rsidR="00173B2F" w:rsidRPr="0061439C" w:rsidRDefault="00173B2F" w:rsidP="0061439C">
            <w:pPr>
              <w:rPr>
                <w:rFonts w:ascii="Times New Roman" w:hAnsi="Times New Roman" w:cs="Times New Roman"/>
                <w:sz w:val="22"/>
                <w:szCs w:val="22"/>
              </w:rPr>
            </w:pPr>
            <w:r w:rsidRPr="0061439C">
              <w:rPr>
                <w:rFonts w:ascii="Times New Roman" w:hAnsi="Times New Roman" w:cs="Times New Roman"/>
                <w:sz w:val="22"/>
                <w:szCs w:val="22"/>
              </w:rPr>
              <w:t>National</w:t>
            </w:r>
          </w:p>
        </w:tc>
        <w:tc>
          <w:tcPr>
            <w:tcW w:w="1420" w:type="pct"/>
            <w:tcBorders>
              <w:top w:val="single" w:sz="4" w:space="0" w:color="auto"/>
            </w:tcBorders>
          </w:tcPr>
          <w:p w14:paraId="0784CF9B" w14:textId="1A68A25D" w:rsidR="00173B2F" w:rsidRPr="0061439C" w:rsidRDefault="00173B2F" w:rsidP="0061439C">
            <w:pPr>
              <w:rPr>
                <w:rFonts w:ascii="Times New Roman" w:hAnsi="Times New Roman" w:cs="Times New Roman"/>
                <w:sz w:val="22"/>
                <w:szCs w:val="22"/>
              </w:rPr>
            </w:pPr>
            <w:r w:rsidRPr="0061439C">
              <w:rPr>
                <w:rFonts w:ascii="Times New Roman" w:hAnsi="Times New Roman" w:cs="Times New Roman"/>
                <w:sz w:val="22"/>
                <w:szCs w:val="22"/>
              </w:rPr>
              <w:t>Total</w:t>
            </w:r>
          </w:p>
        </w:tc>
        <w:tc>
          <w:tcPr>
            <w:tcW w:w="577" w:type="pct"/>
            <w:tcBorders>
              <w:top w:val="single" w:sz="4" w:space="0" w:color="auto"/>
            </w:tcBorders>
            <w:vAlign w:val="bottom"/>
          </w:tcPr>
          <w:p w14:paraId="0D1D2A4E" w14:textId="7D2EFF2F"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32.7</w:t>
            </w:r>
          </w:p>
        </w:tc>
        <w:tc>
          <w:tcPr>
            <w:tcW w:w="530" w:type="pct"/>
            <w:tcBorders>
              <w:top w:val="single" w:sz="4" w:space="0" w:color="auto"/>
            </w:tcBorders>
            <w:vAlign w:val="bottom"/>
          </w:tcPr>
          <w:p w14:paraId="32ECB743" w14:textId="2869E8B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55.0</w:t>
            </w:r>
          </w:p>
        </w:tc>
        <w:tc>
          <w:tcPr>
            <w:tcW w:w="625" w:type="pct"/>
            <w:tcBorders>
              <w:top w:val="single" w:sz="4" w:space="0" w:color="auto"/>
            </w:tcBorders>
            <w:vAlign w:val="bottom"/>
          </w:tcPr>
          <w:p w14:paraId="3E3F541E" w14:textId="58B26956"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63.7</w:t>
            </w:r>
          </w:p>
        </w:tc>
        <w:tc>
          <w:tcPr>
            <w:tcW w:w="576" w:type="pct"/>
            <w:tcBorders>
              <w:top w:val="single" w:sz="4" w:space="0" w:color="auto"/>
            </w:tcBorders>
            <w:vAlign w:val="bottom"/>
          </w:tcPr>
          <w:p w14:paraId="1E8AE07C" w14:textId="7BA61F0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73.7</w:t>
            </w:r>
          </w:p>
        </w:tc>
        <w:tc>
          <w:tcPr>
            <w:tcW w:w="529" w:type="pct"/>
            <w:tcBorders>
              <w:top w:val="single" w:sz="4" w:space="0" w:color="auto"/>
            </w:tcBorders>
            <w:vAlign w:val="bottom"/>
          </w:tcPr>
          <w:p w14:paraId="50D2C9DD" w14:textId="7A24FB3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45.4</w:t>
            </w:r>
          </w:p>
        </w:tc>
      </w:tr>
    </w:tbl>
    <w:p w14:paraId="02C5BD93" w14:textId="77777777" w:rsidR="0061439C" w:rsidRDefault="00DE596E" w:rsidP="00EF7FD9">
      <w:pPr>
        <w:jc w:val="both"/>
        <w:rPr>
          <w:rFonts w:ascii="Times New Roman" w:hAnsi="Times New Roman" w:cs="Times New Roman"/>
        </w:rPr>
      </w:pPr>
      <w:r w:rsidRPr="004B61C7">
        <w:rPr>
          <w:rFonts w:ascii="Times New Roman" w:hAnsi="Times New Roman" w:cs="Times New Roman"/>
        </w:rPr>
        <w:t xml:space="preserve">Source: </w:t>
      </w:r>
      <w:r w:rsidR="004B61C7" w:rsidRPr="004B61C7">
        <w:rPr>
          <w:rFonts w:ascii="Times New Roman" w:hAnsi="Times New Roman" w:cs="Times New Roman"/>
        </w:rPr>
        <w:t xml:space="preserve">Authors calculations using </w:t>
      </w:r>
      <w:r w:rsidRPr="004B61C7">
        <w:rPr>
          <w:rFonts w:ascii="Times New Roman" w:hAnsi="Times New Roman" w:cs="Times New Roman"/>
        </w:rPr>
        <w:t>GLSS6</w:t>
      </w:r>
      <w:r w:rsidR="008D3275">
        <w:rPr>
          <w:rFonts w:ascii="Times New Roman" w:hAnsi="Times New Roman" w:cs="Times New Roman"/>
        </w:rPr>
        <w:t xml:space="preserve"> </w:t>
      </w:r>
    </w:p>
    <w:p w14:paraId="5C05DD6E" w14:textId="3EE79EF6" w:rsidR="00DE596E" w:rsidRPr="004B61C7" w:rsidRDefault="008D3275" w:rsidP="00EF7FD9">
      <w:pPr>
        <w:jc w:val="both"/>
        <w:rPr>
          <w:rFonts w:ascii="Times New Roman" w:hAnsi="Times New Roman" w:cs="Times New Roman"/>
        </w:rPr>
      </w:pPr>
      <w:r w:rsidRPr="0061439C">
        <w:rPr>
          <w:rFonts w:ascii="Times New Roman" w:hAnsi="Times New Roman" w:cs="Times New Roman"/>
          <w:highlight w:val="yellow"/>
        </w:rPr>
        <w:t>(</w:t>
      </w:r>
      <w:r w:rsidR="0061439C" w:rsidRPr="0061439C">
        <w:rPr>
          <w:rFonts w:ascii="Times New Roman" w:hAnsi="Times New Roman" w:cs="Times New Roman"/>
          <w:highlight w:val="yellow"/>
        </w:rPr>
        <w:t>I</w:t>
      </w:r>
      <w:r w:rsidRPr="0061439C">
        <w:rPr>
          <w:rFonts w:ascii="Times New Roman" w:hAnsi="Times New Roman" w:cs="Times New Roman"/>
          <w:highlight w:val="yellow"/>
        </w:rPr>
        <w:t>n file:\IFPRI1995\GSSP\Youth</w:t>
      </w:r>
      <w:r w:rsidR="0085512F" w:rsidRPr="0061439C">
        <w:rPr>
          <w:rFonts w:ascii="Times New Roman" w:hAnsi="Times New Roman" w:cs="Times New Roman"/>
          <w:highlight w:val="yellow"/>
        </w:rPr>
        <w:t>\</w:t>
      </w:r>
      <w:r w:rsidRPr="0061439C">
        <w:rPr>
          <w:rFonts w:ascii="Times New Roman" w:hAnsi="Times New Roman" w:cs="Times New Roman"/>
          <w:highlight w:val="yellow"/>
        </w:rPr>
        <w:t>Jed</w:t>
      </w:r>
      <w:r w:rsidR="0085512F" w:rsidRPr="0061439C">
        <w:rPr>
          <w:rFonts w:ascii="Times New Roman" w:hAnsi="Times New Roman" w:cs="Times New Roman"/>
          <w:highlight w:val="yellow"/>
        </w:rPr>
        <w:t>\</w:t>
      </w:r>
      <w:r w:rsidRPr="0061439C">
        <w:rPr>
          <w:rFonts w:ascii="Times New Roman" w:hAnsi="Times New Roman" w:cs="Times New Roman"/>
          <w:highlight w:val="yellow"/>
        </w:rPr>
        <w:t>New defined two regions_Sep2016\</w:t>
      </w:r>
      <w:proofErr w:type="gramStart"/>
      <w:r w:rsidRPr="0061439C">
        <w:rPr>
          <w:rFonts w:ascii="Times New Roman" w:hAnsi="Times New Roman" w:cs="Times New Roman"/>
          <w:highlight w:val="yellow"/>
        </w:rPr>
        <w:t>chapter</w:t>
      </w:r>
      <w:r w:rsidR="0085512F" w:rsidRPr="0061439C">
        <w:rPr>
          <w:rFonts w:ascii="Times New Roman" w:hAnsi="Times New Roman" w:cs="Times New Roman"/>
          <w:highlight w:val="yellow"/>
        </w:rPr>
        <w:t>5</w:t>
      </w:r>
      <w:r w:rsidRPr="0061439C">
        <w:rPr>
          <w:rFonts w:ascii="Times New Roman" w:hAnsi="Times New Roman" w:cs="Times New Roman"/>
          <w:highlight w:val="yellow"/>
        </w:rPr>
        <w:t>tables(</w:t>
      </w:r>
      <w:proofErr w:type="gramEnd"/>
      <w:r w:rsidRPr="0061439C">
        <w:rPr>
          <w:rFonts w:ascii="Times New Roman" w:hAnsi="Times New Roman" w:cs="Times New Roman"/>
          <w:highlight w:val="yellow"/>
        </w:rPr>
        <w:t>XD-Oct9), sheet “new”</w:t>
      </w:r>
      <w:r w:rsidR="00BF0D66">
        <w:rPr>
          <w:rFonts w:ascii="Times New Roman" w:hAnsi="Times New Roman" w:cs="Times New Roman"/>
          <w:highlight w:val="yellow"/>
        </w:rPr>
        <w:t xml:space="preserve"> row H14</w:t>
      </w:r>
      <w:r w:rsidRPr="0061439C">
        <w:rPr>
          <w:rFonts w:ascii="Times New Roman" w:hAnsi="Times New Roman" w:cs="Times New Roman"/>
          <w:highlight w:val="yellow"/>
        </w:rPr>
        <w:t>).</w:t>
      </w:r>
    </w:p>
    <w:p w14:paraId="680CA072" w14:textId="77777777" w:rsidR="00DE596E" w:rsidRPr="00CD704D" w:rsidRDefault="00DE596E" w:rsidP="00EF7FD9">
      <w:pPr>
        <w:jc w:val="both"/>
        <w:rPr>
          <w:rFonts w:ascii="Times New Roman" w:hAnsi="Times New Roman" w:cs="Times New Roman"/>
          <w:sz w:val="24"/>
          <w:szCs w:val="24"/>
        </w:rPr>
      </w:pPr>
    </w:p>
    <w:p w14:paraId="47742D4D" w14:textId="53DC6736" w:rsidR="00DE596E" w:rsidRPr="00CD704D" w:rsidRDefault="00C91EDC" w:rsidP="0061439C">
      <w:pPr>
        <w:widowControl w:val="0"/>
        <w:autoSpaceDE w:val="0"/>
        <w:autoSpaceDN w:val="0"/>
        <w:adjustRightInd w:val="0"/>
        <w:spacing w:after="240" w:line="360" w:lineRule="auto"/>
        <w:ind w:firstLine="360"/>
        <w:jc w:val="both"/>
        <w:rPr>
          <w:rFonts w:ascii="Times New Roman" w:hAnsi="Times New Roman" w:cs="Times New Roman"/>
          <w:sz w:val="24"/>
          <w:szCs w:val="24"/>
        </w:rPr>
      </w:pPr>
      <w:r w:rsidRPr="00262539">
        <w:rPr>
          <w:rFonts w:ascii="Times New Roman" w:hAnsi="Times New Roman" w:cs="Times New Roman"/>
          <w:sz w:val="24"/>
          <w:szCs w:val="24"/>
          <w:u w:val="single"/>
        </w:rPr>
        <w:t>Herbicide</w:t>
      </w:r>
      <w:r w:rsidR="00E462BB">
        <w:rPr>
          <w:rFonts w:ascii="Times New Roman" w:hAnsi="Times New Roman" w:cs="Times New Roman"/>
          <w:sz w:val="24"/>
          <w:szCs w:val="24"/>
          <w:u w:val="single"/>
        </w:rPr>
        <w:t xml:space="preserve"> and insecticide</w:t>
      </w:r>
      <w:r w:rsidRPr="00262539">
        <w:rPr>
          <w:rFonts w:ascii="Times New Roman" w:hAnsi="Times New Roman" w:cs="Times New Roman"/>
          <w:sz w:val="24"/>
          <w:szCs w:val="24"/>
          <w:u w:val="single"/>
        </w:rPr>
        <w:t xml:space="preserve"> use</w:t>
      </w:r>
      <w:r w:rsidRPr="00CD704D">
        <w:rPr>
          <w:rFonts w:ascii="Times New Roman" w:hAnsi="Times New Roman" w:cs="Times New Roman"/>
          <w:sz w:val="24"/>
          <w:szCs w:val="24"/>
        </w:rPr>
        <w:t xml:space="preserve"> </w:t>
      </w:r>
      <w:r w:rsidR="000E06E6">
        <w:rPr>
          <w:rFonts w:ascii="Times New Roman" w:hAnsi="Times New Roman" w:cs="Times New Roman"/>
          <w:sz w:val="24"/>
          <w:szCs w:val="24"/>
        </w:rPr>
        <w:t xml:space="preserve">in Ghana has also increased </w:t>
      </w:r>
      <w:r w:rsidR="00FF1089">
        <w:rPr>
          <w:rFonts w:ascii="Times New Roman" w:hAnsi="Times New Roman" w:cs="Times New Roman"/>
          <w:sz w:val="24"/>
          <w:szCs w:val="24"/>
        </w:rPr>
        <w:t xml:space="preserve">sharply </w:t>
      </w:r>
      <w:r w:rsidR="000E06E6">
        <w:rPr>
          <w:rFonts w:ascii="Times New Roman" w:hAnsi="Times New Roman" w:cs="Times New Roman"/>
          <w:sz w:val="24"/>
          <w:szCs w:val="24"/>
        </w:rPr>
        <w:t xml:space="preserve">in recent years, </w:t>
      </w:r>
      <w:r w:rsidR="00FD628C">
        <w:rPr>
          <w:rFonts w:ascii="Times New Roman" w:hAnsi="Times New Roman" w:cs="Times New Roman"/>
          <w:sz w:val="24"/>
          <w:szCs w:val="24"/>
        </w:rPr>
        <w:t xml:space="preserve">from less than 2 percent of all farm households in 1998 to </w:t>
      </w:r>
      <w:r w:rsidR="00FF1089">
        <w:rPr>
          <w:rFonts w:ascii="Times New Roman" w:hAnsi="Times New Roman" w:cs="Times New Roman"/>
          <w:sz w:val="24"/>
          <w:szCs w:val="24"/>
        </w:rPr>
        <w:t>about 55</w:t>
      </w:r>
      <w:r w:rsidR="00FD628C">
        <w:rPr>
          <w:rFonts w:ascii="Times New Roman" w:hAnsi="Times New Roman" w:cs="Times New Roman"/>
          <w:sz w:val="24"/>
          <w:szCs w:val="24"/>
        </w:rPr>
        <w:t xml:space="preserve"> percent in </w:t>
      </w:r>
      <w:r w:rsidR="00FD628C" w:rsidRPr="00FF1089">
        <w:rPr>
          <w:rFonts w:ascii="Times New Roman" w:hAnsi="Times New Roman" w:cs="Times New Roman"/>
          <w:sz w:val="24"/>
          <w:szCs w:val="24"/>
        </w:rPr>
        <w:t>2013 (</w:t>
      </w:r>
      <w:r w:rsidR="00FD628C" w:rsidRPr="00FF1089">
        <w:rPr>
          <w:rFonts w:ascii="Times New Roman" w:hAnsi="Times New Roman" w:cs="Times New Roman"/>
          <w:bCs/>
          <w:sz w:val="24"/>
          <w:szCs w:val="24"/>
        </w:rPr>
        <w:t>Grabowski and Jayne, 2016</w:t>
      </w:r>
      <w:r w:rsidR="00FD628C" w:rsidRPr="00FF1089">
        <w:rPr>
          <w:rFonts w:ascii="Times New Roman" w:hAnsi="Times New Roman" w:cs="Times New Roman"/>
          <w:sz w:val="24"/>
          <w:szCs w:val="24"/>
        </w:rPr>
        <w:t>).</w:t>
      </w:r>
      <w:r w:rsidR="00FD628C">
        <w:rPr>
          <w:rFonts w:ascii="Times New Roman" w:hAnsi="Times New Roman" w:cs="Times New Roman"/>
          <w:sz w:val="24"/>
          <w:szCs w:val="24"/>
        </w:rPr>
        <w:t xml:space="preserve"> </w:t>
      </w:r>
      <w:r w:rsidR="00FF1089">
        <w:rPr>
          <w:rFonts w:ascii="Times New Roman" w:hAnsi="Times New Roman" w:cs="Times New Roman"/>
          <w:sz w:val="24"/>
          <w:szCs w:val="24"/>
        </w:rPr>
        <w:t xml:space="preserve">Nationally, about 70 percent of farm households used herbicides </w:t>
      </w:r>
      <w:r w:rsidR="00142EB5">
        <w:rPr>
          <w:rFonts w:ascii="Times New Roman" w:hAnsi="Times New Roman" w:cs="Times New Roman"/>
          <w:sz w:val="24"/>
          <w:szCs w:val="24"/>
        </w:rPr>
        <w:t xml:space="preserve">or/and </w:t>
      </w:r>
      <w:r w:rsidR="00FF1089">
        <w:rPr>
          <w:rFonts w:ascii="Times New Roman" w:hAnsi="Times New Roman" w:cs="Times New Roman"/>
          <w:sz w:val="24"/>
          <w:szCs w:val="24"/>
        </w:rPr>
        <w:t xml:space="preserve">insecticides in 2012/13, and </w:t>
      </w:r>
      <w:r w:rsidR="000A13D3">
        <w:rPr>
          <w:rFonts w:ascii="Times New Roman" w:hAnsi="Times New Roman" w:cs="Times New Roman"/>
          <w:sz w:val="24"/>
          <w:szCs w:val="24"/>
        </w:rPr>
        <w:t xml:space="preserve">with the big city district group in the South as </w:t>
      </w:r>
      <w:r w:rsidR="00477864">
        <w:rPr>
          <w:rFonts w:ascii="Times New Roman" w:hAnsi="Times New Roman" w:cs="Times New Roman"/>
          <w:sz w:val="24"/>
          <w:szCs w:val="24"/>
        </w:rPr>
        <w:t xml:space="preserve">an </w:t>
      </w:r>
      <w:r w:rsidR="000A13D3">
        <w:rPr>
          <w:rFonts w:ascii="Times New Roman" w:hAnsi="Times New Roman" w:cs="Times New Roman"/>
          <w:sz w:val="24"/>
          <w:szCs w:val="24"/>
        </w:rPr>
        <w:t>exception (possibly due to few observation</w:t>
      </w:r>
      <w:r w:rsidR="00142EB5">
        <w:rPr>
          <w:rFonts w:ascii="Times New Roman" w:hAnsi="Times New Roman" w:cs="Times New Roman"/>
          <w:sz w:val="24"/>
          <w:szCs w:val="24"/>
        </w:rPr>
        <w:t>s covered</w:t>
      </w:r>
      <w:r w:rsidR="000A13D3">
        <w:rPr>
          <w:rFonts w:ascii="Times New Roman" w:hAnsi="Times New Roman" w:cs="Times New Roman"/>
          <w:sz w:val="24"/>
          <w:szCs w:val="24"/>
        </w:rPr>
        <w:t xml:space="preserve"> </w:t>
      </w:r>
      <w:r w:rsidR="00142EB5">
        <w:rPr>
          <w:rFonts w:ascii="Times New Roman" w:hAnsi="Times New Roman" w:cs="Times New Roman"/>
          <w:sz w:val="24"/>
          <w:szCs w:val="24"/>
        </w:rPr>
        <w:t>by</w:t>
      </w:r>
      <w:r w:rsidR="000A13D3">
        <w:rPr>
          <w:rFonts w:ascii="Times New Roman" w:hAnsi="Times New Roman" w:cs="Times New Roman"/>
          <w:sz w:val="24"/>
          <w:szCs w:val="24"/>
        </w:rPr>
        <w:t xml:space="preserve"> the survey), </w:t>
      </w:r>
      <w:r w:rsidR="00FF1089">
        <w:rPr>
          <w:rFonts w:ascii="Times New Roman" w:hAnsi="Times New Roman" w:cs="Times New Roman"/>
          <w:sz w:val="24"/>
          <w:szCs w:val="24"/>
        </w:rPr>
        <w:t xml:space="preserve">the use </w:t>
      </w:r>
      <w:r w:rsidR="000A13D3">
        <w:rPr>
          <w:rFonts w:ascii="Times New Roman" w:hAnsi="Times New Roman" w:cs="Times New Roman"/>
          <w:sz w:val="24"/>
          <w:szCs w:val="24"/>
        </w:rPr>
        <w:t xml:space="preserve">of herbicides/insecticides </w:t>
      </w:r>
      <w:r w:rsidR="00FF1089">
        <w:rPr>
          <w:rFonts w:ascii="Times New Roman" w:hAnsi="Times New Roman" w:cs="Times New Roman"/>
          <w:sz w:val="24"/>
          <w:szCs w:val="24"/>
        </w:rPr>
        <w:t xml:space="preserve">is more evenly distributed across the two regions than is fertilizer use (Table </w:t>
      </w:r>
      <w:r w:rsidR="00D52F18">
        <w:rPr>
          <w:rFonts w:ascii="Times New Roman" w:hAnsi="Times New Roman" w:cs="Times New Roman"/>
          <w:sz w:val="24"/>
          <w:szCs w:val="24"/>
        </w:rPr>
        <w:t>9</w:t>
      </w:r>
      <w:r w:rsidR="00FF1089">
        <w:rPr>
          <w:rFonts w:ascii="Times New Roman" w:hAnsi="Times New Roman" w:cs="Times New Roman"/>
          <w:sz w:val="24"/>
          <w:szCs w:val="24"/>
        </w:rPr>
        <w:t>.6). In both regions</w:t>
      </w:r>
      <w:r w:rsidR="00FE7FDE">
        <w:rPr>
          <w:rFonts w:ascii="Times New Roman" w:hAnsi="Times New Roman" w:cs="Times New Roman"/>
          <w:sz w:val="24"/>
          <w:szCs w:val="24"/>
        </w:rPr>
        <w:t>,</w:t>
      </w:r>
      <w:r w:rsidR="00477864">
        <w:rPr>
          <w:rFonts w:ascii="Times New Roman" w:hAnsi="Times New Roman" w:cs="Times New Roman"/>
          <w:sz w:val="24"/>
          <w:szCs w:val="24"/>
        </w:rPr>
        <w:t xml:space="preserve"> </w:t>
      </w:r>
      <w:r w:rsidR="00FF1089">
        <w:rPr>
          <w:rFonts w:ascii="Times New Roman" w:hAnsi="Times New Roman" w:cs="Times New Roman"/>
          <w:sz w:val="24"/>
          <w:szCs w:val="24"/>
        </w:rPr>
        <w:t xml:space="preserve">small farms are less likely to use </w:t>
      </w:r>
      <w:r w:rsidR="00BB5E32">
        <w:rPr>
          <w:rFonts w:ascii="Times New Roman" w:hAnsi="Times New Roman" w:cs="Times New Roman"/>
          <w:sz w:val="24"/>
          <w:szCs w:val="24"/>
        </w:rPr>
        <w:t xml:space="preserve">herbicides </w:t>
      </w:r>
      <w:r w:rsidR="00E462BB">
        <w:rPr>
          <w:rFonts w:ascii="Times New Roman" w:hAnsi="Times New Roman" w:cs="Times New Roman"/>
          <w:sz w:val="24"/>
          <w:szCs w:val="24"/>
        </w:rPr>
        <w:t xml:space="preserve">or insecticides </w:t>
      </w:r>
      <w:r w:rsidR="00FF1089">
        <w:rPr>
          <w:rFonts w:ascii="Times New Roman" w:hAnsi="Times New Roman" w:cs="Times New Roman"/>
          <w:sz w:val="24"/>
          <w:szCs w:val="24"/>
        </w:rPr>
        <w:t>than m</w:t>
      </w:r>
      <w:r w:rsidR="00712B73">
        <w:rPr>
          <w:rFonts w:ascii="Times New Roman" w:hAnsi="Times New Roman" w:cs="Times New Roman"/>
          <w:sz w:val="24"/>
          <w:szCs w:val="24"/>
        </w:rPr>
        <w:t>edium</w:t>
      </w:r>
      <w:r w:rsidR="00CC551C">
        <w:rPr>
          <w:rFonts w:ascii="Times New Roman" w:hAnsi="Times New Roman" w:cs="Times New Roman"/>
          <w:sz w:val="24"/>
          <w:szCs w:val="24"/>
        </w:rPr>
        <w:t>-</w:t>
      </w:r>
      <w:r w:rsidR="00FF1089">
        <w:rPr>
          <w:rFonts w:ascii="Times New Roman" w:hAnsi="Times New Roman" w:cs="Times New Roman"/>
          <w:sz w:val="24"/>
          <w:szCs w:val="24"/>
        </w:rPr>
        <w:t xml:space="preserve">sized </w:t>
      </w:r>
      <w:r w:rsidR="00FE7FDE">
        <w:rPr>
          <w:rFonts w:ascii="Times New Roman" w:hAnsi="Times New Roman" w:cs="Times New Roman"/>
          <w:sz w:val="24"/>
          <w:szCs w:val="24"/>
        </w:rPr>
        <w:t>or</w:t>
      </w:r>
      <w:r w:rsidR="00CC551C">
        <w:rPr>
          <w:rFonts w:ascii="Times New Roman" w:hAnsi="Times New Roman" w:cs="Times New Roman"/>
          <w:sz w:val="24"/>
          <w:szCs w:val="24"/>
        </w:rPr>
        <w:t xml:space="preserve"> large farms </w:t>
      </w:r>
      <w:r w:rsidR="00FE7FDE">
        <w:rPr>
          <w:rFonts w:ascii="Times New Roman" w:hAnsi="Times New Roman" w:cs="Times New Roman"/>
          <w:sz w:val="24"/>
          <w:szCs w:val="24"/>
        </w:rPr>
        <w:t>(with exceptions for the farm size larger than 20ha in the South, again possibly due to few observations in the survey)</w:t>
      </w:r>
      <w:r w:rsidR="00CC551C">
        <w:rPr>
          <w:rFonts w:ascii="Times New Roman" w:hAnsi="Times New Roman" w:cs="Times New Roman"/>
          <w:sz w:val="24"/>
          <w:szCs w:val="24"/>
        </w:rPr>
        <w:t xml:space="preserve">. </w:t>
      </w:r>
      <w:r w:rsidR="00E462BB">
        <w:rPr>
          <w:rFonts w:ascii="Times New Roman" w:hAnsi="Times New Roman" w:cs="Times New Roman"/>
          <w:sz w:val="24"/>
          <w:szCs w:val="24"/>
        </w:rPr>
        <w:t>However</w:t>
      </w:r>
      <w:r w:rsidR="00FE7FDE">
        <w:rPr>
          <w:rFonts w:ascii="Times New Roman" w:hAnsi="Times New Roman" w:cs="Times New Roman"/>
          <w:sz w:val="24"/>
          <w:szCs w:val="24"/>
        </w:rPr>
        <w:t xml:space="preserve">, </w:t>
      </w:r>
      <w:r w:rsidR="00CC551C">
        <w:rPr>
          <w:rFonts w:ascii="Times New Roman" w:hAnsi="Times New Roman" w:cs="Times New Roman"/>
          <w:sz w:val="24"/>
          <w:szCs w:val="24"/>
        </w:rPr>
        <w:t xml:space="preserve">there is no consistent pattern of </w:t>
      </w:r>
      <w:r w:rsidR="000A13D3">
        <w:rPr>
          <w:rFonts w:ascii="Times New Roman" w:hAnsi="Times New Roman" w:cs="Times New Roman"/>
          <w:sz w:val="24"/>
          <w:szCs w:val="24"/>
        </w:rPr>
        <w:t xml:space="preserve">increased </w:t>
      </w:r>
      <w:r w:rsidR="00CC551C">
        <w:rPr>
          <w:rFonts w:ascii="Times New Roman" w:hAnsi="Times New Roman" w:cs="Times New Roman"/>
          <w:sz w:val="24"/>
          <w:szCs w:val="24"/>
        </w:rPr>
        <w:t xml:space="preserve">use </w:t>
      </w:r>
      <w:r w:rsidR="000A13D3">
        <w:rPr>
          <w:rFonts w:ascii="Times New Roman" w:hAnsi="Times New Roman" w:cs="Times New Roman"/>
          <w:sz w:val="24"/>
          <w:szCs w:val="24"/>
        </w:rPr>
        <w:t xml:space="preserve">herbicides with </w:t>
      </w:r>
      <w:r w:rsidR="00CC551C">
        <w:rPr>
          <w:rFonts w:ascii="Times New Roman" w:hAnsi="Times New Roman" w:cs="Times New Roman"/>
          <w:sz w:val="24"/>
          <w:szCs w:val="24"/>
        </w:rPr>
        <w:t xml:space="preserve">levels of urbanization within the two regions, suggesting that urbanization is not inducing greater use. </w:t>
      </w:r>
    </w:p>
    <w:p w14:paraId="02026212" w14:textId="49707615" w:rsidR="00DE596E" w:rsidRPr="00CD704D" w:rsidRDefault="00C41DDF" w:rsidP="00EF7FD9">
      <w:pPr>
        <w:jc w:val="both"/>
        <w:rPr>
          <w:rFonts w:ascii="Times New Roman" w:hAnsi="Times New Roman" w:cs="Times New Roman"/>
          <w:sz w:val="24"/>
          <w:szCs w:val="24"/>
        </w:rPr>
      </w:pPr>
      <w:r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CC551C">
        <w:rPr>
          <w:rFonts w:ascii="Times New Roman" w:hAnsi="Times New Roman" w:cs="Times New Roman"/>
          <w:sz w:val="24"/>
          <w:szCs w:val="24"/>
        </w:rPr>
        <w:t>.</w:t>
      </w:r>
      <w:r w:rsidRPr="00CD704D">
        <w:rPr>
          <w:rFonts w:ascii="Times New Roman" w:hAnsi="Times New Roman" w:cs="Times New Roman"/>
          <w:sz w:val="24"/>
          <w:szCs w:val="24"/>
        </w:rPr>
        <w:t>6</w:t>
      </w:r>
      <w:r w:rsidR="00DE596E" w:rsidRPr="00CD704D">
        <w:rPr>
          <w:rFonts w:ascii="Times New Roman" w:hAnsi="Times New Roman" w:cs="Times New Roman"/>
          <w:sz w:val="24"/>
          <w:szCs w:val="24"/>
        </w:rPr>
        <w:t>: Share of rural farm households using herbicides or insecticides</w:t>
      </w:r>
      <w:r w:rsidR="00CC551C">
        <w:rPr>
          <w:rFonts w:ascii="Times New Roman" w:hAnsi="Times New Roman" w:cs="Times New Roman"/>
          <w:sz w:val="24"/>
          <w:szCs w:val="24"/>
        </w:rPr>
        <w:t>,</w:t>
      </w:r>
      <w:r w:rsidR="00DE596E" w:rsidRPr="00CD704D">
        <w:rPr>
          <w:rFonts w:ascii="Times New Roman" w:hAnsi="Times New Roman" w:cs="Times New Roman"/>
          <w:sz w:val="24"/>
          <w:szCs w:val="24"/>
        </w:rPr>
        <w:t xml:space="preserve"> 2012/13</w:t>
      </w:r>
    </w:p>
    <w:tbl>
      <w:tblPr>
        <w:tblStyle w:val="TableGrid"/>
        <w:tblW w:w="8730" w:type="dxa"/>
        <w:tblLook w:val="04A0" w:firstRow="1" w:lastRow="0" w:firstColumn="1" w:lastColumn="0" w:noHBand="0" w:noVBand="1"/>
      </w:tblPr>
      <w:tblGrid>
        <w:gridCol w:w="1101"/>
        <w:gridCol w:w="2341"/>
        <w:gridCol w:w="900"/>
        <w:gridCol w:w="1080"/>
        <w:gridCol w:w="1080"/>
        <w:gridCol w:w="1148"/>
        <w:gridCol w:w="1080"/>
      </w:tblGrid>
      <w:tr w:rsidR="001F1FF5" w:rsidRPr="00CD704D" w14:paraId="2A90F056" w14:textId="77777777" w:rsidTr="0061439C">
        <w:tc>
          <w:tcPr>
            <w:tcW w:w="3442" w:type="dxa"/>
            <w:gridSpan w:val="2"/>
            <w:tcBorders>
              <w:top w:val="single" w:sz="4" w:space="0" w:color="auto"/>
              <w:left w:val="nil"/>
              <w:bottom w:val="single" w:sz="4" w:space="0" w:color="auto"/>
              <w:right w:val="nil"/>
            </w:tcBorders>
          </w:tcPr>
          <w:p w14:paraId="3078F12E" w14:textId="75FD685D" w:rsidR="00DE596E" w:rsidRPr="0061439C" w:rsidRDefault="003363F4" w:rsidP="0061439C">
            <w:pPr>
              <w:rPr>
                <w:rFonts w:ascii="Times New Roman" w:hAnsi="Times New Roman" w:cs="Times New Roman"/>
                <w:sz w:val="22"/>
                <w:szCs w:val="22"/>
              </w:rPr>
            </w:pPr>
            <w:r w:rsidRPr="0061439C">
              <w:rPr>
                <w:rFonts w:ascii="Times New Roman" w:hAnsi="Times New Roman" w:cs="Times New Roman"/>
                <w:sz w:val="22"/>
                <w:szCs w:val="22"/>
              </w:rPr>
              <w:t>Type district</w:t>
            </w:r>
          </w:p>
        </w:tc>
        <w:tc>
          <w:tcPr>
            <w:tcW w:w="900" w:type="dxa"/>
            <w:tcBorders>
              <w:top w:val="single" w:sz="4" w:space="0" w:color="auto"/>
              <w:left w:val="nil"/>
              <w:bottom w:val="single" w:sz="4" w:space="0" w:color="auto"/>
              <w:right w:val="nil"/>
            </w:tcBorders>
            <w:vAlign w:val="bottom"/>
          </w:tcPr>
          <w:p w14:paraId="2AC944BC" w14:textId="14CFCD5F"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&lt;2 ha</w:t>
            </w:r>
          </w:p>
        </w:tc>
        <w:tc>
          <w:tcPr>
            <w:tcW w:w="1080" w:type="dxa"/>
            <w:tcBorders>
              <w:top w:val="single" w:sz="4" w:space="0" w:color="auto"/>
              <w:left w:val="nil"/>
              <w:bottom w:val="single" w:sz="4" w:space="0" w:color="auto"/>
              <w:right w:val="nil"/>
            </w:tcBorders>
            <w:vAlign w:val="bottom"/>
          </w:tcPr>
          <w:p w14:paraId="065EB4AC" w14:textId="2766CA0D"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2-5 ha</w:t>
            </w:r>
          </w:p>
        </w:tc>
        <w:tc>
          <w:tcPr>
            <w:tcW w:w="1080" w:type="dxa"/>
            <w:tcBorders>
              <w:top w:val="single" w:sz="4" w:space="0" w:color="auto"/>
              <w:left w:val="nil"/>
              <w:bottom w:val="single" w:sz="4" w:space="0" w:color="auto"/>
              <w:right w:val="nil"/>
            </w:tcBorders>
            <w:vAlign w:val="bottom"/>
          </w:tcPr>
          <w:p w14:paraId="7A45CBD3" w14:textId="26F25D68"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5-20 ha</w:t>
            </w:r>
          </w:p>
        </w:tc>
        <w:tc>
          <w:tcPr>
            <w:tcW w:w="1148" w:type="dxa"/>
            <w:tcBorders>
              <w:top w:val="single" w:sz="4" w:space="0" w:color="auto"/>
              <w:left w:val="nil"/>
              <w:bottom w:val="single" w:sz="4" w:space="0" w:color="auto"/>
              <w:right w:val="nil"/>
            </w:tcBorders>
            <w:vAlign w:val="bottom"/>
          </w:tcPr>
          <w:p w14:paraId="62A95756" w14:textId="12D2DE58"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&gt; 20 ha</w:t>
            </w:r>
          </w:p>
        </w:tc>
        <w:tc>
          <w:tcPr>
            <w:tcW w:w="1080" w:type="dxa"/>
            <w:tcBorders>
              <w:top w:val="single" w:sz="4" w:space="0" w:color="auto"/>
              <w:left w:val="nil"/>
              <w:bottom w:val="single" w:sz="4" w:space="0" w:color="auto"/>
              <w:right w:val="nil"/>
            </w:tcBorders>
            <w:vAlign w:val="bottom"/>
          </w:tcPr>
          <w:p w14:paraId="1588577C" w14:textId="612F5D49"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w:t>
            </w:r>
          </w:p>
        </w:tc>
      </w:tr>
      <w:tr w:rsidR="001F1FF5" w:rsidRPr="00CD704D" w14:paraId="085A4F2E" w14:textId="77777777" w:rsidTr="0061439C">
        <w:tc>
          <w:tcPr>
            <w:tcW w:w="1101" w:type="dxa"/>
            <w:vMerge w:val="restart"/>
            <w:tcBorders>
              <w:top w:val="single" w:sz="4" w:space="0" w:color="auto"/>
              <w:left w:val="nil"/>
              <w:bottom w:val="nil"/>
              <w:right w:val="nil"/>
            </w:tcBorders>
          </w:tcPr>
          <w:p w14:paraId="33089267" w14:textId="6CEA4D8A" w:rsidR="00E90E8A"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North</w:t>
            </w:r>
          </w:p>
        </w:tc>
        <w:tc>
          <w:tcPr>
            <w:tcW w:w="2341" w:type="dxa"/>
            <w:tcBorders>
              <w:top w:val="single" w:sz="4" w:space="0" w:color="auto"/>
              <w:left w:val="nil"/>
              <w:bottom w:val="nil"/>
              <w:right w:val="nil"/>
            </w:tcBorders>
            <w:shd w:val="clear" w:color="auto" w:fill="auto"/>
            <w:vAlign w:val="bottom"/>
          </w:tcPr>
          <w:p w14:paraId="6AE542D8"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00" w:type="dxa"/>
            <w:tcBorders>
              <w:top w:val="single" w:sz="4" w:space="0" w:color="auto"/>
              <w:left w:val="nil"/>
              <w:bottom w:val="nil"/>
              <w:right w:val="nil"/>
            </w:tcBorders>
            <w:shd w:val="clear" w:color="auto" w:fill="auto"/>
            <w:vAlign w:val="bottom"/>
          </w:tcPr>
          <w:p w14:paraId="784258F8" w14:textId="073E481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85.6</w:t>
            </w:r>
          </w:p>
        </w:tc>
        <w:tc>
          <w:tcPr>
            <w:tcW w:w="1080" w:type="dxa"/>
            <w:tcBorders>
              <w:top w:val="single" w:sz="4" w:space="0" w:color="auto"/>
              <w:left w:val="nil"/>
              <w:bottom w:val="nil"/>
              <w:right w:val="nil"/>
            </w:tcBorders>
            <w:shd w:val="clear" w:color="auto" w:fill="auto"/>
            <w:vAlign w:val="bottom"/>
          </w:tcPr>
          <w:p w14:paraId="245C0FB7" w14:textId="7B60E12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93.8</w:t>
            </w:r>
          </w:p>
        </w:tc>
        <w:tc>
          <w:tcPr>
            <w:tcW w:w="1080" w:type="dxa"/>
            <w:tcBorders>
              <w:top w:val="single" w:sz="4" w:space="0" w:color="auto"/>
              <w:left w:val="nil"/>
              <w:bottom w:val="nil"/>
              <w:right w:val="nil"/>
            </w:tcBorders>
            <w:shd w:val="clear" w:color="auto" w:fill="auto"/>
            <w:vAlign w:val="bottom"/>
          </w:tcPr>
          <w:p w14:paraId="7AD3AF6D" w14:textId="4EA9F7CC"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78.5</w:t>
            </w:r>
          </w:p>
        </w:tc>
        <w:tc>
          <w:tcPr>
            <w:tcW w:w="1148" w:type="dxa"/>
            <w:tcBorders>
              <w:top w:val="single" w:sz="4" w:space="0" w:color="auto"/>
              <w:left w:val="nil"/>
              <w:bottom w:val="nil"/>
              <w:right w:val="nil"/>
            </w:tcBorders>
            <w:shd w:val="clear" w:color="auto" w:fill="auto"/>
            <w:vAlign w:val="bottom"/>
          </w:tcPr>
          <w:p w14:paraId="25FDE189" w14:textId="69941F2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100.0</w:t>
            </w:r>
          </w:p>
        </w:tc>
        <w:tc>
          <w:tcPr>
            <w:tcW w:w="1080" w:type="dxa"/>
            <w:tcBorders>
              <w:top w:val="single" w:sz="4" w:space="0" w:color="auto"/>
              <w:left w:val="nil"/>
              <w:bottom w:val="nil"/>
              <w:right w:val="nil"/>
            </w:tcBorders>
            <w:shd w:val="clear" w:color="auto" w:fill="auto"/>
            <w:vAlign w:val="bottom"/>
          </w:tcPr>
          <w:p w14:paraId="17C1FED7" w14:textId="727C1765"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87.4</w:t>
            </w:r>
          </w:p>
        </w:tc>
      </w:tr>
      <w:tr w:rsidR="001F1FF5" w:rsidRPr="00CD704D" w14:paraId="1603A72B" w14:textId="77777777" w:rsidTr="0061439C">
        <w:tc>
          <w:tcPr>
            <w:tcW w:w="1101" w:type="dxa"/>
            <w:vMerge/>
            <w:tcBorders>
              <w:top w:val="nil"/>
              <w:left w:val="nil"/>
              <w:bottom w:val="nil"/>
              <w:right w:val="nil"/>
            </w:tcBorders>
          </w:tcPr>
          <w:p w14:paraId="0B9C5FB8"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shd w:val="clear" w:color="auto" w:fill="auto"/>
            <w:vAlign w:val="bottom"/>
          </w:tcPr>
          <w:p w14:paraId="0910DEAD"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00" w:type="dxa"/>
            <w:tcBorders>
              <w:top w:val="nil"/>
              <w:left w:val="nil"/>
              <w:bottom w:val="nil"/>
              <w:right w:val="nil"/>
            </w:tcBorders>
            <w:shd w:val="clear" w:color="auto" w:fill="auto"/>
            <w:vAlign w:val="bottom"/>
          </w:tcPr>
          <w:p w14:paraId="673B5B9A" w14:textId="1D9A840A"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43.1</w:t>
            </w:r>
          </w:p>
        </w:tc>
        <w:tc>
          <w:tcPr>
            <w:tcW w:w="1080" w:type="dxa"/>
            <w:tcBorders>
              <w:top w:val="nil"/>
              <w:left w:val="nil"/>
              <w:bottom w:val="nil"/>
              <w:right w:val="nil"/>
            </w:tcBorders>
            <w:shd w:val="clear" w:color="auto" w:fill="auto"/>
            <w:vAlign w:val="bottom"/>
          </w:tcPr>
          <w:p w14:paraId="6B360B18" w14:textId="4BC84155"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73.3</w:t>
            </w:r>
          </w:p>
        </w:tc>
        <w:tc>
          <w:tcPr>
            <w:tcW w:w="1080" w:type="dxa"/>
            <w:tcBorders>
              <w:top w:val="nil"/>
              <w:left w:val="nil"/>
              <w:bottom w:val="nil"/>
              <w:right w:val="nil"/>
            </w:tcBorders>
            <w:shd w:val="clear" w:color="auto" w:fill="auto"/>
            <w:vAlign w:val="bottom"/>
          </w:tcPr>
          <w:p w14:paraId="135483FE" w14:textId="5C7F4194"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88.1</w:t>
            </w:r>
          </w:p>
        </w:tc>
        <w:tc>
          <w:tcPr>
            <w:tcW w:w="1148" w:type="dxa"/>
            <w:tcBorders>
              <w:top w:val="nil"/>
              <w:left w:val="nil"/>
              <w:bottom w:val="nil"/>
              <w:right w:val="nil"/>
            </w:tcBorders>
            <w:shd w:val="clear" w:color="auto" w:fill="auto"/>
            <w:vAlign w:val="bottom"/>
          </w:tcPr>
          <w:p w14:paraId="2C586CE2" w14:textId="1903B398"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96.1</w:t>
            </w:r>
          </w:p>
        </w:tc>
        <w:tc>
          <w:tcPr>
            <w:tcW w:w="1080" w:type="dxa"/>
            <w:tcBorders>
              <w:top w:val="nil"/>
              <w:left w:val="nil"/>
              <w:bottom w:val="nil"/>
              <w:right w:val="nil"/>
            </w:tcBorders>
            <w:shd w:val="clear" w:color="auto" w:fill="auto"/>
            <w:vAlign w:val="bottom"/>
          </w:tcPr>
          <w:p w14:paraId="5755EA20" w14:textId="3E0D861E"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60.9</w:t>
            </w:r>
          </w:p>
        </w:tc>
      </w:tr>
      <w:tr w:rsidR="001F1FF5" w:rsidRPr="00CD704D" w14:paraId="1B8EE713" w14:textId="77777777" w:rsidTr="0061439C">
        <w:tc>
          <w:tcPr>
            <w:tcW w:w="1101" w:type="dxa"/>
            <w:vMerge/>
            <w:tcBorders>
              <w:top w:val="nil"/>
              <w:left w:val="nil"/>
              <w:bottom w:val="nil"/>
              <w:right w:val="nil"/>
            </w:tcBorders>
          </w:tcPr>
          <w:p w14:paraId="2530D26C"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shd w:val="clear" w:color="auto" w:fill="auto"/>
            <w:vAlign w:val="bottom"/>
          </w:tcPr>
          <w:p w14:paraId="5D053CBE"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00" w:type="dxa"/>
            <w:tcBorders>
              <w:top w:val="nil"/>
              <w:left w:val="nil"/>
              <w:bottom w:val="nil"/>
              <w:right w:val="nil"/>
            </w:tcBorders>
            <w:shd w:val="clear" w:color="auto" w:fill="auto"/>
            <w:vAlign w:val="bottom"/>
          </w:tcPr>
          <w:p w14:paraId="2CF8381D" w14:textId="27DEF3B5"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59.0</w:t>
            </w:r>
          </w:p>
        </w:tc>
        <w:tc>
          <w:tcPr>
            <w:tcW w:w="1080" w:type="dxa"/>
            <w:tcBorders>
              <w:top w:val="nil"/>
              <w:left w:val="nil"/>
              <w:bottom w:val="nil"/>
              <w:right w:val="nil"/>
            </w:tcBorders>
            <w:shd w:val="clear" w:color="auto" w:fill="auto"/>
            <w:vAlign w:val="bottom"/>
          </w:tcPr>
          <w:p w14:paraId="498D8A60" w14:textId="2F38332F"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81.4</w:t>
            </w:r>
          </w:p>
        </w:tc>
        <w:tc>
          <w:tcPr>
            <w:tcW w:w="1080" w:type="dxa"/>
            <w:tcBorders>
              <w:top w:val="nil"/>
              <w:left w:val="nil"/>
              <w:bottom w:val="nil"/>
              <w:right w:val="nil"/>
            </w:tcBorders>
            <w:shd w:val="clear" w:color="auto" w:fill="auto"/>
            <w:vAlign w:val="bottom"/>
          </w:tcPr>
          <w:p w14:paraId="5602568C" w14:textId="1A10500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92.4</w:t>
            </w:r>
          </w:p>
        </w:tc>
        <w:tc>
          <w:tcPr>
            <w:tcW w:w="1148" w:type="dxa"/>
            <w:tcBorders>
              <w:top w:val="nil"/>
              <w:left w:val="nil"/>
              <w:bottom w:val="nil"/>
              <w:right w:val="nil"/>
            </w:tcBorders>
            <w:shd w:val="clear" w:color="auto" w:fill="auto"/>
            <w:vAlign w:val="bottom"/>
          </w:tcPr>
          <w:p w14:paraId="32BF1240" w14:textId="7EDB71C9"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93.8</w:t>
            </w:r>
          </w:p>
        </w:tc>
        <w:tc>
          <w:tcPr>
            <w:tcW w:w="1080" w:type="dxa"/>
            <w:tcBorders>
              <w:top w:val="nil"/>
              <w:left w:val="nil"/>
              <w:bottom w:val="nil"/>
              <w:right w:val="nil"/>
            </w:tcBorders>
            <w:shd w:val="clear" w:color="auto" w:fill="auto"/>
            <w:vAlign w:val="bottom"/>
          </w:tcPr>
          <w:p w14:paraId="672BEF79" w14:textId="43A92A46"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76.7</w:t>
            </w:r>
          </w:p>
        </w:tc>
      </w:tr>
      <w:tr w:rsidR="001F1FF5" w:rsidRPr="00CD704D" w14:paraId="2FD5C938" w14:textId="77777777" w:rsidTr="0061439C">
        <w:tc>
          <w:tcPr>
            <w:tcW w:w="1101" w:type="dxa"/>
            <w:vMerge/>
            <w:tcBorders>
              <w:top w:val="nil"/>
              <w:left w:val="nil"/>
              <w:bottom w:val="single" w:sz="4" w:space="0" w:color="auto"/>
              <w:right w:val="nil"/>
            </w:tcBorders>
          </w:tcPr>
          <w:p w14:paraId="54438FE1"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single" w:sz="4" w:space="0" w:color="auto"/>
              <w:right w:val="nil"/>
            </w:tcBorders>
            <w:vAlign w:val="bottom"/>
          </w:tcPr>
          <w:p w14:paraId="3EF38B9F" w14:textId="7F5E4BE3"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 xml:space="preserve">Total </w:t>
            </w:r>
            <w:r w:rsidR="001F1FF5" w:rsidRPr="0061439C">
              <w:rPr>
                <w:rFonts w:ascii="Times New Roman" w:eastAsia="Times New Roman" w:hAnsi="Times New Roman" w:cs="Times New Roman"/>
                <w:sz w:val="22"/>
                <w:szCs w:val="22"/>
                <w:lang w:eastAsia="zh-CN"/>
              </w:rPr>
              <w:t>North</w:t>
            </w:r>
          </w:p>
        </w:tc>
        <w:tc>
          <w:tcPr>
            <w:tcW w:w="900" w:type="dxa"/>
            <w:tcBorders>
              <w:top w:val="nil"/>
              <w:left w:val="nil"/>
              <w:bottom w:val="single" w:sz="4" w:space="0" w:color="auto"/>
              <w:right w:val="nil"/>
            </w:tcBorders>
            <w:vAlign w:val="bottom"/>
          </w:tcPr>
          <w:p w14:paraId="20402748" w14:textId="4BC79BD1"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55.0</w:t>
            </w:r>
          </w:p>
        </w:tc>
        <w:tc>
          <w:tcPr>
            <w:tcW w:w="1080" w:type="dxa"/>
            <w:tcBorders>
              <w:top w:val="nil"/>
              <w:left w:val="nil"/>
              <w:bottom w:val="single" w:sz="4" w:space="0" w:color="auto"/>
              <w:right w:val="nil"/>
            </w:tcBorders>
            <w:vAlign w:val="bottom"/>
          </w:tcPr>
          <w:p w14:paraId="582FCACC" w14:textId="43B1795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80.2</w:t>
            </w:r>
          </w:p>
        </w:tc>
        <w:tc>
          <w:tcPr>
            <w:tcW w:w="1080" w:type="dxa"/>
            <w:tcBorders>
              <w:top w:val="nil"/>
              <w:left w:val="nil"/>
              <w:bottom w:val="single" w:sz="4" w:space="0" w:color="auto"/>
              <w:right w:val="nil"/>
            </w:tcBorders>
            <w:vAlign w:val="bottom"/>
          </w:tcPr>
          <w:p w14:paraId="3C83E58D" w14:textId="0A88E556"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90.9</w:t>
            </w:r>
          </w:p>
        </w:tc>
        <w:tc>
          <w:tcPr>
            <w:tcW w:w="1148" w:type="dxa"/>
            <w:tcBorders>
              <w:top w:val="nil"/>
              <w:left w:val="nil"/>
              <w:bottom w:val="single" w:sz="4" w:space="0" w:color="auto"/>
              <w:right w:val="nil"/>
            </w:tcBorders>
            <w:vAlign w:val="bottom"/>
          </w:tcPr>
          <w:p w14:paraId="2B0A2C37" w14:textId="40D2C8D8"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94.8</w:t>
            </w:r>
          </w:p>
        </w:tc>
        <w:tc>
          <w:tcPr>
            <w:tcW w:w="1080" w:type="dxa"/>
            <w:tcBorders>
              <w:top w:val="nil"/>
              <w:left w:val="nil"/>
              <w:bottom w:val="single" w:sz="4" w:space="0" w:color="auto"/>
              <w:right w:val="nil"/>
            </w:tcBorders>
            <w:vAlign w:val="bottom"/>
          </w:tcPr>
          <w:p w14:paraId="404EF33A" w14:textId="716FCD9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73.1</w:t>
            </w:r>
          </w:p>
        </w:tc>
      </w:tr>
      <w:tr w:rsidR="001F1FF5" w:rsidRPr="00CD704D" w14:paraId="13893F6A" w14:textId="77777777" w:rsidTr="0061439C">
        <w:tc>
          <w:tcPr>
            <w:tcW w:w="1101" w:type="dxa"/>
            <w:vMerge w:val="restart"/>
            <w:tcBorders>
              <w:top w:val="single" w:sz="4" w:space="0" w:color="auto"/>
              <w:left w:val="nil"/>
              <w:bottom w:val="nil"/>
              <w:right w:val="nil"/>
            </w:tcBorders>
          </w:tcPr>
          <w:p w14:paraId="37953852" w14:textId="73AD9EA4" w:rsidR="00E90E8A"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South</w:t>
            </w:r>
          </w:p>
        </w:tc>
        <w:tc>
          <w:tcPr>
            <w:tcW w:w="2341" w:type="dxa"/>
            <w:tcBorders>
              <w:top w:val="single" w:sz="4" w:space="0" w:color="auto"/>
              <w:left w:val="nil"/>
              <w:bottom w:val="nil"/>
              <w:right w:val="nil"/>
            </w:tcBorders>
            <w:vAlign w:val="bottom"/>
          </w:tcPr>
          <w:p w14:paraId="729E667F"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Big city districts</w:t>
            </w:r>
          </w:p>
        </w:tc>
        <w:tc>
          <w:tcPr>
            <w:tcW w:w="900" w:type="dxa"/>
            <w:tcBorders>
              <w:top w:val="single" w:sz="4" w:space="0" w:color="auto"/>
              <w:left w:val="nil"/>
              <w:bottom w:val="nil"/>
              <w:right w:val="nil"/>
            </w:tcBorders>
            <w:vAlign w:val="bottom"/>
          </w:tcPr>
          <w:p w14:paraId="41CF05A1" w14:textId="3473953D"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7.3</w:t>
            </w:r>
          </w:p>
        </w:tc>
        <w:tc>
          <w:tcPr>
            <w:tcW w:w="1080" w:type="dxa"/>
            <w:tcBorders>
              <w:top w:val="single" w:sz="4" w:space="0" w:color="auto"/>
              <w:left w:val="nil"/>
              <w:bottom w:val="nil"/>
              <w:right w:val="nil"/>
            </w:tcBorders>
            <w:vAlign w:val="bottom"/>
          </w:tcPr>
          <w:p w14:paraId="3E17D61E" w14:textId="5E7900D4" w:rsidR="00E90E8A" w:rsidRPr="0061439C" w:rsidRDefault="00E90E8A" w:rsidP="0061439C">
            <w:pPr>
              <w:jc w:val="center"/>
              <w:rPr>
                <w:rFonts w:ascii="Times New Roman" w:hAnsi="Times New Roman" w:cs="Times New Roman"/>
                <w:sz w:val="22"/>
                <w:szCs w:val="22"/>
              </w:rPr>
            </w:pPr>
          </w:p>
        </w:tc>
        <w:tc>
          <w:tcPr>
            <w:tcW w:w="1080" w:type="dxa"/>
            <w:tcBorders>
              <w:top w:val="single" w:sz="4" w:space="0" w:color="auto"/>
              <w:left w:val="nil"/>
              <w:bottom w:val="nil"/>
              <w:right w:val="nil"/>
            </w:tcBorders>
            <w:vAlign w:val="bottom"/>
          </w:tcPr>
          <w:p w14:paraId="337E1491" w14:textId="6FF2D423" w:rsidR="00E90E8A" w:rsidRPr="0061439C" w:rsidRDefault="00E90E8A" w:rsidP="0061439C">
            <w:pPr>
              <w:jc w:val="center"/>
              <w:rPr>
                <w:rFonts w:ascii="Times New Roman" w:hAnsi="Times New Roman" w:cs="Times New Roman"/>
                <w:sz w:val="22"/>
                <w:szCs w:val="22"/>
              </w:rPr>
            </w:pPr>
          </w:p>
        </w:tc>
        <w:tc>
          <w:tcPr>
            <w:tcW w:w="1148" w:type="dxa"/>
            <w:tcBorders>
              <w:top w:val="single" w:sz="4" w:space="0" w:color="auto"/>
              <w:left w:val="nil"/>
              <w:bottom w:val="nil"/>
              <w:right w:val="nil"/>
            </w:tcBorders>
            <w:vAlign w:val="bottom"/>
          </w:tcPr>
          <w:p w14:paraId="06E7C616" w14:textId="60761AC1" w:rsidR="00E90E8A" w:rsidRPr="0061439C" w:rsidRDefault="00E90E8A" w:rsidP="0061439C">
            <w:pPr>
              <w:jc w:val="center"/>
              <w:rPr>
                <w:rFonts w:ascii="Times New Roman" w:hAnsi="Times New Roman" w:cs="Times New Roman"/>
                <w:sz w:val="22"/>
                <w:szCs w:val="22"/>
              </w:rPr>
            </w:pPr>
          </w:p>
        </w:tc>
        <w:tc>
          <w:tcPr>
            <w:tcW w:w="1080" w:type="dxa"/>
            <w:tcBorders>
              <w:top w:val="single" w:sz="4" w:space="0" w:color="auto"/>
              <w:left w:val="nil"/>
              <w:bottom w:val="nil"/>
              <w:right w:val="nil"/>
            </w:tcBorders>
            <w:vAlign w:val="bottom"/>
          </w:tcPr>
          <w:p w14:paraId="04A6F171" w14:textId="2DED477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6.6</w:t>
            </w:r>
          </w:p>
        </w:tc>
      </w:tr>
      <w:tr w:rsidR="001F1FF5" w:rsidRPr="00CD704D" w14:paraId="0348DD78" w14:textId="77777777" w:rsidTr="0061439C">
        <w:tc>
          <w:tcPr>
            <w:tcW w:w="1101" w:type="dxa"/>
            <w:vMerge/>
            <w:tcBorders>
              <w:top w:val="nil"/>
              <w:left w:val="nil"/>
              <w:bottom w:val="nil"/>
              <w:right w:val="nil"/>
            </w:tcBorders>
          </w:tcPr>
          <w:p w14:paraId="1352844D"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vAlign w:val="bottom"/>
          </w:tcPr>
          <w:p w14:paraId="5FAA39B0"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00" w:type="dxa"/>
            <w:tcBorders>
              <w:top w:val="nil"/>
              <w:left w:val="nil"/>
              <w:bottom w:val="nil"/>
              <w:right w:val="nil"/>
            </w:tcBorders>
            <w:vAlign w:val="bottom"/>
          </w:tcPr>
          <w:p w14:paraId="20740C3A" w14:textId="02DB628C"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56.3</w:t>
            </w:r>
          </w:p>
        </w:tc>
        <w:tc>
          <w:tcPr>
            <w:tcW w:w="1080" w:type="dxa"/>
            <w:tcBorders>
              <w:top w:val="nil"/>
              <w:left w:val="nil"/>
              <w:bottom w:val="nil"/>
              <w:right w:val="nil"/>
            </w:tcBorders>
            <w:vAlign w:val="bottom"/>
          </w:tcPr>
          <w:p w14:paraId="1F05C724" w14:textId="35603ED2"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62.9</w:t>
            </w:r>
          </w:p>
        </w:tc>
        <w:tc>
          <w:tcPr>
            <w:tcW w:w="1080" w:type="dxa"/>
            <w:tcBorders>
              <w:top w:val="nil"/>
              <w:left w:val="nil"/>
              <w:bottom w:val="nil"/>
              <w:right w:val="nil"/>
            </w:tcBorders>
            <w:vAlign w:val="bottom"/>
          </w:tcPr>
          <w:p w14:paraId="3BB58127" w14:textId="4856CD5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94.1</w:t>
            </w:r>
          </w:p>
        </w:tc>
        <w:tc>
          <w:tcPr>
            <w:tcW w:w="1148" w:type="dxa"/>
            <w:tcBorders>
              <w:top w:val="nil"/>
              <w:left w:val="nil"/>
              <w:bottom w:val="nil"/>
              <w:right w:val="nil"/>
            </w:tcBorders>
            <w:vAlign w:val="bottom"/>
          </w:tcPr>
          <w:p w14:paraId="3D287D2D" w14:textId="539585F2" w:rsidR="00E90E8A" w:rsidRPr="0061439C" w:rsidRDefault="00E90E8A" w:rsidP="0061439C">
            <w:pPr>
              <w:jc w:val="center"/>
              <w:rPr>
                <w:rFonts w:ascii="Times New Roman" w:hAnsi="Times New Roman" w:cs="Times New Roman"/>
                <w:sz w:val="22"/>
                <w:szCs w:val="22"/>
              </w:rPr>
            </w:pPr>
          </w:p>
        </w:tc>
        <w:tc>
          <w:tcPr>
            <w:tcW w:w="1080" w:type="dxa"/>
            <w:tcBorders>
              <w:top w:val="nil"/>
              <w:left w:val="nil"/>
              <w:bottom w:val="nil"/>
              <w:right w:val="nil"/>
            </w:tcBorders>
            <w:vAlign w:val="bottom"/>
          </w:tcPr>
          <w:p w14:paraId="5556F02D" w14:textId="2B701B7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62.4</w:t>
            </w:r>
          </w:p>
        </w:tc>
      </w:tr>
      <w:tr w:rsidR="001F1FF5" w:rsidRPr="00CD704D" w14:paraId="2A1A5579" w14:textId="77777777" w:rsidTr="0061439C">
        <w:tc>
          <w:tcPr>
            <w:tcW w:w="1101" w:type="dxa"/>
            <w:vMerge/>
            <w:tcBorders>
              <w:top w:val="nil"/>
              <w:left w:val="nil"/>
              <w:bottom w:val="nil"/>
              <w:right w:val="nil"/>
            </w:tcBorders>
          </w:tcPr>
          <w:p w14:paraId="1D650662"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vAlign w:val="bottom"/>
          </w:tcPr>
          <w:p w14:paraId="47B2A383"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00" w:type="dxa"/>
            <w:tcBorders>
              <w:top w:val="nil"/>
              <w:left w:val="nil"/>
              <w:bottom w:val="nil"/>
              <w:right w:val="nil"/>
            </w:tcBorders>
            <w:vAlign w:val="bottom"/>
          </w:tcPr>
          <w:p w14:paraId="2B37B521" w14:textId="06DB11C2"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59.1</w:t>
            </w:r>
          </w:p>
        </w:tc>
        <w:tc>
          <w:tcPr>
            <w:tcW w:w="1080" w:type="dxa"/>
            <w:tcBorders>
              <w:top w:val="nil"/>
              <w:left w:val="nil"/>
              <w:bottom w:val="nil"/>
              <w:right w:val="nil"/>
            </w:tcBorders>
            <w:vAlign w:val="bottom"/>
          </w:tcPr>
          <w:p w14:paraId="132C72FB" w14:textId="1D44EB50"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79.1</w:t>
            </w:r>
          </w:p>
        </w:tc>
        <w:tc>
          <w:tcPr>
            <w:tcW w:w="1080" w:type="dxa"/>
            <w:tcBorders>
              <w:top w:val="nil"/>
              <w:left w:val="nil"/>
              <w:bottom w:val="nil"/>
              <w:right w:val="nil"/>
            </w:tcBorders>
            <w:vAlign w:val="bottom"/>
          </w:tcPr>
          <w:p w14:paraId="2B43BF4E" w14:textId="78041980"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84.1</w:t>
            </w:r>
          </w:p>
        </w:tc>
        <w:tc>
          <w:tcPr>
            <w:tcW w:w="1148" w:type="dxa"/>
            <w:tcBorders>
              <w:top w:val="nil"/>
              <w:left w:val="nil"/>
              <w:bottom w:val="nil"/>
              <w:right w:val="nil"/>
            </w:tcBorders>
            <w:vAlign w:val="bottom"/>
          </w:tcPr>
          <w:p w14:paraId="610EEF0C" w14:textId="5053419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69.5</w:t>
            </w:r>
          </w:p>
        </w:tc>
        <w:tc>
          <w:tcPr>
            <w:tcW w:w="1080" w:type="dxa"/>
            <w:tcBorders>
              <w:top w:val="nil"/>
              <w:left w:val="nil"/>
              <w:bottom w:val="nil"/>
              <w:right w:val="nil"/>
            </w:tcBorders>
            <w:vAlign w:val="bottom"/>
          </w:tcPr>
          <w:p w14:paraId="14F585CA" w14:textId="2508A5C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67.1</w:t>
            </w:r>
          </w:p>
        </w:tc>
      </w:tr>
      <w:tr w:rsidR="001F1FF5" w:rsidRPr="00CD704D" w14:paraId="2F40D1D1" w14:textId="77777777" w:rsidTr="0061439C">
        <w:tc>
          <w:tcPr>
            <w:tcW w:w="1101" w:type="dxa"/>
            <w:vMerge/>
            <w:tcBorders>
              <w:top w:val="nil"/>
              <w:left w:val="nil"/>
              <w:bottom w:val="nil"/>
              <w:right w:val="nil"/>
            </w:tcBorders>
          </w:tcPr>
          <w:p w14:paraId="4F4DDA8C"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vAlign w:val="bottom"/>
          </w:tcPr>
          <w:p w14:paraId="78C613A8"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00" w:type="dxa"/>
            <w:tcBorders>
              <w:top w:val="nil"/>
              <w:left w:val="nil"/>
              <w:bottom w:val="nil"/>
              <w:right w:val="nil"/>
            </w:tcBorders>
            <w:vAlign w:val="bottom"/>
          </w:tcPr>
          <w:p w14:paraId="61ED1C53" w14:textId="57CBE422"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63.4</w:t>
            </w:r>
          </w:p>
        </w:tc>
        <w:tc>
          <w:tcPr>
            <w:tcW w:w="1080" w:type="dxa"/>
            <w:tcBorders>
              <w:top w:val="nil"/>
              <w:left w:val="nil"/>
              <w:bottom w:val="nil"/>
              <w:right w:val="nil"/>
            </w:tcBorders>
            <w:vAlign w:val="bottom"/>
          </w:tcPr>
          <w:p w14:paraId="60648593" w14:textId="43FBD254"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78.9</w:t>
            </w:r>
          </w:p>
        </w:tc>
        <w:tc>
          <w:tcPr>
            <w:tcW w:w="1080" w:type="dxa"/>
            <w:tcBorders>
              <w:top w:val="nil"/>
              <w:left w:val="nil"/>
              <w:bottom w:val="nil"/>
              <w:right w:val="nil"/>
            </w:tcBorders>
            <w:vAlign w:val="bottom"/>
          </w:tcPr>
          <w:p w14:paraId="0B65480D" w14:textId="2EC0C286"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80.8</w:t>
            </w:r>
          </w:p>
        </w:tc>
        <w:tc>
          <w:tcPr>
            <w:tcW w:w="1148" w:type="dxa"/>
            <w:tcBorders>
              <w:top w:val="nil"/>
              <w:left w:val="nil"/>
              <w:bottom w:val="nil"/>
              <w:right w:val="nil"/>
            </w:tcBorders>
            <w:vAlign w:val="bottom"/>
          </w:tcPr>
          <w:p w14:paraId="4789C090" w14:textId="33F358A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50.9</w:t>
            </w:r>
          </w:p>
        </w:tc>
        <w:tc>
          <w:tcPr>
            <w:tcW w:w="1080" w:type="dxa"/>
            <w:tcBorders>
              <w:top w:val="nil"/>
              <w:left w:val="nil"/>
              <w:bottom w:val="nil"/>
              <w:right w:val="nil"/>
            </w:tcBorders>
            <w:vAlign w:val="bottom"/>
          </w:tcPr>
          <w:p w14:paraId="0AAD23BD" w14:textId="199C2368"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71.0</w:t>
            </w:r>
          </w:p>
        </w:tc>
      </w:tr>
      <w:tr w:rsidR="001F1FF5" w:rsidRPr="00CD704D" w14:paraId="0AF64FD8" w14:textId="77777777" w:rsidTr="0061439C">
        <w:tc>
          <w:tcPr>
            <w:tcW w:w="1101" w:type="dxa"/>
            <w:vMerge/>
            <w:tcBorders>
              <w:top w:val="nil"/>
              <w:left w:val="nil"/>
              <w:bottom w:val="single" w:sz="4" w:space="0" w:color="auto"/>
              <w:right w:val="nil"/>
            </w:tcBorders>
          </w:tcPr>
          <w:p w14:paraId="64BE15B1"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single" w:sz="4" w:space="0" w:color="auto"/>
              <w:right w:val="nil"/>
            </w:tcBorders>
            <w:vAlign w:val="bottom"/>
          </w:tcPr>
          <w:p w14:paraId="6B530E2D" w14:textId="5F9232CF"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 xml:space="preserve">Total </w:t>
            </w:r>
            <w:r w:rsidR="001F1FF5" w:rsidRPr="0061439C">
              <w:rPr>
                <w:rFonts w:ascii="Times New Roman" w:eastAsia="Times New Roman" w:hAnsi="Times New Roman" w:cs="Times New Roman"/>
                <w:sz w:val="22"/>
                <w:szCs w:val="22"/>
                <w:lang w:eastAsia="zh-CN"/>
              </w:rPr>
              <w:t>South</w:t>
            </w:r>
          </w:p>
        </w:tc>
        <w:tc>
          <w:tcPr>
            <w:tcW w:w="900" w:type="dxa"/>
            <w:tcBorders>
              <w:top w:val="nil"/>
              <w:left w:val="nil"/>
              <w:bottom w:val="single" w:sz="4" w:space="0" w:color="auto"/>
              <w:right w:val="nil"/>
            </w:tcBorders>
            <w:vAlign w:val="bottom"/>
          </w:tcPr>
          <w:p w14:paraId="6C53BD3F" w14:textId="2A02C33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61.5</w:t>
            </w:r>
          </w:p>
        </w:tc>
        <w:tc>
          <w:tcPr>
            <w:tcW w:w="1080" w:type="dxa"/>
            <w:tcBorders>
              <w:top w:val="nil"/>
              <w:left w:val="nil"/>
              <w:bottom w:val="single" w:sz="4" w:space="0" w:color="auto"/>
              <w:right w:val="nil"/>
            </w:tcBorders>
            <w:vAlign w:val="bottom"/>
          </w:tcPr>
          <w:p w14:paraId="638FFF1D" w14:textId="4707CC0D"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78.7</w:t>
            </w:r>
          </w:p>
        </w:tc>
        <w:tc>
          <w:tcPr>
            <w:tcW w:w="1080" w:type="dxa"/>
            <w:tcBorders>
              <w:top w:val="nil"/>
              <w:left w:val="nil"/>
              <w:bottom w:val="single" w:sz="4" w:space="0" w:color="auto"/>
              <w:right w:val="nil"/>
            </w:tcBorders>
            <w:vAlign w:val="bottom"/>
          </w:tcPr>
          <w:p w14:paraId="263AE4A9" w14:textId="112BFBF9"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82.0</w:t>
            </w:r>
          </w:p>
        </w:tc>
        <w:tc>
          <w:tcPr>
            <w:tcW w:w="1148" w:type="dxa"/>
            <w:tcBorders>
              <w:top w:val="nil"/>
              <w:left w:val="nil"/>
              <w:bottom w:val="single" w:sz="4" w:space="0" w:color="auto"/>
              <w:right w:val="nil"/>
            </w:tcBorders>
            <w:vAlign w:val="bottom"/>
          </w:tcPr>
          <w:p w14:paraId="3C62FB2A" w14:textId="5F6E2C7D"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60.7</w:t>
            </w:r>
          </w:p>
        </w:tc>
        <w:tc>
          <w:tcPr>
            <w:tcW w:w="1080" w:type="dxa"/>
            <w:tcBorders>
              <w:top w:val="nil"/>
              <w:left w:val="nil"/>
              <w:bottom w:val="single" w:sz="4" w:space="0" w:color="auto"/>
              <w:right w:val="nil"/>
            </w:tcBorders>
            <w:vAlign w:val="bottom"/>
          </w:tcPr>
          <w:p w14:paraId="3C4A56F2" w14:textId="20AD979F"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69.4</w:t>
            </w:r>
          </w:p>
        </w:tc>
      </w:tr>
      <w:tr w:rsidR="001F1FF5" w:rsidRPr="00CD704D" w14:paraId="53CB9706" w14:textId="77777777" w:rsidTr="0061439C">
        <w:tc>
          <w:tcPr>
            <w:tcW w:w="1101" w:type="dxa"/>
            <w:tcBorders>
              <w:top w:val="single" w:sz="4" w:space="0" w:color="auto"/>
              <w:left w:val="nil"/>
              <w:bottom w:val="single" w:sz="4" w:space="0" w:color="auto"/>
              <w:right w:val="nil"/>
            </w:tcBorders>
          </w:tcPr>
          <w:p w14:paraId="2661C15A" w14:textId="77777777" w:rsidR="00DE596E" w:rsidRPr="0061439C" w:rsidRDefault="00DE596E" w:rsidP="0061439C">
            <w:pPr>
              <w:rPr>
                <w:rFonts w:ascii="Times New Roman" w:hAnsi="Times New Roman" w:cs="Times New Roman"/>
                <w:sz w:val="22"/>
                <w:szCs w:val="22"/>
              </w:rPr>
            </w:pPr>
            <w:r w:rsidRPr="0061439C">
              <w:rPr>
                <w:rFonts w:ascii="Times New Roman" w:hAnsi="Times New Roman" w:cs="Times New Roman"/>
                <w:sz w:val="22"/>
                <w:szCs w:val="22"/>
              </w:rPr>
              <w:t>National</w:t>
            </w:r>
          </w:p>
        </w:tc>
        <w:tc>
          <w:tcPr>
            <w:tcW w:w="2341" w:type="dxa"/>
            <w:tcBorders>
              <w:top w:val="single" w:sz="4" w:space="0" w:color="auto"/>
              <w:left w:val="nil"/>
              <w:bottom w:val="single" w:sz="4" w:space="0" w:color="auto"/>
              <w:right w:val="nil"/>
            </w:tcBorders>
          </w:tcPr>
          <w:p w14:paraId="0F434FCC" w14:textId="06B4060C" w:rsidR="00DE596E" w:rsidRPr="0061439C" w:rsidRDefault="00DE596E" w:rsidP="0061439C">
            <w:pPr>
              <w:rPr>
                <w:rFonts w:ascii="Times New Roman" w:hAnsi="Times New Roman" w:cs="Times New Roman"/>
                <w:sz w:val="22"/>
                <w:szCs w:val="22"/>
              </w:rPr>
            </w:pPr>
          </w:p>
        </w:tc>
        <w:tc>
          <w:tcPr>
            <w:tcW w:w="900" w:type="dxa"/>
            <w:tcBorders>
              <w:top w:val="single" w:sz="4" w:space="0" w:color="auto"/>
              <w:left w:val="nil"/>
              <w:bottom w:val="single" w:sz="4" w:space="0" w:color="auto"/>
              <w:right w:val="nil"/>
            </w:tcBorders>
          </w:tcPr>
          <w:p w14:paraId="2458FE22" w14:textId="40CE1015" w:rsidR="00DE596E" w:rsidRPr="0061439C" w:rsidRDefault="00521ECC" w:rsidP="0061439C">
            <w:pPr>
              <w:jc w:val="center"/>
              <w:rPr>
                <w:rFonts w:ascii="Times New Roman" w:hAnsi="Times New Roman" w:cs="Times New Roman"/>
                <w:sz w:val="22"/>
                <w:szCs w:val="22"/>
              </w:rPr>
            </w:pPr>
            <w:r w:rsidRPr="0061439C">
              <w:rPr>
                <w:rFonts w:ascii="Times New Roman" w:hAnsi="Times New Roman" w:cs="Times New Roman"/>
                <w:sz w:val="22"/>
                <w:szCs w:val="22"/>
              </w:rPr>
              <w:t>59.6</w:t>
            </w:r>
          </w:p>
        </w:tc>
        <w:tc>
          <w:tcPr>
            <w:tcW w:w="1080" w:type="dxa"/>
            <w:tcBorders>
              <w:top w:val="single" w:sz="4" w:space="0" w:color="auto"/>
              <w:left w:val="nil"/>
              <w:bottom w:val="single" w:sz="4" w:space="0" w:color="auto"/>
              <w:right w:val="nil"/>
            </w:tcBorders>
          </w:tcPr>
          <w:p w14:paraId="051A1A99" w14:textId="0F55DB60"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79.3</w:t>
            </w:r>
          </w:p>
        </w:tc>
        <w:tc>
          <w:tcPr>
            <w:tcW w:w="1080" w:type="dxa"/>
            <w:tcBorders>
              <w:top w:val="single" w:sz="4" w:space="0" w:color="auto"/>
              <w:left w:val="nil"/>
              <w:bottom w:val="single" w:sz="4" w:space="0" w:color="auto"/>
              <w:right w:val="nil"/>
            </w:tcBorders>
          </w:tcPr>
          <w:p w14:paraId="557B148E" w14:textId="6BCDB30F"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86.3</w:t>
            </w:r>
          </w:p>
        </w:tc>
        <w:tc>
          <w:tcPr>
            <w:tcW w:w="1148" w:type="dxa"/>
            <w:tcBorders>
              <w:top w:val="single" w:sz="4" w:space="0" w:color="auto"/>
              <w:left w:val="nil"/>
              <w:bottom w:val="single" w:sz="4" w:space="0" w:color="auto"/>
              <w:right w:val="nil"/>
            </w:tcBorders>
          </w:tcPr>
          <w:p w14:paraId="6DD07588" w14:textId="4D5B47B3"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83.3</w:t>
            </w:r>
          </w:p>
        </w:tc>
        <w:tc>
          <w:tcPr>
            <w:tcW w:w="1080" w:type="dxa"/>
            <w:tcBorders>
              <w:top w:val="single" w:sz="4" w:space="0" w:color="auto"/>
              <w:left w:val="nil"/>
              <w:bottom w:val="single" w:sz="4" w:space="0" w:color="auto"/>
              <w:right w:val="nil"/>
            </w:tcBorders>
          </w:tcPr>
          <w:p w14:paraId="7139DC76" w14:textId="41DA849B"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70.6</w:t>
            </w:r>
          </w:p>
        </w:tc>
      </w:tr>
    </w:tbl>
    <w:p w14:paraId="3DFECF51" w14:textId="77777777" w:rsidR="0079251F" w:rsidRDefault="0079251F" w:rsidP="00EF7FD9">
      <w:pPr>
        <w:jc w:val="both"/>
        <w:rPr>
          <w:rFonts w:ascii="Times New Roman" w:hAnsi="Times New Roman" w:cs="Times New Roman"/>
          <w:sz w:val="20"/>
          <w:szCs w:val="20"/>
        </w:rPr>
      </w:pPr>
      <w:r w:rsidRPr="00550946">
        <w:rPr>
          <w:rFonts w:ascii="Times New Roman" w:hAnsi="Times New Roman" w:cs="Times New Roman"/>
          <w:sz w:val="20"/>
          <w:szCs w:val="20"/>
        </w:rPr>
        <w:t xml:space="preserve">Source: Authors calculations using GLSS6 data </w:t>
      </w:r>
    </w:p>
    <w:p w14:paraId="3BC421C8" w14:textId="22BFB918" w:rsidR="00DE596E" w:rsidRPr="00550946" w:rsidRDefault="0079251F" w:rsidP="00EF7FD9">
      <w:pPr>
        <w:jc w:val="both"/>
        <w:rPr>
          <w:rFonts w:ascii="Times New Roman" w:hAnsi="Times New Roman" w:cs="Times New Roman"/>
          <w:sz w:val="20"/>
          <w:szCs w:val="20"/>
        </w:rPr>
      </w:pPr>
      <w:r w:rsidRPr="00550946">
        <w:rPr>
          <w:rFonts w:ascii="Times New Roman" w:hAnsi="Times New Roman" w:cs="Times New Roman"/>
          <w:sz w:val="20"/>
          <w:szCs w:val="20"/>
          <w:highlight w:val="yellow"/>
        </w:rPr>
        <w:t>(In file: \IFPRI1995\GSSP\Youth\Jed\New defined two regions_Sep2016\</w:t>
      </w:r>
      <w:proofErr w:type="gramStart"/>
      <w:r w:rsidRPr="00550946">
        <w:rPr>
          <w:rFonts w:ascii="Times New Roman" w:hAnsi="Times New Roman" w:cs="Times New Roman"/>
          <w:sz w:val="20"/>
          <w:szCs w:val="20"/>
          <w:highlight w:val="yellow"/>
        </w:rPr>
        <w:t>chapter5tables(</w:t>
      </w:r>
      <w:proofErr w:type="gramEnd"/>
      <w:r w:rsidRPr="00550946">
        <w:rPr>
          <w:rFonts w:ascii="Times New Roman" w:hAnsi="Times New Roman" w:cs="Times New Roman"/>
          <w:sz w:val="20"/>
          <w:szCs w:val="20"/>
          <w:highlight w:val="yellow"/>
        </w:rPr>
        <w:t>XD-Oct9), sheet “new”</w:t>
      </w:r>
    </w:p>
    <w:p w14:paraId="421FD7FC" w14:textId="77777777" w:rsidR="0079251F" w:rsidRPr="00CD704D" w:rsidRDefault="0079251F" w:rsidP="00EF7FD9">
      <w:pPr>
        <w:jc w:val="both"/>
        <w:rPr>
          <w:rFonts w:ascii="Times New Roman" w:hAnsi="Times New Roman" w:cs="Times New Roman"/>
          <w:sz w:val="24"/>
          <w:szCs w:val="24"/>
        </w:rPr>
      </w:pPr>
    </w:p>
    <w:p w14:paraId="45755D89" w14:textId="7A6ED9F1" w:rsidR="007671C4" w:rsidRPr="00CD704D" w:rsidRDefault="00262539" w:rsidP="0061439C">
      <w:pPr>
        <w:spacing w:after="240" w:line="360" w:lineRule="auto"/>
        <w:ind w:firstLine="360"/>
        <w:jc w:val="both"/>
        <w:rPr>
          <w:rFonts w:ascii="Times New Roman" w:hAnsi="Times New Roman" w:cs="Times New Roman"/>
          <w:sz w:val="24"/>
          <w:szCs w:val="24"/>
        </w:rPr>
      </w:pPr>
      <w:r w:rsidRPr="00262539">
        <w:rPr>
          <w:rFonts w:ascii="Times New Roman" w:hAnsi="Times New Roman" w:cs="Times New Roman"/>
          <w:sz w:val="24"/>
          <w:szCs w:val="24"/>
          <w:u w:val="single"/>
        </w:rPr>
        <w:t>Mechanization</w:t>
      </w:r>
      <w:r>
        <w:rPr>
          <w:rFonts w:ascii="Times New Roman" w:hAnsi="Times New Roman" w:cs="Times New Roman"/>
          <w:sz w:val="24"/>
          <w:szCs w:val="24"/>
        </w:rPr>
        <w:t xml:space="preserve">. </w:t>
      </w:r>
      <w:r w:rsidR="00CC551C">
        <w:rPr>
          <w:rFonts w:ascii="Times New Roman" w:hAnsi="Times New Roman" w:cs="Times New Roman"/>
          <w:sz w:val="24"/>
          <w:szCs w:val="24"/>
        </w:rPr>
        <w:t xml:space="preserve">The share of farmers using mechanization (mostly tractors) </w:t>
      </w:r>
      <w:r>
        <w:rPr>
          <w:rFonts w:ascii="Times New Roman" w:hAnsi="Times New Roman" w:cs="Times New Roman"/>
          <w:sz w:val="24"/>
          <w:szCs w:val="24"/>
        </w:rPr>
        <w:t xml:space="preserve">doubled </w:t>
      </w:r>
      <w:r w:rsidR="00CC551C">
        <w:rPr>
          <w:rFonts w:ascii="Times New Roman" w:hAnsi="Times New Roman" w:cs="Times New Roman"/>
          <w:sz w:val="24"/>
          <w:szCs w:val="24"/>
        </w:rPr>
        <w:t>from 17 percent in 2005/06 to 33 percent in 2012/13. About 4</w:t>
      </w:r>
      <w:r w:rsidR="0085512F">
        <w:rPr>
          <w:rFonts w:ascii="Times New Roman" w:hAnsi="Times New Roman" w:cs="Times New Roman"/>
          <w:sz w:val="24"/>
          <w:szCs w:val="24"/>
        </w:rPr>
        <w:t>0</w:t>
      </w:r>
      <w:r w:rsidR="00CC551C">
        <w:rPr>
          <w:rFonts w:ascii="Times New Roman" w:hAnsi="Times New Roman" w:cs="Times New Roman"/>
          <w:sz w:val="24"/>
          <w:szCs w:val="24"/>
        </w:rPr>
        <w:t xml:space="preserve"> percent of farm households used mechanization in 2012/13 in the </w:t>
      </w:r>
      <w:r w:rsidR="00FE7FDE">
        <w:rPr>
          <w:rFonts w:ascii="Times New Roman" w:hAnsi="Times New Roman" w:cs="Times New Roman"/>
          <w:sz w:val="24"/>
          <w:szCs w:val="24"/>
        </w:rPr>
        <w:t>Nor</w:t>
      </w:r>
      <w:r w:rsidR="0085512F">
        <w:rPr>
          <w:rFonts w:ascii="Times New Roman" w:hAnsi="Times New Roman" w:cs="Times New Roman"/>
          <w:sz w:val="24"/>
          <w:szCs w:val="24"/>
        </w:rPr>
        <w:t>th</w:t>
      </w:r>
      <w:r w:rsidR="00CC551C">
        <w:rPr>
          <w:rFonts w:ascii="Times New Roman" w:hAnsi="Times New Roman" w:cs="Times New Roman"/>
          <w:sz w:val="24"/>
          <w:szCs w:val="24"/>
        </w:rPr>
        <w:t xml:space="preserve">, compared to </w:t>
      </w:r>
      <w:r w:rsidR="0085512F">
        <w:rPr>
          <w:rFonts w:ascii="Times New Roman" w:hAnsi="Times New Roman" w:cs="Times New Roman"/>
          <w:sz w:val="24"/>
          <w:szCs w:val="24"/>
        </w:rPr>
        <w:t>less than 30</w:t>
      </w:r>
      <w:r w:rsidR="00CC551C">
        <w:rPr>
          <w:rFonts w:ascii="Times New Roman" w:hAnsi="Times New Roman" w:cs="Times New Roman"/>
          <w:sz w:val="24"/>
          <w:szCs w:val="24"/>
        </w:rPr>
        <w:t xml:space="preserve"> percent in the </w:t>
      </w:r>
      <w:r w:rsidR="0085512F">
        <w:rPr>
          <w:rFonts w:ascii="Times New Roman" w:hAnsi="Times New Roman" w:cs="Times New Roman"/>
          <w:sz w:val="24"/>
          <w:szCs w:val="24"/>
        </w:rPr>
        <w:t>South</w:t>
      </w:r>
      <w:r w:rsidR="00BA6E1C">
        <w:rPr>
          <w:rFonts w:ascii="Times New Roman" w:hAnsi="Times New Roman" w:cs="Times New Roman"/>
          <w:sz w:val="24"/>
          <w:szCs w:val="24"/>
        </w:rPr>
        <w:t xml:space="preserve"> (Table </w:t>
      </w:r>
      <w:r w:rsidR="00D52F18">
        <w:rPr>
          <w:rFonts w:ascii="Times New Roman" w:hAnsi="Times New Roman" w:cs="Times New Roman"/>
          <w:sz w:val="24"/>
          <w:szCs w:val="24"/>
        </w:rPr>
        <w:t>9</w:t>
      </w:r>
      <w:r w:rsidR="00BA6E1C">
        <w:rPr>
          <w:rFonts w:ascii="Times New Roman" w:hAnsi="Times New Roman" w:cs="Times New Roman"/>
          <w:sz w:val="24"/>
          <w:szCs w:val="24"/>
        </w:rPr>
        <w:t>.7)</w:t>
      </w:r>
      <w:r w:rsidR="0085512F">
        <w:rPr>
          <w:rFonts w:ascii="Times New Roman" w:hAnsi="Times New Roman" w:cs="Times New Roman"/>
          <w:sz w:val="24"/>
          <w:szCs w:val="24"/>
        </w:rPr>
        <w:t xml:space="preserve">, possibly due to the natural restriction </w:t>
      </w:r>
      <w:r w:rsidR="006E32AC">
        <w:rPr>
          <w:rFonts w:ascii="Times New Roman" w:hAnsi="Times New Roman" w:cs="Times New Roman"/>
          <w:sz w:val="24"/>
          <w:szCs w:val="24"/>
        </w:rPr>
        <w:t>from tree stump</w:t>
      </w:r>
      <w:r w:rsidR="00E462BB">
        <w:rPr>
          <w:rFonts w:ascii="Times New Roman" w:hAnsi="Times New Roman" w:cs="Times New Roman"/>
          <w:sz w:val="24"/>
          <w:szCs w:val="24"/>
        </w:rPr>
        <w:t>s</w:t>
      </w:r>
      <w:r w:rsidR="0085512F">
        <w:rPr>
          <w:rFonts w:ascii="Times New Roman" w:hAnsi="Times New Roman" w:cs="Times New Roman"/>
          <w:sz w:val="24"/>
          <w:szCs w:val="24"/>
        </w:rPr>
        <w:t xml:space="preserve"> in </w:t>
      </w:r>
      <w:r w:rsidR="006E32AC">
        <w:rPr>
          <w:rFonts w:ascii="Times New Roman" w:hAnsi="Times New Roman" w:cs="Times New Roman"/>
          <w:sz w:val="24"/>
          <w:szCs w:val="24"/>
        </w:rPr>
        <w:t xml:space="preserve">the </w:t>
      </w:r>
      <w:r w:rsidR="0085512F">
        <w:rPr>
          <w:rFonts w:ascii="Times New Roman" w:hAnsi="Times New Roman" w:cs="Times New Roman"/>
          <w:sz w:val="24"/>
          <w:szCs w:val="24"/>
        </w:rPr>
        <w:t>forest zone</w:t>
      </w:r>
      <w:r w:rsidR="00CC551C">
        <w:rPr>
          <w:rFonts w:ascii="Times New Roman" w:hAnsi="Times New Roman" w:cs="Times New Roman"/>
          <w:sz w:val="24"/>
          <w:szCs w:val="24"/>
        </w:rPr>
        <w:t xml:space="preserve">. </w:t>
      </w:r>
      <w:r w:rsidR="00BA6E1C">
        <w:rPr>
          <w:rFonts w:ascii="Times New Roman" w:hAnsi="Times New Roman" w:cs="Times New Roman"/>
          <w:sz w:val="24"/>
          <w:szCs w:val="24"/>
        </w:rPr>
        <w:t xml:space="preserve">The share of farm households using machinery also </w:t>
      </w:r>
      <w:r w:rsidR="00BA6E1C">
        <w:rPr>
          <w:rFonts w:ascii="Times New Roman" w:hAnsi="Times New Roman" w:cs="Times New Roman"/>
          <w:sz w:val="24"/>
          <w:szCs w:val="24"/>
        </w:rPr>
        <w:lastRenderedPageBreak/>
        <w:t xml:space="preserve">increases with farm size in both regions, </w:t>
      </w:r>
      <w:r w:rsidR="006E32AC">
        <w:rPr>
          <w:rFonts w:ascii="Times New Roman" w:hAnsi="Times New Roman" w:cs="Times New Roman"/>
          <w:sz w:val="24"/>
          <w:szCs w:val="24"/>
        </w:rPr>
        <w:t xml:space="preserve">and </w:t>
      </w:r>
      <w:r w:rsidR="00BA6E1C">
        <w:rPr>
          <w:rFonts w:ascii="Times New Roman" w:hAnsi="Times New Roman" w:cs="Times New Roman"/>
          <w:sz w:val="24"/>
          <w:szCs w:val="24"/>
        </w:rPr>
        <w:t xml:space="preserve">more so in the agriculturally important </w:t>
      </w:r>
      <w:r w:rsidR="006E32AC">
        <w:rPr>
          <w:rFonts w:ascii="Times New Roman" w:hAnsi="Times New Roman" w:cs="Times New Roman"/>
          <w:sz w:val="24"/>
          <w:szCs w:val="24"/>
        </w:rPr>
        <w:t>North</w:t>
      </w:r>
      <w:r w:rsidR="00BA6E1C">
        <w:rPr>
          <w:rFonts w:ascii="Times New Roman" w:hAnsi="Times New Roman" w:cs="Times New Roman"/>
          <w:sz w:val="24"/>
          <w:szCs w:val="24"/>
        </w:rPr>
        <w:t xml:space="preserve">. </w:t>
      </w:r>
      <w:r w:rsidR="00163E34">
        <w:rPr>
          <w:rFonts w:ascii="Times New Roman" w:hAnsi="Times New Roman" w:cs="Times New Roman"/>
          <w:sz w:val="24"/>
          <w:szCs w:val="24"/>
        </w:rPr>
        <w:t xml:space="preserve">As with other modern inputs, there is no consistent pattern of use across levels of urbanization within </w:t>
      </w:r>
      <w:r w:rsidR="00FE7FDE">
        <w:rPr>
          <w:rFonts w:ascii="Times New Roman" w:hAnsi="Times New Roman" w:cs="Times New Roman"/>
          <w:sz w:val="24"/>
          <w:szCs w:val="24"/>
        </w:rPr>
        <w:t xml:space="preserve">each of </w:t>
      </w:r>
      <w:r w:rsidR="00163E34">
        <w:rPr>
          <w:rFonts w:ascii="Times New Roman" w:hAnsi="Times New Roman" w:cs="Times New Roman"/>
          <w:sz w:val="24"/>
          <w:szCs w:val="24"/>
        </w:rPr>
        <w:t>the two regions, again suggesting that urbanization is not inducing greater use</w:t>
      </w:r>
      <w:r w:rsidR="00E462BB">
        <w:rPr>
          <w:rFonts w:ascii="Times New Roman" w:hAnsi="Times New Roman" w:cs="Times New Roman"/>
          <w:sz w:val="24"/>
          <w:szCs w:val="24"/>
        </w:rPr>
        <w:t xml:space="preserve"> of mechanization</w:t>
      </w:r>
      <w:r w:rsidR="00163E34">
        <w:rPr>
          <w:rFonts w:ascii="Times New Roman" w:hAnsi="Times New Roman" w:cs="Times New Roman"/>
          <w:sz w:val="24"/>
          <w:szCs w:val="24"/>
        </w:rPr>
        <w:t>. The factors driving mechanization are explored more fully in Chapter 8.</w:t>
      </w:r>
      <w:r w:rsidR="00E02AFF" w:rsidRPr="00CD704D">
        <w:rPr>
          <w:rFonts w:ascii="Times New Roman" w:hAnsi="Times New Roman" w:cs="Times New Roman"/>
          <w:sz w:val="24"/>
          <w:szCs w:val="24"/>
        </w:rPr>
        <w:t xml:space="preserve"> </w:t>
      </w:r>
    </w:p>
    <w:p w14:paraId="3006773E" w14:textId="09ABFC59" w:rsidR="00DE596E" w:rsidRPr="00CD704D" w:rsidRDefault="00C41DDF" w:rsidP="00EF7FD9">
      <w:pPr>
        <w:jc w:val="both"/>
        <w:rPr>
          <w:rFonts w:ascii="Times New Roman" w:hAnsi="Times New Roman" w:cs="Times New Roman"/>
          <w:sz w:val="24"/>
          <w:szCs w:val="24"/>
        </w:rPr>
      </w:pPr>
      <w:r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BA6E1C">
        <w:rPr>
          <w:rFonts w:ascii="Times New Roman" w:hAnsi="Times New Roman" w:cs="Times New Roman"/>
          <w:sz w:val="24"/>
          <w:szCs w:val="24"/>
        </w:rPr>
        <w:t>.</w:t>
      </w:r>
      <w:r w:rsidRPr="00CD704D">
        <w:rPr>
          <w:rFonts w:ascii="Times New Roman" w:hAnsi="Times New Roman" w:cs="Times New Roman"/>
          <w:sz w:val="24"/>
          <w:szCs w:val="24"/>
        </w:rPr>
        <w:t>7</w:t>
      </w:r>
      <w:r w:rsidR="00DE596E" w:rsidRPr="00CD704D">
        <w:rPr>
          <w:rFonts w:ascii="Times New Roman" w:hAnsi="Times New Roman" w:cs="Times New Roman"/>
          <w:sz w:val="24"/>
          <w:szCs w:val="24"/>
        </w:rPr>
        <w:t>: Share of rural households using mechanization</w:t>
      </w:r>
      <w:r w:rsidR="00BA6E1C">
        <w:rPr>
          <w:rFonts w:ascii="Times New Roman" w:hAnsi="Times New Roman" w:cs="Times New Roman"/>
          <w:sz w:val="24"/>
          <w:szCs w:val="24"/>
        </w:rPr>
        <w:t xml:space="preserve">, </w:t>
      </w:r>
      <w:r w:rsidR="00DE596E" w:rsidRPr="00CD704D">
        <w:rPr>
          <w:rFonts w:ascii="Times New Roman" w:hAnsi="Times New Roman" w:cs="Times New Roman"/>
          <w:sz w:val="24"/>
          <w:szCs w:val="24"/>
        </w:rPr>
        <w:t xml:space="preserve">2012/13 </w:t>
      </w:r>
    </w:p>
    <w:tbl>
      <w:tblPr>
        <w:tblStyle w:val="TableGrid"/>
        <w:tblW w:w="77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2046"/>
        <w:gridCol w:w="946"/>
        <w:gridCol w:w="900"/>
        <w:gridCol w:w="990"/>
        <w:gridCol w:w="990"/>
        <w:gridCol w:w="810"/>
      </w:tblGrid>
      <w:tr w:rsidR="001F1FF5" w:rsidRPr="00550946" w14:paraId="60E57532" w14:textId="77777777" w:rsidTr="00550946">
        <w:tc>
          <w:tcPr>
            <w:tcW w:w="3111" w:type="dxa"/>
            <w:gridSpan w:val="2"/>
            <w:tcBorders>
              <w:top w:val="single" w:sz="4" w:space="0" w:color="auto"/>
              <w:bottom w:val="single" w:sz="4" w:space="0" w:color="auto"/>
            </w:tcBorders>
          </w:tcPr>
          <w:p w14:paraId="03194751" w14:textId="77777777" w:rsidR="00DE596E" w:rsidRPr="0061439C" w:rsidRDefault="00DE596E" w:rsidP="0061439C">
            <w:pPr>
              <w:rPr>
                <w:rFonts w:ascii="Times New Roman" w:hAnsi="Times New Roman" w:cs="Times New Roman"/>
                <w:sz w:val="22"/>
                <w:szCs w:val="22"/>
              </w:rPr>
            </w:pPr>
          </w:p>
        </w:tc>
        <w:tc>
          <w:tcPr>
            <w:tcW w:w="946" w:type="dxa"/>
            <w:tcBorders>
              <w:top w:val="single" w:sz="4" w:space="0" w:color="auto"/>
              <w:bottom w:val="single" w:sz="4" w:space="0" w:color="auto"/>
            </w:tcBorders>
            <w:vAlign w:val="bottom"/>
          </w:tcPr>
          <w:p w14:paraId="7BD18DF8" w14:textId="46783C90"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&lt;2 ha</w:t>
            </w:r>
          </w:p>
        </w:tc>
        <w:tc>
          <w:tcPr>
            <w:tcW w:w="900" w:type="dxa"/>
            <w:tcBorders>
              <w:top w:val="single" w:sz="4" w:space="0" w:color="auto"/>
              <w:bottom w:val="single" w:sz="4" w:space="0" w:color="auto"/>
            </w:tcBorders>
            <w:vAlign w:val="bottom"/>
          </w:tcPr>
          <w:p w14:paraId="31404EFE" w14:textId="6E9067DD"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2-5 ha</w:t>
            </w:r>
          </w:p>
        </w:tc>
        <w:tc>
          <w:tcPr>
            <w:tcW w:w="990" w:type="dxa"/>
            <w:tcBorders>
              <w:top w:val="single" w:sz="4" w:space="0" w:color="auto"/>
              <w:bottom w:val="single" w:sz="4" w:space="0" w:color="auto"/>
            </w:tcBorders>
            <w:vAlign w:val="bottom"/>
          </w:tcPr>
          <w:p w14:paraId="0B234669" w14:textId="17A0B382"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5-20 ha</w:t>
            </w:r>
          </w:p>
        </w:tc>
        <w:tc>
          <w:tcPr>
            <w:tcW w:w="990" w:type="dxa"/>
            <w:tcBorders>
              <w:top w:val="single" w:sz="4" w:space="0" w:color="auto"/>
              <w:bottom w:val="single" w:sz="4" w:space="0" w:color="auto"/>
            </w:tcBorders>
            <w:vAlign w:val="bottom"/>
          </w:tcPr>
          <w:p w14:paraId="6350DF57" w14:textId="7BFA20CF"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&gt; 20 ha</w:t>
            </w:r>
          </w:p>
        </w:tc>
        <w:tc>
          <w:tcPr>
            <w:tcW w:w="810" w:type="dxa"/>
            <w:tcBorders>
              <w:top w:val="single" w:sz="4" w:space="0" w:color="auto"/>
              <w:bottom w:val="single" w:sz="4" w:space="0" w:color="auto"/>
            </w:tcBorders>
            <w:vAlign w:val="bottom"/>
          </w:tcPr>
          <w:p w14:paraId="30950B76" w14:textId="61CD29C1"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w:t>
            </w:r>
          </w:p>
        </w:tc>
      </w:tr>
      <w:tr w:rsidR="001F1FF5" w:rsidRPr="00550946" w14:paraId="5D205209" w14:textId="77777777" w:rsidTr="00550946">
        <w:tc>
          <w:tcPr>
            <w:tcW w:w="1065" w:type="dxa"/>
            <w:vMerge w:val="restart"/>
            <w:tcBorders>
              <w:top w:val="single" w:sz="4" w:space="0" w:color="auto"/>
              <w:bottom w:val="nil"/>
            </w:tcBorders>
          </w:tcPr>
          <w:p w14:paraId="08CC80BA" w14:textId="66ABEEFD" w:rsidR="001F1FF5"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North</w:t>
            </w:r>
          </w:p>
        </w:tc>
        <w:tc>
          <w:tcPr>
            <w:tcW w:w="2046" w:type="dxa"/>
            <w:tcBorders>
              <w:top w:val="single" w:sz="4" w:space="0" w:color="auto"/>
              <w:bottom w:val="nil"/>
            </w:tcBorders>
            <w:vAlign w:val="bottom"/>
          </w:tcPr>
          <w:p w14:paraId="28730A22"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46" w:type="dxa"/>
            <w:tcBorders>
              <w:top w:val="single" w:sz="4" w:space="0" w:color="auto"/>
              <w:bottom w:val="nil"/>
            </w:tcBorders>
            <w:vAlign w:val="bottom"/>
          </w:tcPr>
          <w:p w14:paraId="6058746B" w14:textId="574A649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42.3</w:t>
            </w:r>
          </w:p>
        </w:tc>
        <w:tc>
          <w:tcPr>
            <w:tcW w:w="900" w:type="dxa"/>
            <w:tcBorders>
              <w:top w:val="single" w:sz="4" w:space="0" w:color="auto"/>
              <w:bottom w:val="nil"/>
            </w:tcBorders>
            <w:vAlign w:val="bottom"/>
          </w:tcPr>
          <w:p w14:paraId="3C77244F" w14:textId="5C016CB0"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54.2</w:t>
            </w:r>
          </w:p>
        </w:tc>
        <w:tc>
          <w:tcPr>
            <w:tcW w:w="990" w:type="dxa"/>
            <w:tcBorders>
              <w:top w:val="single" w:sz="4" w:space="0" w:color="auto"/>
              <w:bottom w:val="nil"/>
            </w:tcBorders>
            <w:vAlign w:val="bottom"/>
          </w:tcPr>
          <w:p w14:paraId="41B8B2B5" w14:textId="3DB37D7F"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62.3</w:t>
            </w:r>
          </w:p>
        </w:tc>
        <w:tc>
          <w:tcPr>
            <w:tcW w:w="990" w:type="dxa"/>
            <w:tcBorders>
              <w:top w:val="single" w:sz="4" w:space="0" w:color="auto"/>
              <w:bottom w:val="nil"/>
            </w:tcBorders>
            <w:vAlign w:val="bottom"/>
          </w:tcPr>
          <w:p w14:paraId="65AC9295" w14:textId="29E237A5"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100.0</w:t>
            </w:r>
          </w:p>
        </w:tc>
        <w:tc>
          <w:tcPr>
            <w:tcW w:w="810" w:type="dxa"/>
            <w:tcBorders>
              <w:top w:val="single" w:sz="4" w:space="0" w:color="auto"/>
              <w:bottom w:val="nil"/>
            </w:tcBorders>
            <w:vAlign w:val="bottom"/>
          </w:tcPr>
          <w:p w14:paraId="28804D40" w14:textId="667D8BD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51.6</w:t>
            </w:r>
          </w:p>
        </w:tc>
      </w:tr>
      <w:tr w:rsidR="001F1FF5" w:rsidRPr="00550946" w14:paraId="7773BFC8" w14:textId="77777777" w:rsidTr="00550946">
        <w:tc>
          <w:tcPr>
            <w:tcW w:w="1065" w:type="dxa"/>
            <w:vMerge/>
            <w:tcBorders>
              <w:top w:val="nil"/>
              <w:bottom w:val="nil"/>
            </w:tcBorders>
          </w:tcPr>
          <w:p w14:paraId="3BF80F8B" w14:textId="77777777" w:rsidR="001F1FF5" w:rsidRPr="0061439C" w:rsidRDefault="001F1FF5" w:rsidP="0061439C">
            <w:pPr>
              <w:rPr>
                <w:rFonts w:ascii="Times New Roman" w:hAnsi="Times New Roman" w:cs="Times New Roman"/>
                <w:sz w:val="22"/>
                <w:szCs w:val="22"/>
              </w:rPr>
            </w:pPr>
          </w:p>
        </w:tc>
        <w:tc>
          <w:tcPr>
            <w:tcW w:w="2046" w:type="dxa"/>
            <w:tcBorders>
              <w:top w:val="nil"/>
              <w:bottom w:val="nil"/>
            </w:tcBorders>
            <w:vAlign w:val="bottom"/>
          </w:tcPr>
          <w:p w14:paraId="36790D08"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46" w:type="dxa"/>
            <w:tcBorders>
              <w:top w:val="nil"/>
              <w:bottom w:val="nil"/>
            </w:tcBorders>
            <w:vAlign w:val="bottom"/>
          </w:tcPr>
          <w:p w14:paraId="5CF5B4F6" w14:textId="796B455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20.5</w:t>
            </w:r>
          </w:p>
        </w:tc>
        <w:tc>
          <w:tcPr>
            <w:tcW w:w="900" w:type="dxa"/>
            <w:tcBorders>
              <w:top w:val="nil"/>
              <w:bottom w:val="nil"/>
            </w:tcBorders>
            <w:vAlign w:val="bottom"/>
          </w:tcPr>
          <w:p w14:paraId="592C1F07" w14:textId="23512E2C"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43.6</w:t>
            </w:r>
          </w:p>
        </w:tc>
        <w:tc>
          <w:tcPr>
            <w:tcW w:w="990" w:type="dxa"/>
            <w:tcBorders>
              <w:top w:val="nil"/>
              <w:bottom w:val="nil"/>
            </w:tcBorders>
            <w:vAlign w:val="bottom"/>
          </w:tcPr>
          <w:p w14:paraId="0CAF2B55" w14:textId="7C650DBF"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51.9</w:t>
            </w:r>
          </w:p>
        </w:tc>
        <w:tc>
          <w:tcPr>
            <w:tcW w:w="990" w:type="dxa"/>
            <w:tcBorders>
              <w:top w:val="nil"/>
              <w:bottom w:val="nil"/>
            </w:tcBorders>
            <w:vAlign w:val="bottom"/>
          </w:tcPr>
          <w:p w14:paraId="371E22E9" w14:textId="4BCD485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96.1</w:t>
            </w:r>
          </w:p>
        </w:tc>
        <w:tc>
          <w:tcPr>
            <w:tcW w:w="810" w:type="dxa"/>
            <w:tcBorders>
              <w:top w:val="nil"/>
              <w:bottom w:val="nil"/>
            </w:tcBorders>
            <w:vAlign w:val="bottom"/>
          </w:tcPr>
          <w:p w14:paraId="1A2E25FB" w14:textId="1D5CA6B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34.5</w:t>
            </w:r>
          </w:p>
        </w:tc>
      </w:tr>
      <w:tr w:rsidR="001F1FF5" w:rsidRPr="00550946" w14:paraId="1E0456CB" w14:textId="77777777" w:rsidTr="00550946">
        <w:tc>
          <w:tcPr>
            <w:tcW w:w="1065" w:type="dxa"/>
            <w:vMerge/>
            <w:tcBorders>
              <w:top w:val="nil"/>
              <w:bottom w:val="nil"/>
            </w:tcBorders>
          </w:tcPr>
          <w:p w14:paraId="2E91654D" w14:textId="77777777" w:rsidR="001F1FF5" w:rsidRPr="0061439C" w:rsidRDefault="001F1FF5" w:rsidP="0061439C">
            <w:pPr>
              <w:rPr>
                <w:rFonts w:ascii="Times New Roman" w:hAnsi="Times New Roman" w:cs="Times New Roman"/>
                <w:sz w:val="22"/>
                <w:szCs w:val="22"/>
              </w:rPr>
            </w:pPr>
          </w:p>
        </w:tc>
        <w:tc>
          <w:tcPr>
            <w:tcW w:w="2046" w:type="dxa"/>
            <w:tcBorders>
              <w:top w:val="nil"/>
              <w:bottom w:val="nil"/>
            </w:tcBorders>
            <w:vAlign w:val="bottom"/>
          </w:tcPr>
          <w:p w14:paraId="1AE80860"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46" w:type="dxa"/>
            <w:tcBorders>
              <w:top w:val="nil"/>
              <w:bottom w:val="nil"/>
            </w:tcBorders>
            <w:vAlign w:val="bottom"/>
          </w:tcPr>
          <w:p w14:paraId="529616B4" w14:textId="67B7C65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26.5</w:t>
            </w:r>
          </w:p>
        </w:tc>
        <w:tc>
          <w:tcPr>
            <w:tcW w:w="900" w:type="dxa"/>
            <w:tcBorders>
              <w:top w:val="nil"/>
              <w:bottom w:val="nil"/>
            </w:tcBorders>
            <w:vAlign w:val="bottom"/>
          </w:tcPr>
          <w:p w14:paraId="62F1CA56" w14:textId="10407450"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40.1</w:t>
            </w:r>
          </w:p>
        </w:tc>
        <w:tc>
          <w:tcPr>
            <w:tcW w:w="990" w:type="dxa"/>
            <w:tcBorders>
              <w:top w:val="nil"/>
              <w:bottom w:val="nil"/>
            </w:tcBorders>
            <w:vAlign w:val="bottom"/>
          </w:tcPr>
          <w:p w14:paraId="70EC2200" w14:textId="13BAD4D7"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59.4</w:t>
            </w:r>
          </w:p>
        </w:tc>
        <w:tc>
          <w:tcPr>
            <w:tcW w:w="990" w:type="dxa"/>
            <w:tcBorders>
              <w:top w:val="nil"/>
              <w:bottom w:val="nil"/>
            </w:tcBorders>
            <w:vAlign w:val="bottom"/>
          </w:tcPr>
          <w:p w14:paraId="2DE15542" w14:textId="0184034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66.6</w:t>
            </w:r>
          </w:p>
        </w:tc>
        <w:tc>
          <w:tcPr>
            <w:tcW w:w="810" w:type="dxa"/>
            <w:tcBorders>
              <w:top w:val="nil"/>
              <w:bottom w:val="nil"/>
            </w:tcBorders>
            <w:vAlign w:val="bottom"/>
          </w:tcPr>
          <w:p w14:paraId="3890972C" w14:textId="407EF6C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40.3</w:t>
            </w:r>
          </w:p>
        </w:tc>
      </w:tr>
      <w:tr w:rsidR="001F1FF5" w:rsidRPr="00550946" w14:paraId="5A2F803C" w14:textId="77777777" w:rsidTr="00550946">
        <w:tc>
          <w:tcPr>
            <w:tcW w:w="1065" w:type="dxa"/>
            <w:vMerge/>
            <w:tcBorders>
              <w:top w:val="nil"/>
              <w:bottom w:val="single" w:sz="4" w:space="0" w:color="auto"/>
            </w:tcBorders>
          </w:tcPr>
          <w:p w14:paraId="27825B20" w14:textId="77777777" w:rsidR="001F1FF5" w:rsidRPr="0061439C" w:rsidRDefault="001F1FF5" w:rsidP="0061439C">
            <w:pPr>
              <w:rPr>
                <w:rFonts w:ascii="Times New Roman" w:hAnsi="Times New Roman" w:cs="Times New Roman"/>
                <w:sz w:val="22"/>
                <w:szCs w:val="22"/>
              </w:rPr>
            </w:pPr>
          </w:p>
        </w:tc>
        <w:tc>
          <w:tcPr>
            <w:tcW w:w="2046" w:type="dxa"/>
            <w:tcBorders>
              <w:top w:val="nil"/>
              <w:bottom w:val="single" w:sz="4" w:space="0" w:color="auto"/>
            </w:tcBorders>
            <w:vAlign w:val="bottom"/>
          </w:tcPr>
          <w:p w14:paraId="4EEEA900" w14:textId="4C53FFDE"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North</w:t>
            </w:r>
          </w:p>
        </w:tc>
        <w:tc>
          <w:tcPr>
            <w:tcW w:w="946" w:type="dxa"/>
            <w:tcBorders>
              <w:top w:val="nil"/>
              <w:bottom w:val="single" w:sz="4" w:space="0" w:color="auto"/>
            </w:tcBorders>
            <w:vAlign w:val="bottom"/>
          </w:tcPr>
          <w:p w14:paraId="34D63EB1" w14:textId="61CE731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25.3</w:t>
            </w:r>
          </w:p>
        </w:tc>
        <w:tc>
          <w:tcPr>
            <w:tcW w:w="900" w:type="dxa"/>
            <w:tcBorders>
              <w:top w:val="nil"/>
              <w:bottom w:val="single" w:sz="4" w:space="0" w:color="auto"/>
            </w:tcBorders>
            <w:vAlign w:val="bottom"/>
          </w:tcPr>
          <w:p w14:paraId="1A2FD00A" w14:textId="4822C24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41.6</w:t>
            </w:r>
          </w:p>
        </w:tc>
        <w:tc>
          <w:tcPr>
            <w:tcW w:w="990" w:type="dxa"/>
            <w:tcBorders>
              <w:top w:val="nil"/>
              <w:bottom w:val="single" w:sz="4" w:space="0" w:color="auto"/>
            </w:tcBorders>
            <w:vAlign w:val="bottom"/>
          </w:tcPr>
          <w:p w14:paraId="374CCAE7" w14:textId="7884E899"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58.2</w:t>
            </w:r>
          </w:p>
        </w:tc>
        <w:tc>
          <w:tcPr>
            <w:tcW w:w="990" w:type="dxa"/>
            <w:tcBorders>
              <w:top w:val="nil"/>
              <w:bottom w:val="single" w:sz="4" w:space="0" w:color="auto"/>
            </w:tcBorders>
            <w:vAlign w:val="bottom"/>
          </w:tcPr>
          <w:p w14:paraId="1810CD66" w14:textId="1DDC339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78.6</w:t>
            </w:r>
          </w:p>
        </w:tc>
        <w:tc>
          <w:tcPr>
            <w:tcW w:w="810" w:type="dxa"/>
            <w:tcBorders>
              <w:top w:val="nil"/>
              <w:bottom w:val="single" w:sz="4" w:space="0" w:color="auto"/>
            </w:tcBorders>
            <w:vAlign w:val="bottom"/>
          </w:tcPr>
          <w:p w14:paraId="57A46E7C" w14:textId="23B4D598"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39.3</w:t>
            </w:r>
          </w:p>
        </w:tc>
      </w:tr>
      <w:tr w:rsidR="001F1FF5" w:rsidRPr="00550946" w14:paraId="0023E936" w14:textId="77777777" w:rsidTr="00550946">
        <w:tc>
          <w:tcPr>
            <w:tcW w:w="1065" w:type="dxa"/>
            <w:vMerge w:val="restart"/>
            <w:tcBorders>
              <w:top w:val="single" w:sz="4" w:space="0" w:color="auto"/>
            </w:tcBorders>
          </w:tcPr>
          <w:p w14:paraId="6B575AEE" w14:textId="6CFC5206" w:rsidR="001F1FF5"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South</w:t>
            </w:r>
          </w:p>
        </w:tc>
        <w:tc>
          <w:tcPr>
            <w:tcW w:w="2046" w:type="dxa"/>
            <w:tcBorders>
              <w:top w:val="single" w:sz="4" w:space="0" w:color="auto"/>
            </w:tcBorders>
            <w:vAlign w:val="bottom"/>
          </w:tcPr>
          <w:p w14:paraId="11485433"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Big city districts</w:t>
            </w:r>
          </w:p>
        </w:tc>
        <w:tc>
          <w:tcPr>
            <w:tcW w:w="946" w:type="dxa"/>
            <w:tcBorders>
              <w:top w:val="single" w:sz="4" w:space="0" w:color="auto"/>
            </w:tcBorders>
            <w:vAlign w:val="bottom"/>
          </w:tcPr>
          <w:p w14:paraId="1ED2E632" w14:textId="201EC849"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28.8</w:t>
            </w:r>
          </w:p>
        </w:tc>
        <w:tc>
          <w:tcPr>
            <w:tcW w:w="900" w:type="dxa"/>
            <w:tcBorders>
              <w:top w:val="single" w:sz="4" w:space="0" w:color="auto"/>
            </w:tcBorders>
            <w:vAlign w:val="bottom"/>
          </w:tcPr>
          <w:p w14:paraId="1BD5D273" w14:textId="3A7258FC" w:rsidR="001F1FF5" w:rsidRPr="0061439C" w:rsidRDefault="001F1FF5" w:rsidP="0061439C">
            <w:pPr>
              <w:jc w:val="center"/>
              <w:rPr>
                <w:rFonts w:ascii="Times New Roman" w:hAnsi="Times New Roman" w:cs="Times New Roman"/>
                <w:sz w:val="22"/>
                <w:szCs w:val="22"/>
              </w:rPr>
            </w:pPr>
          </w:p>
        </w:tc>
        <w:tc>
          <w:tcPr>
            <w:tcW w:w="990" w:type="dxa"/>
            <w:tcBorders>
              <w:top w:val="single" w:sz="4" w:space="0" w:color="auto"/>
            </w:tcBorders>
            <w:vAlign w:val="bottom"/>
          </w:tcPr>
          <w:p w14:paraId="74F747C9" w14:textId="4FCC7E75" w:rsidR="001F1FF5" w:rsidRPr="0061439C" w:rsidRDefault="001F1FF5" w:rsidP="0061439C">
            <w:pPr>
              <w:jc w:val="center"/>
              <w:rPr>
                <w:rFonts w:ascii="Times New Roman" w:hAnsi="Times New Roman" w:cs="Times New Roman"/>
                <w:sz w:val="22"/>
                <w:szCs w:val="22"/>
              </w:rPr>
            </w:pPr>
          </w:p>
        </w:tc>
        <w:tc>
          <w:tcPr>
            <w:tcW w:w="990" w:type="dxa"/>
            <w:tcBorders>
              <w:top w:val="single" w:sz="4" w:space="0" w:color="auto"/>
            </w:tcBorders>
            <w:vAlign w:val="bottom"/>
          </w:tcPr>
          <w:p w14:paraId="4D89EB32" w14:textId="731C3035" w:rsidR="001F1FF5" w:rsidRPr="0061439C" w:rsidRDefault="001F1FF5" w:rsidP="0061439C">
            <w:pPr>
              <w:jc w:val="center"/>
              <w:rPr>
                <w:rFonts w:ascii="Times New Roman" w:hAnsi="Times New Roman" w:cs="Times New Roman"/>
                <w:sz w:val="22"/>
                <w:szCs w:val="22"/>
              </w:rPr>
            </w:pPr>
          </w:p>
        </w:tc>
        <w:tc>
          <w:tcPr>
            <w:tcW w:w="810" w:type="dxa"/>
            <w:tcBorders>
              <w:top w:val="single" w:sz="4" w:space="0" w:color="auto"/>
            </w:tcBorders>
            <w:vAlign w:val="bottom"/>
          </w:tcPr>
          <w:p w14:paraId="3F10BCB3" w14:textId="1B725C10"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26.0</w:t>
            </w:r>
          </w:p>
        </w:tc>
      </w:tr>
      <w:tr w:rsidR="001F1FF5" w:rsidRPr="00550946" w14:paraId="354F01B4" w14:textId="77777777" w:rsidTr="00550946">
        <w:tc>
          <w:tcPr>
            <w:tcW w:w="1065" w:type="dxa"/>
            <w:vMerge/>
          </w:tcPr>
          <w:p w14:paraId="7CB66959" w14:textId="77777777" w:rsidR="001F1FF5" w:rsidRPr="0061439C" w:rsidRDefault="001F1FF5" w:rsidP="0061439C">
            <w:pPr>
              <w:rPr>
                <w:rFonts w:ascii="Times New Roman" w:hAnsi="Times New Roman" w:cs="Times New Roman"/>
                <w:sz w:val="22"/>
                <w:szCs w:val="22"/>
              </w:rPr>
            </w:pPr>
          </w:p>
        </w:tc>
        <w:tc>
          <w:tcPr>
            <w:tcW w:w="2046" w:type="dxa"/>
            <w:vAlign w:val="bottom"/>
          </w:tcPr>
          <w:p w14:paraId="7CF46607"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46" w:type="dxa"/>
            <w:vAlign w:val="bottom"/>
          </w:tcPr>
          <w:p w14:paraId="46FB1BF2" w14:textId="0D42A091"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17.1</w:t>
            </w:r>
          </w:p>
        </w:tc>
        <w:tc>
          <w:tcPr>
            <w:tcW w:w="900" w:type="dxa"/>
            <w:vAlign w:val="bottom"/>
          </w:tcPr>
          <w:p w14:paraId="2A6BE111" w14:textId="6236206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990" w:type="dxa"/>
            <w:vAlign w:val="bottom"/>
          </w:tcPr>
          <w:p w14:paraId="07A60DF7" w14:textId="4EF216DC"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990" w:type="dxa"/>
            <w:vAlign w:val="bottom"/>
          </w:tcPr>
          <w:p w14:paraId="08726678" w14:textId="0119DE52"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810" w:type="dxa"/>
            <w:vAlign w:val="bottom"/>
          </w:tcPr>
          <w:p w14:paraId="27D1C3BD" w14:textId="5872A25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10.6</w:t>
            </w:r>
          </w:p>
        </w:tc>
      </w:tr>
      <w:tr w:rsidR="001F1FF5" w:rsidRPr="00550946" w14:paraId="103238FE" w14:textId="77777777" w:rsidTr="00550946">
        <w:tc>
          <w:tcPr>
            <w:tcW w:w="1065" w:type="dxa"/>
            <w:vMerge/>
          </w:tcPr>
          <w:p w14:paraId="33011A47" w14:textId="77777777" w:rsidR="001F1FF5" w:rsidRPr="0061439C" w:rsidRDefault="001F1FF5" w:rsidP="0061439C">
            <w:pPr>
              <w:rPr>
                <w:rFonts w:ascii="Times New Roman" w:hAnsi="Times New Roman" w:cs="Times New Roman"/>
                <w:sz w:val="22"/>
                <w:szCs w:val="22"/>
              </w:rPr>
            </w:pPr>
          </w:p>
        </w:tc>
        <w:tc>
          <w:tcPr>
            <w:tcW w:w="2046" w:type="dxa"/>
            <w:vAlign w:val="bottom"/>
          </w:tcPr>
          <w:p w14:paraId="4C59DEFF"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46" w:type="dxa"/>
            <w:vAlign w:val="bottom"/>
          </w:tcPr>
          <w:p w14:paraId="2ECCC83C" w14:textId="40CBBAE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23.1</w:t>
            </w:r>
          </w:p>
        </w:tc>
        <w:tc>
          <w:tcPr>
            <w:tcW w:w="900" w:type="dxa"/>
            <w:vAlign w:val="bottom"/>
          </w:tcPr>
          <w:p w14:paraId="012A7959" w14:textId="62CF060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36.9</w:t>
            </w:r>
          </w:p>
        </w:tc>
        <w:tc>
          <w:tcPr>
            <w:tcW w:w="990" w:type="dxa"/>
            <w:vAlign w:val="bottom"/>
          </w:tcPr>
          <w:p w14:paraId="557DECC0" w14:textId="3B2795B5"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50.4</w:t>
            </w:r>
          </w:p>
        </w:tc>
        <w:tc>
          <w:tcPr>
            <w:tcW w:w="990" w:type="dxa"/>
            <w:vAlign w:val="bottom"/>
          </w:tcPr>
          <w:p w14:paraId="5AF05C0A" w14:textId="78A7260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69.5</w:t>
            </w:r>
          </w:p>
        </w:tc>
        <w:tc>
          <w:tcPr>
            <w:tcW w:w="810" w:type="dxa"/>
            <w:vAlign w:val="bottom"/>
          </w:tcPr>
          <w:p w14:paraId="5207CC37" w14:textId="3F6BD71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29.8</w:t>
            </w:r>
          </w:p>
        </w:tc>
      </w:tr>
      <w:tr w:rsidR="001F1FF5" w:rsidRPr="00550946" w14:paraId="0D2F015D" w14:textId="77777777" w:rsidTr="00550946">
        <w:tc>
          <w:tcPr>
            <w:tcW w:w="1065" w:type="dxa"/>
            <w:vMerge/>
          </w:tcPr>
          <w:p w14:paraId="71C12809" w14:textId="77777777" w:rsidR="001F1FF5" w:rsidRPr="0061439C" w:rsidRDefault="001F1FF5" w:rsidP="0061439C">
            <w:pPr>
              <w:rPr>
                <w:rFonts w:ascii="Times New Roman" w:hAnsi="Times New Roman" w:cs="Times New Roman"/>
                <w:sz w:val="22"/>
                <w:szCs w:val="22"/>
              </w:rPr>
            </w:pPr>
          </w:p>
        </w:tc>
        <w:tc>
          <w:tcPr>
            <w:tcW w:w="2046" w:type="dxa"/>
            <w:vAlign w:val="bottom"/>
          </w:tcPr>
          <w:p w14:paraId="1A29D137"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46" w:type="dxa"/>
            <w:vAlign w:val="bottom"/>
          </w:tcPr>
          <w:p w14:paraId="514BECD7" w14:textId="2727EF91"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19.2</w:t>
            </w:r>
          </w:p>
        </w:tc>
        <w:tc>
          <w:tcPr>
            <w:tcW w:w="900" w:type="dxa"/>
            <w:vAlign w:val="bottom"/>
          </w:tcPr>
          <w:p w14:paraId="68C9E758" w14:textId="421E4F77"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35.1</w:t>
            </w:r>
          </w:p>
        </w:tc>
        <w:tc>
          <w:tcPr>
            <w:tcW w:w="990" w:type="dxa"/>
            <w:vAlign w:val="bottom"/>
          </w:tcPr>
          <w:p w14:paraId="24BD02BF" w14:textId="1FDB4E2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50.5</w:t>
            </w:r>
          </w:p>
        </w:tc>
        <w:tc>
          <w:tcPr>
            <w:tcW w:w="990" w:type="dxa"/>
            <w:vAlign w:val="bottom"/>
          </w:tcPr>
          <w:p w14:paraId="021F22D2" w14:textId="3B51809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51.4</w:t>
            </w:r>
          </w:p>
        </w:tc>
        <w:tc>
          <w:tcPr>
            <w:tcW w:w="810" w:type="dxa"/>
            <w:vAlign w:val="bottom"/>
          </w:tcPr>
          <w:p w14:paraId="7F878610" w14:textId="40BFD017"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28.9</w:t>
            </w:r>
          </w:p>
        </w:tc>
      </w:tr>
      <w:tr w:rsidR="001F1FF5" w:rsidRPr="00550946" w14:paraId="7F6E4398" w14:textId="77777777" w:rsidTr="00550946">
        <w:tc>
          <w:tcPr>
            <w:tcW w:w="1065" w:type="dxa"/>
            <w:vMerge/>
          </w:tcPr>
          <w:p w14:paraId="5F540667" w14:textId="77777777" w:rsidR="001F1FF5" w:rsidRPr="0061439C" w:rsidRDefault="001F1FF5" w:rsidP="0061439C">
            <w:pPr>
              <w:rPr>
                <w:rFonts w:ascii="Times New Roman" w:hAnsi="Times New Roman" w:cs="Times New Roman"/>
                <w:sz w:val="22"/>
                <w:szCs w:val="22"/>
              </w:rPr>
            </w:pPr>
          </w:p>
        </w:tc>
        <w:tc>
          <w:tcPr>
            <w:tcW w:w="2046" w:type="dxa"/>
            <w:vAlign w:val="bottom"/>
          </w:tcPr>
          <w:p w14:paraId="35869168" w14:textId="4D8BD38B"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South</w:t>
            </w:r>
          </w:p>
        </w:tc>
        <w:tc>
          <w:tcPr>
            <w:tcW w:w="946" w:type="dxa"/>
            <w:vAlign w:val="bottom"/>
          </w:tcPr>
          <w:p w14:paraId="06852384" w14:textId="7F04D53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20.7</w:t>
            </w:r>
          </w:p>
        </w:tc>
        <w:tc>
          <w:tcPr>
            <w:tcW w:w="900" w:type="dxa"/>
            <w:vAlign w:val="bottom"/>
          </w:tcPr>
          <w:p w14:paraId="3CB04589" w14:textId="7775728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35.1</w:t>
            </w:r>
          </w:p>
        </w:tc>
        <w:tc>
          <w:tcPr>
            <w:tcW w:w="990" w:type="dxa"/>
            <w:vAlign w:val="bottom"/>
          </w:tcPr>
          <w:p w14:paraId="516876A7" w14:textId="6FB892E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49.3</w:t>
            </w:r>
          </w:p>
        </w:tc>
        <w:tc>
          <w:tcPr>
            <w:tcW w:w="990" w:type="dxa"/>
            <w:vAlign w:val="bottom"/>
          </w:tcPr>
          <w:p w14:paraId="2F9CD55D" w14:textId="16E9196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60.9</w:t>
            </w:r>
          </w:p>
        </w:tc>
        <w:tc>
          <w:tcPr>
            <w:tcW w:w="810" w:type="dxa"/>
            <w:vAlign w:val="bottom"/>
          </w:tcPr>
          <w:p w14:paraId="2EB20B75" w14:textId="0780BB79"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28.8</w:t>
            </w:r>
          </w:p>
        </w:tc>
      </w:tr>
      <w:tr w:rsidR="001F1FF5" w:rsidRPr="00550946" w14:paraId="31CBB28E" w14:textId="77777777" w:rsidTr="00550946">
        <w:trPr>
          <w:trHeight w:val="260"/>
        </w:trPr>
        <w:tc>
          <w:tcPr>
            <w:tcW w:w="1065" w:type="dxa"/>
          </w:tcPr>
          <w:p w14:paraId="6605A99E" w14:textId="5AFA5FE7" w:rsidR="001F1FF5" w:rsidRPr="0061439C" w:rsidRDefault="001F1FF5" w:rsidP="0061439C">
            <w:pPr>
              <w:rPr>
                <w:rFonts w:ascii="Times New Roman" w:hAnsi="Times New Roman" w:cs="Times New Roman"/>
                <w:sz w:val="22"/>
                <w:szCs w:val="22"/>
              </w:rPr>
            </w:pPr>
            <w:r w:rsidRPr="0061439C">
              <w:rPr>
                <w:rFonts w:ascii="Times New Roman" w:hAnsi="Times New Roman" w:cs="Times New Roman"/>
                <w:sz w:val="22"/>
                <w:szCs w:val="22"/>
              </w:rPr>
              <w:t>National</w:t>
            </w:r>
          </w:p>
        </w:tc>
        <w:tc>
          <w:tcPr>
            <w:tcW w:w="2046" w:type="dxa"/>
          </w:tcPr>
          <w:p w14:paraId="0248F8E8" w14:textId="03F570AC" w:rsidR="001F1FF5" w:rsidRPr="0061439C" w:rsidRDefault="001F1FF5" w:rsidP="0061439C">
            <w:pPr>
              <w:rPr>
                <w:rFonts w:ascii="Times New Roman" w:hAnsi="Times New Roman" w:cs="Times New Roman"/>
                <w:sz w:val="22"/>
                <w:szCs w:val="22"/>
              </w:rPr>
            </w:pPr>
          </w:p>
        </w:tc>
        <w:tc>
          <w:tcPr>
            <w:tcW w:w="946" w:type="dxa"/>
            <w:vAlign w:val="bottom"/>
          </w:tcPr>
          <w:p w14:paraId="44817BFA" w14:textId="70A4BAC4"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22.0</w:t>
            </w:r>
          </w:p>
        </w:tc>
        <w:tc>
          <w:tcPr>
            <w:tcW w:w="900" w:type="dxa"/>
            <w:vAlign w:val="bottom"/>
          </w:tcPr>
          <w:p w14:paraId="367DF94B" w14:textId="7A9DD8AD"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37.8</w:t>
            </w:r>
          </w:p>
        </w:tc>
        <w:tc>
          <w:tcPr>
            <w:tcW w:w="990" w:type="dxa"/>
            <w:vAlign w:val="bottom"/>
          </w:tcPr>
          <w:p w14:paraId="19D18A11" w14:textId="148E5F35"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53.6</w:t>
            </w:r>
          </w:p>
        </w:tc>
        <w:tc>
          <w:tcPr>
            <w:tcW w:w="990" w:type="dxa"/>
            <w:vAlign w:val="bottom"/>
          </w:tcPr>
          <w:p w14:paraId="16AA5D29" w14:textId="267E197B"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72.8</w:t>
            </w:r>
          </w:p>
        </w:tc>
        <w:tc>
          <w:tcPr>
            <w:tcW w:w="810" w:type="dxa"/>
            <w:vAlign w:val="bottom"/>
          </w:tcPr>
          <w:p w14:paraId="20C49D1A" w14:textId="4EA456EE"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32.6</w:t>
            </w:r>
          </w:p>
        </w:tc>
      </w:tr>
    </w:tbl>
    <w:p w14:paraId="1540C801" w14:textId="77777777" w:rsidR="00A15FA2" w:rsidRPr="00550946" w:rsidRDefault="00BA6E1C" w:rsidP="00EF7FD9">
      <w:pPr>
        <w:jc w:val="both"/>
        <w:rPr>
          <w:rFonts w:ascii="Times New Roman" w:hAnsi="Times New Roman" w:cs="Times New Roman"/>
          <w:sz w:val="20"/>
          <w:szCs w:val="20"/>
        </w:rPr>
      </w:pPr>
      <w:r w:rsidRPr="00550946">
        <w:rPr>
          <w:rFonts w:ascii="Times New Roman" w:hAnsi="Times New Roman" w:cs="Times New Roman"/>
          <w:sz w:val="20"/>
          <w:szCs w:val="20"/>
        </w:rPr>
        <w:t>Source: Authors calculations using GLSS6</w:t>
      </w:r>
    </w:p>
    <w:p w14:paraId="694BB54A" w14:textId="31F89A44" w:rsidR="00DE596E" w:rsidRDefault="006D38CC" w:rsidP="00EF7FD9">
      <w:pPr>
        <w:jc w:val="both"/>
        <w:rPr>
          <w:rFonts w:ascii="Times New Roman" w:hAnsi="Times New Roman" w:cs="Times New Roman"/>
        </w:rPr>
      </w:pPr>
      <w:r w:rsidRPr="00550946">
        <w:rPr>
          <w:rFonts w:ascii="Times New Roman" w:hAnsi="Times New Roman" w:cs="Times New Roman"/>
          <w:sz w:val="20"/>
          <w:szCs w:val="20"/>
          <w:highlight w:val="yellow"/>
        </w:rPr>
        <w:t>(</w:t>
      </w:r>
      <w:r w:rsidR="00A15FA2" w:rsidRPr="00550946">
        <w:rPr>
          <w:rFonts w:ascii="Times New Roman" w:hAnsi="Times New Roman" w:cs="Times New Roman"/>
          <w:sz w:val="20"/>
          <w:szCs w:val="20"/>
          <w:highlight w:val="yellow"/>
        </w:rPr>
        <w:t xml:space="preserve">In </w:t>
      </w:r>
      <w:r w:rsidR="0085512F" w:rsidRPr="00550946">
        <w:rPr>
          <w:rFonts w:ascii="Times New Roman" w:hAnsi="Times New Roman" w:cs="Times New Roman"/>
          <w:sz w:val="20"/>
          <w:szCs w:val="20"/>
          <w:highlight w:val="yellow"/>
        </w:rPr>
        <w:t>file:\IFPRI1995\GSSP\Youth\Jed\New defined two regions_Sep2016\</w:t>
      </w:r>
      <w:proofErr w:type="gramStart"/>
      <w:r w:rsidR="0085512F" w:rsidRPr="00550946">
        <w:rPr>
          <w:rFonts w:ascii="Times New Roman" w:hAnsi="Times New Roman" w:cs="Times New Roman"/>
          <w:sz w:val="20"/>
          <w:szCs w:val="20"/>
          <w:highlight w:val="yellow"/>
        </w:rPr>
        <w:t>chapter5tables(</w:t>
      </w:r>
      <w:proofErr w:type="gramEnd"/>
      <w:r w:rsidR="0085512F" w:rsidRPr="00550946">
        <w:rPr>
          <w:rFonts w:ascii="Times New Roman" w:hAnsi="Times New Roman" w:cs="Times New Roman"/>
          <w:sz w:val="20"/>
          <w:szCs w:val="20"/>
          <w:highlight w:val="yellow"/>
        </w:rPr>
        <w:t>XD-Oct9), sheet “new”</w:t>
      </w:r>
      <w:r w:rsidRPr="00550946">
        <w:rPr>
          <w:rFonts w:ascii="Times New Roman" w:hAnsi="Times New Roman" w:cs="Times New Roman"/>
          <w:sz w:val="20"/>
          <w:szCs w:val="20"/>
          <w:highlight w:val="yellow"/>
        </w:rPr>
        <w:t>)</w:t>
      </w:r>
      <w:r w:rsidR="00BA6E1C" w:rsidRPr="00550946">
        <w:rPr>
          <w:rFonts w:ascii="Times New Roman" w:hAnsi="Times New Roman" w:cs="Times New Roman"/>
          <w:sz w:val="20"/>
          <w:szCs w:val="20"/>
          <w:highlight w:val="yellow"/>
        </w:rPr>
        <w:t>.</w:t>
      </w:r>
    </w:p>
    <w:p w14:paraId="3BB443D1" w14:textId="77777777" w:rsidR="00BA6E1C" w:rsidRPr="00CD704D" w:rsidRDefault="00BA6E1C" w:rsidP="00EF7FD9">
      <w:pPr>
        <w:jc w:val="both"/>
        <w:rPr>
          <w:rFonts w:ascii="Times New Roman" w:hAnsi="Times New Roman" w:cs="Times New Roman"/>
          <w:sz w:val="24"/>
          <w:szCs w:val="24"/>
        </w:rPr>
      </w:pPr>
    </w:p>
    <w:p w14:paraId="2B5931C0" w14:textId="436AB2E2" w:rsidR="00E32261" w:rsidRPr="000C2FA0" w:rsidRDefault="00D26F77" w:rsidP="000C2FA0">
      <w:pPr>
        <w:pStyle w:val="ListParagraph"/>
        <w:numPr>
          <w:ilvl w:val="2"/>
          <w:numId w:val="10"/>
        </w:numPr>
        <w:jc w:val="both"/>
        <w:rPr>
          <w:rFonts w:ascii="Times New Roman" w:hAnsi="Times New Roman" w:cs="Times New Roman"/>
          <w:b/>
          <w:i/>
          <w:sz w:val="24"/>
          <w:szCs w:val="24"/>
        </w:rPr>
      </w:pPr>
      <w:r w:rsidRPr="000C2FA0">
        <w:rPr>
          <w:rFonts w:ascii="Times New Roman" w:hAnsi="Times New Roman" w:cs="Times New Roman"/>
          <w:b/>
          <w:i/>
          <w:sz w:val="24"/>
          <w:szCs w:val="24"/>
        </w:rPr>
        <w:t xml:space="preserve">Regression analysis of the links between urbanization and </w:t>
      </w:r>
      <w:r w:rsidR="00FE7FDE" w:rsidRPr="000C2FA0">
        <w:rPr>
          <w:rFonts w:ascii="Times New Roman" w:hAnsi="Times New Roman" w:cs="Times New Roman"/>
          <w:b/>
          <w:i/>
          <w:sz w:val="24"/>
          <w:szCs w:val="24"/>
        </w:rPr>
        <w:t>modern input adoption</w:t>
      </w:r>
    </w:p>
    <w:p w14:paraId="05913E8C" w14:textId="25FC974F" w:rsidR="00FE061C" w:rsidRDefault="00D26F77" w:rsidP="00BC6A1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So far we have looked at bivariate relationships between urbanization and </w:t>
      </w:r>
      <w:r w:rsidR="00A9469A">
        <w:rPr>
          <w:rFonts w:ascii="Times New Roman" w:hAnsi="Times New Roman" w:cs="Times New Roman"/>
          <w:sz w:val="24"/>
          <w:szCs w:val="24"/>
        </w:rPr>
        <w:t xml:space="preserve">use of </w:t>
      </w:r>
      <w:r w:rsidR="00FE7FDE">
        <w:rPr>
          <w:rFonts w:ascii="Times New Roman" w:hAnsi="Times New Roman" w:cs="Times New Roman"/>
          <w:sz w:val="24"/>
          <w:szCs w:val="24"/>
        </w:rPr>
        <w:t>inputs</w:t>
      </w:r>
      <w:r>
        <w:rPr>
          <w:rFonts w:ascii="Times New Roman" w:hAnsi="Times New Roman" w:cs="Times New Roman"/>
          <w:sz w:val="24"/>
          <w:szCs w:val="24"/>
        </w:rPr>
        <w:t xml:space="preserve">. </w:t>
      </w:r>
      <w:r w:rsidR="00F81E36" w:rsidRPr="00CD704D">
        <w:rPr>
          <w:rFonts w:ascii="Times New Roman" w:hAnsi="Times New Roman" w:cs="Times New Roman"/>
          <w:sz w:val="24"/>
          <w:szCs w:val="24"/>
        </w:rPr>
        <w:t xml:space="preserve">Further insights can be obtained </w:t>
      </w:r>
      <w:r w:rsidR="00487649">
        <w:rPr>
          <w:rFonts w:ascii="Times New Roman" w:hAnsi="Times New Roman" w:cs="Times New Roman"/>
          <w:sz w:val="24"/>
          <w:szCs w:val="24"/>
        </w:rPr>
        <w:t xml:space="preserve">by </w:t>
      </w:r>
      <w:r w:rsidR="00F81E36" w:rsidRPr="00CD704D">
        <w:rPr>
          <w:rFonts w:ascii="Times New Roman" w:hAnsi="Times New Roman" w:cs="Times New Roman"/>
          <w:sz w:val="24"/>
          <w:szCs w:val="24"/>
        </w:rPr>
        <w:t xml:space="preserve">using regression techniques to unravel </w:t>
      </w:r>
      <w:r>
        <w:rPr>
          <w:rFonts w:ascii="Times New Roman" w:hAnsi="Times New Roman" w:cs="Times New Roman"/>
          <w:sz w:val="24"/>
          <w:szCs w:val="24"/>
        </w:rPr>
        <w:t xml:space="preserve">more complex </w:t>
      </w:r>
      <w:r w:rsidR="00F81E36" w:rsidRPr="00CD704D">
        <w:rPr>
          <w:rFonts w:ascii="Times New Roman" w:hAnsi="Times New Roman" w:cs="Times New Roman"/>
          <w:sz w:val="24"/>
          <w:szCs w:val="24"/>
        </w:rPr>
        <w:t xml:space="preserve">multivariate relationships. A </w:t>
      </w:r>
      <w:proofErr w:type="spellStart"/>
      <w:r w:rsidR="00F81E36" w:rsidRPr="00CD704D">
        <w:rPr>
          <w:rFonts w:ascii="Times New Roman" w:hAnsi="Times New Roman" w:cs="Times New Roman"/>
          <w:sz w:val="24"/>
          <w:szCs w:val="24"/>
        </w:rPr>
        <w:t>probit</w:t>
      </w:r>
      <w:proofErr w:type="spellEnd"/>
      <w:r w:rsidR="00F81E36" w:rsidRPr="00CD704D">
        <w:rPr>
          <w:rFonts w:ascii="Times New Roman" w:hAnsi="Times New Roman" w:cs="Times New Roman"/>
          <w:sz w:val="24"/>
          <w:szCs w:val="24"/>
        </w:rPr>
        <w:t xml:space="preserve"> model </w:t>
      </w:r>
      <w:r w:rsidR="00A15FA2">
        <w:rPr>
          <w:rFonts w:ascii="Times New Roman" w:hAnsi="Times New Roman" w:cs="Times New Roman"/>
          <w:sz w:val="24"/>
          <w:szCs w:val="24"/>
        </w:rPr>
        <w:t>i</w:t>
      </w:r>
      <w:r w:rsidR="00F81E36" w:rsidRPr="00CD704D">
        <w:rPr>
          <w:rFonts w:ascii="Times New Roman" w:hAnsi="Times New Roman" w:cs="Times New Roman"/>
          <w:sz w:val="24"/>
          <w:szCs w:val="24"/>
        </w:rPr>
        <w:t xml:space="preserve">s </w:t>
      </w:r>
      <w:r w:rsidR="00E32261" w:rsidRPr="00CD704D">
        <w:rPr>
          <w:rFonts w:ascii="Times New Roman" w:hAnsi="Times New Roman" w:cs="Times New Roman"/>
          <w:sz w:val="24"/>
          <w:szCs w:val="24"/>
        </w:rPr>
        <w:t xml:space="preserve">used </w:t>
      </w:r>
      <w:r w:rsidR="00F81E36" w:rsidRPr="00CD704D">
        <w:rPr>
          <w:rFonts w:ascii="Times New Roman" w:hAnsi="Times New Roman" w:cs="Times New Roman"/>
          <w:sz w:val="24"/>
          <w:szCs w:val="24"/>
        </w:rPr>
        <w:t xml:space="preserve">to test how the probability of using different types of modern inputs is associated with </w:t>
      </w:r>
      <w:r w:rsidR="00E32261" w:rsidRPr="00CD704D">
        <w:rPr>
          <w:rFonts w:ascii="Times New Roman" w:hAnsi="Times New Roman" w:cs="Times New Roman"/>
          <w:sz w:val="24"/>
          <w:szCs w:val="24"/>
        </w:rPr>
        <w:t>urbanization</w:t>
      </w:r>
      <w:r>
        <w:rPr>
          <w:rFonts w:ascii="Times New Roman" w:hAnsi="Times New Roman" w:cs="Times New Roman"/>
          <w:sz w:val="24"/>
          <w:szCs w:val="24"/>
        </w:rPr>
        <w:t>,</w:t>
      </w:r>
      <w:r w:rsidR="00E32261" w:rsidRPr="00CD704D">
        <w:rPr>
          <w:rFonts w:ascii="Times New Roman" w:hAnsi="Times New Roman" w:cs="Times New Roman"/>
          <w:sz w:val="24"/>
          <w:szCs w:val="24"/>
        </w:rPr>
        <w:t xml:space="preserve"> </w:t>
      </w:r>
      <w:r>
        <w:rPr>
          <w:rFonts w:ascii="Times New Roman" w:hAnsi="Times New Roman" w:cs="Times New Roman"/>
          <w:sz w:val="24"/>
          <w:szCs w:val="24"/>
        </w:rPr>
        <w:t xml:space="preserve">while controlling for a number of </w:t>
      </w:r>
      <w:r w:rsidR="00F81E36" w:rsidRPr="00CD704D">
        <w:rPr>
          <w:rFonts w:ascii="Times New Roman" w:hAnsi="Times New Roman" w:cs="Times New Roman"/>
          <w:sz w:val="24"/>
          <w:szCs w:val="24"/>
        </w:rPr>
        <w:t xml:space="preserve">household </w:t>
      </w:r>
      <w:r>
        <w:rPr>
          <w:rFonts w:ascii="Times New Roman" w:hAnsi="Times New Roman" w:cs="Times New Roman"/>
          <w:sz w:val="24"/>
          <w:szCs w:val="24"/>
        </w:rPr>
        <w:t xml:space="preserve">and locational </w:t>
      </w:r>
      <w:r w:rsidR="00F81E36" w:rsidRPr="00CD704D">
        <w:rPr>
          <w:rFonts w:ascii="Times New Roman" w:hAnsi="Times New Roman" w:cs="Times New Roman"/>
          <w:sz w:val="24"/>
          <w:szCs w:val="24"/>
        </w:rPr>
        <w:t>characteristics</w:t>
      </w:r>
      <w:r w:rsidR="00E32261" w:rsidRPr="00CD704D">
        <w:rPr>
          <w:rFonts w:ascii="Times New Roman" w:hAnsi="Times New Roman" w:cs="Times New Roman"/>
          <w:sz w:val="24"/>
          <w:szCs w:val="24"/>
        </w:rPr>
        <w:t xml:space="preserve">. </w:t>
      </w:r>
      <w:r w:rsidR="00E32261" w:rsidRPr="00D26F77">
        <w:rPr>
          <w:rFonts w:ascii="Times New Roman" w:hAnsi="Times New Roman" w:cs="Times New Roman"/>
          <w:sz w:val="24"/>
          <w:szCs w:val="24"/>
        </w:rPr>
        <w:t xml:space="preserve">The </w:t>
      </w:r>
      <w:r w:rsidRPr="00D26F77">
        <w:rPr>
          <w:rFonts w:ascii="Times New Roman" w:hAnsi="Times New Roman" w:cs="Times New Roman"/>
          <w:sz w:val="24"/>
          <w:szCs w:val="24"/>
        </w:rPr>
        <w:t>latter included</w:t>
      </w:r>
      <w:r w:rsidR="00973964">
        <w:rPr>
          <w:rFonts w:ascii="Times New Roman" w:hAnsi="Times New Roman" w:cs="Times New Roman"/>
          <w:sz w:val="24"/>
          <w:szCs w:val="24"/>
        </w:rPr>
        <w:t xml:space="preserve"> </w:t>
      </w:r>
      <w:r w:rsidRPr="00D26F77">
        <w:rPr>
          <w:rFonts w:ascii="Times New Roman" w:hAnsi="Times New Roman" w:cs="Times New Roman"/>
          <w:sz w:val="24"/>
          <w:szCs w:val="24"/>
        </w:rPr>
        <w:t>farm size</w:t>
      </w:r>
      <w:r w:rsidR="00A9469A">
        <w:rPr>
          <w:rFonts w:ascii="Times New Roman" w:hAnsi="Times New Roman" w:cs="Times New Roman"/>
          <w:sz w:val="24"/>
          <w:szCs w:val="24"/>
        </w:rPr>
        <w:t xml:space="preserve"> group</w:t>
      </w:r>
      <w:r w:rsidRPr="00D26F77">
        <w:rPr>
          <w:rFonts w:ascii="Times New Roman" w:hAnsi="Times New Roman" w:cs="Times New Roman"/>
          <w:sz w:val="24"/>
          <w:szCs w:val="24"/>
        </w:rPr>
        <w:t>, type of household head (youth; gender, level of education), the degree of urbanization of the district</w:t>
      </w:r>
      <w:r w:rsidR="0037481C">
        <w:rPr>
          <w:rFonts w:ascii="Times New Roman" w:hAnsi="Times New Roman" w:cs="Times New Roman"/>
          <w:sz w:val="24"/>
          <w:szCs w:val="24"/>
        </w:rPr>
        <w:t>s</w:t>
      </w:r>
      <w:r w:rsidRPr="00D26F77">
        <w:rPr>
          <w:rFonts w:ascii="Times New Roman" w:hAnsi="Times New Roman" w:cs="Times New Roman"/>
          <w:sz w:val="24"/>
          <w:szCs w:val="24"/>
        </w:rPr>
        <w:t xml:space="preserve"> in which the household</w:t>
      </w:r>
      <w:r w:rsidR="0037481C">
        <w:rPr>
          <w:rFonts w:ascii="Times New Roman" w:hAnsi="Times New Roman" w:cs="Times New Roman"/>
          <w:sz w:val="24"/>
          <w:szCs w:val="24"/>
        </w:rPr>
        <w:t>s</w:t>
      </w:r>
      <w:r w:rsidRPr="00D26F77">
        <w:rPr>
          <w:rFonts w:ascii="Times New Roman" w:hAnsi="Times New Roman" w:cs="Times New Roman"/>
          <w:sz w:val="24"/>
          <w:szCs w:val="24"/>
        </w:rPr>
        <w:t xml:space="preserve"> live (using our district typology)</w:t>
      </w:r>
      <w:r w:rsidR="00973964">
        <w:rPr>
          <w:rFonts w:ascii="Times New Roman" w:hAnsi="Times New Roman" w:cs="Times New Roman"/>
          <w:sz w:val="24"/>
          <w:szCs w:val="24"/>
        </w:rPr>
        <w:t>, and a set of infrastructural variables such as a</w:t>
      </w:r>
      <w:r w:rsidR="00973964" w:rsidRPr="00973964">
        <w:rPr>
          <w:rFonts w:ascii="Times New Roman" w:hAnsi="Times New Roman" w:cs="Times New Roman"/>
          <w:sz w:val="24"/>
          <w:szCs w:val="24"/>
        </w:rPr>
        <w:t>ccess to markets</w:t>
      </w:r>
      <w:r w:rsidR="00973964">
        <w:rPr>
          <w:rFonts w:ascii="Times New Roman" w:hAnsi="Times New Roman" w:cs="Times New Roman"/>
          <w:sz w:val="24"/>
          <w:szCs w:val="24"/>
        </w:rPr>
        <w:t xml:space="preserve">, </w:t>
      </w:r>
      <w:r w:rsidR="00973964" w:rsidRPr="00973964">
        <w:rPr>
          <w:rFonts w:ascii="Times New Roman" w:hAnsi="Times New Roman" w:cs="Times New Roman"/>
          <w:sz w:val="24"/>
          <w:szCs w:val="24"/>
        </w:rPr>
        <w:t>public transportation</w:t>
      </w:r>
      <w:r w:rsidR="00973964">
        <w:rPr>
          <w:rFonts w:ascii="Times New Roman" w:hAnsi="Times New Roman" w:cs="Times New Roman"/>
          <w:sz w:val="24"/>
          <w:szCs w:val="24"/>
        </w:rPr>
        <w:t xml:space="preserve"> or </w:t>
      </w:r>
      <w:r w:rsidR="00973964" w:rsidRPr="00973964">
        <w:rPr>
          <w:rFonts w:ascii="Times New Roman" w:hAnsi="Times New Roman" w:cs="Times New Roman"/>
          <w:sz w:val="24"/>
          <w:szCs w:val="24"/>
        </w:rPr>
        <w:t>electricity</w:t>
      </w:r>
      <w:r w:rsidR="00973964">
        <w:rPr>
          <w:rFonts w:ascii="Times New Roman" w:hAnsi="Times New Roman" w:cs="Times New Roman"/>
          <w:sz w:val="24"/>
          <w:szCs w:val="24"/>
        </w:rPr>
        <w:t xml:space="preserve"> at the rural community level. In the regression, we </w:t>
      </w:r>
      <w:r w:rsidR="0037481C">
        <w:rPr>
          <w:rFonts w:ascii="Times New Roman" w:hAnsi="Times New Roman" w:cs="Times New Roman"/>
          <w:sz w:val="24"/>
          <w:szCs w:val="24"/>
        </w:rPr>
        <w:t xml:space="preserve">only include the rural households of which </w:t>
      </w:r>
      <w:r w:rsidR="00973964">
        <w:rPr>
          <w:rFonts w:ascii="Times New Roman" w:hAnsi="Times New Roman" w:cs="Times New Roman"/>
          <w:sz w:val="24"/>
          <w:szCs w:val="24"/>
        </w:rPr>
        <w:t xml:space="preserve">agriculture </w:t>
      </w:r>
      <w:r w:rsidR="0037481C">
        <w:rPr>
          <w:rFonts w:ascii="Times New Roman" w:hAnsi="Times New Roman" w:cs="Times New Roman"/>
          <w:sz w:val="24"/>
          <w:szCs w:val="24"/>
        </w:rPr>
        <w:t xml:space="preserve">is the </w:t>
      </w:r>
      <w:r w:rsidR="00973964" w:rsidRPr="00973964">
        <w:rPr>
          <w:rFonts w:ascii="Times New Roman" w:hAnsi="Times New Roman" w:cs="Times New Roman"/>
          <w:sz w:val="24"/>
          <w:szCs w:val="24"/>
        </w:rPr>
        <w:t>primary occupation</w:t>
      </w:r>
      <w:r w:rsidR="0037481C">
        <w:rPr>
          <w:rFonts w:ascii="Times New Roman" w:hAnsi="Times New Roman" w:cs="Times New Roman"/>
          <w:sz w:val="24"/>
          <w:szCs w:val="24"/>
        </w:rPr>
        <w:t>s</w:t>
      </w:r>
      <w:r w:rsidR="00973964" w:rsidRPr="00973964">
        <w:rPr>
          <w:rFonts w:ascii="Times New Roman" w:hAnsi="Times New Roman" w:cs="Times New Roman"/>
          <w:sz w:val="24"/>
          <w:szCs w:val="24"/>
        </w:rPr>
        <w:t xml:space="preserve"> </w:t>
      </w:r>
      <w:r w:rsidR="00973964">
        <w:rPr>
          <w:rFonts w:ascii="Times New Roman" w:hAnsi="Times New Roman" w:cs="Times New Roman"/>
          <w:sz w:val="24"/>
          <w:szCs w:val="24"/>
        </w:rPr>
        <w:t xml:space="preserve">for all or some </w:t>
      </w:r>
      <w:r w:rsidR="0037481C">
        <w:rPr>
          <w:rFonts w:ascii="Times New Roman" w:hAnsi="Times New Roman" w:cs="Times New Roman"/>
          <w:sz w:val="24"/>
          <w:szCs w:val="24"/>
        </w:rPr>
        <w:t xml:space="preserve">family </w:t>
      </w:r>
      <w:r w:rsidR="00973964">
        <w:rPr>
          <w:rFonts w:ascii="Times New Roman" w:hAnsi="Times New Roman" w:cs="Times New Roman"/>
          <w:sz w:val="24"/>
          <w:szCs w:val="24"/>
        </w:rPr>
        <w:t xml:space="preserve">members, </w:t>
      </w:r>
      <w:r w:rsidR="00E462BB">
        <w:rPr>
          <w:rFonts w:ascii="Times New Roman" w:hAnsi="Times New Roman" w:cs="Times New Roman"/>
          <w:sz w:val="24"/>
          <w:szCs w:val="24"/>
        </w:rPr>
        <w:t xml:space="preserve">since for most households defined as ‘non-agriculture only’ in Section </w:t>
      </w:r>
      <w:r w:rsidR="00D52F18">
        <w:rPr>
          <w:rFonts w:ascii="Times New Roman" w:hAnsi="Times New Roman" w:cs="Times New Roman"/>
          <w:sz w:val="24"/>
          <w:szCs w:val="24"/>
        </w:rPr>
        <w:t>9</w:t>
      </w:r>
      <w:r w:rsidR="00E462BB">
        <w:rPr>
          <w:rFonts w:ascii="Times New Roman" w:hAnsi="Times New Roman" w:cs="Times New Roman"/>
          <w:sz w:val="24"/>
          <w:szCs w:val="24"/>
        </w:rPr>
        <w:t xml:space="preserve">.3, any agricultural activity appears to be part-time. </w:t>
      </w:r>
    </w:p>
    <w:p w14:paraId="6F690831" w14:textId="66457548" w:rsidR="00D26F77" w:rsidRPr="00CD704D" w:rsidRDefault="00FE061C" w:rsidP="00BC6A13">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pro</w:t>
      </w:r>
      <w:r w:rsidR="00A15FA2">
        <w:rPr>
          <w:rFonts w:ascii="Times New Roman" w:hAnsi="Times New Roman" w:cs="Times New Roman"/>
          <w:sz w:val="24"/>
          <w:szCs w:val="24"/>
        </w:rPr>
        <w:t>b</w:t>
      </w:r>
      <w:r>
        <w:rPr>
          <w:rFonts w:ascii="Times New Roman" w:hAnsi="Times New Roman" w:cs="Times New Roman"/>
          <w:sz w:val="24"/>
          <w:szCs w:val="24"/>
        </w:rPr>
        <w:t>it</w:t>
      </w:r>
      <w:proofErr w:type="spellEnd"/>
      <w:r>
        <w:rPr>
          <w:rFonts w:ascii="Times New Roman" w:hAnsi="Times New Roman" w:cs="Times New Roman"/>
          <w:sz w:val="24"/>
          <w:szCs w:val="24"/>
        </w:rPr>
        <w:t xml:space="preserve"> estimation, w</w:t>
      </w:r>
      <w:r w:rsidR="00973964">
        <w:rPr>
          <w:rFonts w:ascii="Times New Roman" w:hAnsi="Times New Roman" w:cs="Times New Roman"/>
          <w:sz w:val="24"/>
          <w:szCs w:val="24"/>
        </w:rPr>
        <w:t xml:space="preserve">e </w:t>
      </w:r>
      <w:r w:rsidR="00A15FA2">
        <w:rPr>
          <w:rFonts w:ascii="Times New Roman" w:hAnsi="Times New Roman" w:cs="Times New Roman"/>
          <w:sz w:val="24"/>
          <w:szCs w:val="24"/>
        </w:rPr>
        <w:t xml:space="preserve">have </w:t>
      </w:r>
      <w:r w:rsidR="00973964">
        <w:rPr>
          <w:rFonts w:ascii="Times New Roman" w:hAnsi="Times New Roman" w:cs="Times New Roman"/>
          <w:sz w:val="24"/>
          <w:szCs w:val="24"/>
        </w:rPr>
        <w:t>pool</w:t>
      </w:r>
      <w:r w:rsidR="00A15FA2">
        <w:rPr>
          <w:rFonts w:ascii="Times New Roman" w:hAnsi="Times New Roman" w:cs="Times New Roman"/>
          <w:sz w:val="24"/>
          <w:szCs w:val="24"/>
        </w:rPr>
        <w:t>ed</w:t>
      </w:r>
      <w:r w:rsidR="00973964">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973964">
        <w:rPr>
          <w:rFonts w:ascii="Times New Roman" w:hAnsi="Times New Roman" w:cs="Times New Roman"/>
          <w:sz w:val="24"/>
          <w:szCs w:val="24"/>
        </w:rPr>
        <w:t xml:space="preserve">together </w:t>
      </w:r>
      <w:r>
        <w:rPr>
          <w:rFonts w:ascii="Times New Roman" w:hAnsi="Times New Roman" w:cs="Times New Roman"/>
          <w:sz w:val="24"/>
          <w:szCs w:val="24"/>
        </w:rPr>
        <w:t xml:space="preserve">from </w:t>
      </w:r>
      <w:r w:rsidR="00973964">
        <w:rPr>
          <w:rFonts w:ascii="Times New Roman" w:hAnsi="Times New Roman" w:cs="Times New Roman"/>
          <w:sz w:val="24"/>
          <w:szCs w:val="24"/>
        </w:rPr>
        <w:t>the two rounds of surveys – GLSS5 and GLSS6</w:t>
      </w:r>
      <w:r w:rsidR="00496328">
        <w:rPr>
          <w:rFonts w:ascii="Times New Roman" w:hAnsi="Times New Roman" w:cs="Times New Roman"/>
          <w:sz w:val="24"/>
          <w:szCs w:val="24"/>
        </w:rPr>
        <w:t xml:space="preserve">, and hence </w:t>
      </w:r>
      <w:r w:rsidR="00973964">
        <w:rPr>
          <w:rFonts w:ascii="Times New Roman" w:hAnsi="Times New Roman" w:cs="Times New Roman"/>
          <w:sz w:val="24"/>
          <w:szCs w:val="24"/>
        </w:rPr>
        <w:t xml:space="preserve">we </w:t>
      </w:r>
      <w:r w:rsidR="00496328">
        <w:rPr>
          <w:rFonts w:ascii="Times New Roman" w:hAnsi="Times New Roman" w:cs="Times New Roman"/>
          <w:sz w:val="24"/>
          <w:szCs w:val="24"/>
        </w:rPr>
        <w:t xml:space="preserve">also </w:t>
      </w:r>
      <w:r w:rsidR="00973964">
        <w:rPr>
          <w:rFonts w:ascii="Times New Roman" w:hAnsi="Times New Roman" w:cs="Times New Roman"/>
          <w:sz w:val="24"/>
          <w:szCs w:val="24"/>
        </w:rPr>
        <w:t xml:space="preserve">include a year dummy for </w:t>
      </w:r>
      <w:r w:rsidR="00A15FA2">
        <w:rPr>
          <w:rFonts w:ascii="Times New Roman" w:hAnsi="Times New Roman" w:cs="Times New Roman"/>
          <w:sz w:val="24"/>
          <w:szCs w:val="24"/>
        </w:rPr>
        <w:lastRenderedPageBreak/>
        <w:t>2012/2013 (</w:t>
      </w:r>
      <w:r w:rsidR="00973964">
        <w:rPr>
          <w:rFonts w:ascii="Times New Roman" w:hAnsi="Times New Roman" w:cs="Times New Roman"/>
          <w:sz w:val="24"/>
          <w:szCs w:val="24"/>
        </w:rPr>
        <w:t>GLSS6</w:t>
      </w:r>
      <w:r w:rsidR="00A15FA2">
        <w:rPr>
          <w:rFonts w:ascii="Times New Roman" w:hAnsi="Times New Roman" w:cs="Times New Roman"/>
          <w:sz w:val="24"/>
          <w:szCs w:val="24"/>
        </w:rPr>
        <w:t>)</w:t>
      </w:r>
      <w:r w:rsidR="00973964">
        <w:rPr>
          <w:rFonts w:ascii="Times New Roman" w:hAnsi="Times New Roman" w:cs="Times New Roman"/>
          <w:sz w:val="24"/>
          <w:szCs w:val="24"/>
        </w:rPr>
        <w:t xml:space="preserve">, </w:t>
      </w:r>
      <w:r w:rsidR="00496328">
        <w:rPr>
          <w:rFonts w:ascii="Times New Roman" w:hAnsi="Times New Roman" w:cs="Times New Roman"/>
          <w:sz w:val="24"/>
          <w:szCs w:val="24"/>
        </w:rPr>
        <w:t>as well as</w:t>
      </w:r>
      <w:r w:rsidR="00973964">
        <w:rPr>
          <w:rFonts w:ascii="Times New Roman" w:hAnsi="Times New Roman" w:cs="Times New Roman"/>
          <w:sz w:val="24"/>
          <w:szCs w:val="24"/>
        </w:rPr>
        <w:t xml:space="preserve"> the interactive effect</w:t>
      </w:r>
      <w:r w:rsidR="00360B1C">
        <w:rPr>
          <w:rFonts w:ascii="Times New Roman" w:hAnsi="Times New Roman" w:cs="Times New Roman"/>
          <w:sz w:val="24"/>
          <w:szCs w:val="24"/>
        </w:rPr>
        <w:t>s</w:t>
      </w:r>
      <w:r w:rsidR="00973964">
        <w:rPr>
          <w:rFonts w:ascii="Times New Roman" w:hAnsi="Times New Roman" w:cs="Times New Roman"/>
          <w:sz w:val="24"/>
          <w:szCs w:val="24"/>
        </w:rPr>
        <w:t xml:space="preserve"> of year and youth and ye</w:t>
      </w:r>
      <w:r w:rsidR="00496328">
        <w:rPr>
          <w:rFonts w:ascii="Times New Roman" w:hAnsi="Times New Roman" w:cs="Times New Roman"/>
          <w:sz w:val="24"/>
          <w:szCs w:val="24"/>
        </w:rPr>
        <w:t>ar and gender in the regression</w:t>
      </w:r>
      <w:r w:rsidR="00973964">
        <w:rPr>
          <w:rFonts w:ascii="Times New Roman" w:hAnsi="Times New Roman" w:cs="Times New Roman"/>
          <w:sz w:val="24"/>
          <w:szCs w:val="24"/>
        </w:rPr>
        <w:t>.</w:t>
      </w:r>
      <w:r w:rsidR="00D26F77" w:rsidRPr="00D26F77">
        <w:rPr>
          <w:rFonts w:ascii="Times New Roman" w:hAnsi="Times New Roman" w:cs="Times New Roman"/>
          <w:sz w:val="24"/>
          <w:szCs w:val="24"/>
        </w:rPr>
        <w:t xml:space="preserve"> </w:t>
      </w:r>
      <w:r w:rsidR="00360B1C">
        <w:rPr>
          <w:rFonts w:ascii="Times New Roman" w:hAnsi="Times New Roman" w:cs="Times New Roman"/>
          <w:sz w:val="24"/>
          <w:szCs w:val="24"/>
        </w:rPr>
        <w:t>Still, t</w:t>
      </w:r>
      <w:r w:rsidR="00D26F77" w:rsidRPr="00D26F77">
        <w:rPr>
          <w:rFonts w:ascii="Times New Roman" w:hAnsi="Times New Roman" w:cs="Times New Roman"/>
          <w:sz w:val="24"/>
          <w:szCs w:val="24"/>
        </w:rPr>
        <w:t>here are too</w:t>
      </w:r>
      <w:r w:rsidR="00D26F77">
        <w:rPr>
          <w:rFonts w:ascii="Times New Roman" w:hAnsi="Times New Roman" w:cs="Times New Roman"/>
          <w:sz w:val="24"/>
          <w:szCs w:val="24"/>
        </w:rPr>
        <w:t xml:space="preserve"> many missing variables in the</w:t>
      </w:r>
      <w:r w:rsidR="00D26F77" w:rsidRPr="00D26F77">
        <w:rPr>
          <w:rFonts w:ascii="Times New Roman" w:hAnsi="Times New Roman" w:cs="Times New Roman"/>
          <w:sz w:val="24"/>
          <w:szCs w:val="24"/>
        </w:rPr>
        <w:t xml:space="preserve"> regressions to </w:t>
      </w:r>
      <w:r w:rsidR="00360B1C">
        <w:rPr>
          <w:rFonts w:ascii="Times New Roman" w:hAnsi="Times New Roman" w:cs="Times New Roman"/>
          <w:sz w:val="24"/>
          <w:szCs w:val="24"/>
        </w:rPr>
        <w:t>test any</w:t>
      </w:r>
      <w:r w:rsidR="00D26F77" w:rsidRPr="00D26F77">
        <w:rPr>
          <w:rFonts w:ascii="Times New Roman" w:hAnsi="Times New Roman" w:cs="Times New Roman"/>
          <w:sz w:val="24"/>
          <w:szCs w:val="24"/>
        </w:rPr>
        <w:t xml:space="preserve"> causal relationships (e.g. we are </w:t>
      </w:r>
      <w:r w:rsidR="00360B1C">
        <w:rPr>
          <w:rFonts w:ascii="Times New Roman" w:hAnsi="Times New Roman" w:cs="Times New Roman"/>
          <w:sz w:val="24"/>
          <w:szCs w:val="24"/>
        </w:rPr>
        <w:t>un</w:t>
      </w:r>
      <w:r w:rsidR="00D26F77" w:rsidRPr="00D26F77">
        <w:rPr>
          <w:rFonts w:ascii="Times New Roman" w:hAnsi="Times New Roman" w:cs="Times New Roman"/>
          <w:sz w:val="24"/>
          <w:szCs w:val="24"/>
        </w:rPr>
        <w:t xml:space="preserve">able to control for </w:t>
      </w:r>
      <w:r w:rsidR="00262539">
        <w:rPr>
          <w:rFonts w:ascii="Times New Roman" w:hAnsi="Times New Roman" w:cs="Times New Roman"/>
          <w:sz w:val="24"/>
          <w:szCs w:val="24"/>
        </w:rPr>
        <w:t xml:space="preserve">wages or </w:t>
      </w:r>
      <w:r w:rsidR="00D26F77" w:rsidRPr="00D26F77">
        <w:rPr>
          <w:rFonts w:ascii="Times New Roman" w:hAnsi="Times New Roman" w:cs="Times New Roman"/>
          <w:sz w:val="24"/>
          <w:szCs w:val="24"/>
        </w:rPr>
        <w:t xml:space="preserve">missing household effects), but they do reveal some interesting patterns of association. </w:t>
      </w:r>
      <w:r w:rsidR="00360B1C">
        <w:rPr>
          <w:rFonts w:ascii="Times New Roman" w:hAnsi="Times New Roman" w:cs="Times New Roman"/>
          <w:sz w:val="24"/>
          <w:szCs w:val="24"/>
        </w:rPr>
        <w:t xml:space="preserve">We only </w:t>
      </w:r>
      <w:r w:rsidR="00D26F77">
        <w:rPr>
          <w:rFonts w:ascii="Times New Roman" w:hAnsi="Times New Roman" w:cs="Times New Roman"/>
          <w:sz w:val="24"/>
          <w:szCs w:val="24"/>
        </w:rPr>
        <w:t>report</w:t>
      </w:r>
      <w:r w:rsidR="00360B1C">
        <w:rPr>
          <w:rFonts w:ascii="Times New Roman" w:hAnsi="Times New Roman" w:cs="Times New Roman"/>
          <w:sz w:val="24"/>
          <w:szCs w:val="24"/>
        </w:rPr>
        <w:t xml:space="preserve"> the marginal effect</w:t>
      </w:r>
      <w:r w:rsidR="00E462BB">
        <w:rPr>
          <w:rFonts w:ascii="Times New Roman" w:hAnsi="Times New Roman" w:cs="Times New Roman"/>
          <w:sz w:val="24"/>
          <w:szCs w:val="24"/>
        </w:rPr>
        <w:t>s</w:t>
      </w:r>
      <w:r w:rsidR="00360B1C">
        <w:rPr>
          <w:rFonts w:ascii="Times New Roman" w:hAnsi="Times New Roman" w:cs="Times New Roman"/>
          <w:sz w:val="24"/>
          <w:szCs w:val="24"/>
        </w:rPr>
        <w:t xml:space="preserve"> of the </w:t>
      </w:r>
      <w:proofErr w:type="spellStart"/>
      <w:r w:rsidR="00E462BB">
        <w:rPr>
          <w:rFonts w:ascii="Times New Roman" w:hAnsi="Times New Roman" w:cs="Times New Roman"/>
          <w:sz w:val="24"/>
          <w:szCs w:val="24"/>
        </w:rPr>
        <w:t>probit</w:t>
      </w:r>
      <w:proofErr w:type="spellEnd"/>
      <w:r w:rsidR="00E462BB">
        <w:rPr>
          <w:rFonts w:ascii="Times New Roman" w:hAnsi="Times New Roman" w:cs="Times New Roman"/>
          <w:sz w:val="24"/>
          <w:szCs w:val="24"/>
        </w:rPr>
        <w:t xml:space="preserve"> </w:t>
      </w:r>
      <w:r w:rsidR="00360B1C">
        <w:rPr>
          <w:rFonts w:ascii="Times New Roman" w:hAnsi="Times New Roman" w:cs="Times New Roman"/>
          <w:sz w:val="24"/>
          <w:szCs w:val="24"/>
        </w:rPr>
        <w:t>estimation</w:t>
      </w:r>
      <w:r w:rsidR="00D26F77">
        <w:rPr>
          <w:rFonts w:ascii="Times New Roman" w:hAnsi="Times New Roman" w:cs="Times New Roman"/>
          <w:sz w:val="24"/>
          <w:szCs w:val="24"/>
        </w:rPr>
        <w:t xml:space="preserve"> in Tables </w:t>
      </w:r>
      <w:r w:rsidR="00D52F18">
        <w:rPr>
          <w:rFonts w:ascii="Times New Roman" w:hAnsi="Times New Roman" w:cs="Times New Roman"/>
          <w:sz w:val="24"/>
          <w:szCs w:val="24"/>
        </w:rPr>
        <w:t>9</w:t>
      </w:r>
      <w:r w:rsidR="00D26F77">
        <w:rPr>
          <w:rFonts w:ascii="Times New Roman" w:hAnsi="Times New Roman" w:cs="Times New Roman"/>
          <w:sz w:val="24"/>
          <w:szCs w:val="24"/>
        </w:rPr>
        <w:t>.8</w:t>
      </w:r>
      <w:r w:rsidR="00D26F77" w:rsidRPr="00D26F77">
        <w:rPr>
          <w:rFonts w:ascii="Times New Roman" w:hAnsi="Times New Roman" w:cs="Times New Roman"/>
          <w:sz w:val="24"/>
          <w:szCs w:val="24"/>
        </w:rPr>
        <w:t>.</w:t>
      </w:r>
      <w:r w:rsidR="00D26F77" w:rsidRPr="001572CB">
        <w:rPr>
          <w:rFonts w:ascii="Times New Roman" w:hAnsi="Times New Roman" w:cs="Times New Roman"/>
        </w:rPr>
        <w:t xml:space="preserve"> </w:t>
      </w:r>
    </w:p>
    <w:p w14:paraId="7E200687" w14:textId="11B14538" w:rsidR="00CF7E0F" w:rsidRDefault="00F81E36" w:rsidP="00EF7FD9">
      <w:pPr>
        <w:spacing w:line="360" w:lineRule="auto"/>
        <w:ind w:firstLine="360"/>
        <w:jc w:val="both"/>
        <w:rPr>
          <w:rFonts w:ascii="Times New Roman" w:hAnsi="Times New Roman" w:cs="Times New Roman"/>
          <w:sz w:val="24"/>
          <w:szCs w:val="24"/>
        </w:rPr>
      </w:pPr>
      <w:r w:rsidRPr="00CD704D">
        <w:rPr>
          <w:rFonts w:ascii="Times New Roman" w:hAnsi="Times New Roman" w:cs="Times New Roman"/>
          <w:sz w:val="24"/>
          <w:szCs w:val="24"/>
        </w:rPr>
        <w:t xml:space="preserve">Urbanization, as captured through our typology, has some significant but complex links with agricultural intensification. </w:t>
      </w:r>
      <w:r w:rsidR="00096CC9">
        <w:rPr>
          <w:rFonts w:ascii="Times New Roman" w:hAnsi="Times New Roman" w:cs="Times New Roman"/>
          <w:sz w:val="24"/>
          <w:szCs w:val="24"/>
        </w:rPr>
        <w:t>Rural h</w:t>
      </w:r>
      <w:r w:rsidRPr="00CD704D">
        <w:rPr>
          <w:rFonts w:ascii="Times New Roman" w:hAnsi="Times New Roman" w:cs="Times New Roman"/>
          <w:sz w:val="24"/>
          <w:szCs w:val="24"/>
        </w:rPr>
        <w:t xml:space="preserve">ouseholds in </w:t>
      </w:r>
      <w:r w:rsidR="008F0E33">
        <w:rPr>
          <w:rFonts w:ascii="Times New Roman" w:hAnsi="Times New Roman" w:cs="Times New Roman"/>
          <w:sz w:val="24"/>
          <w:szCs w:val="24"/>
        </w:rPr>
        <w:t xml:space="preserve">all the three district groups in </w:t>
      </w:r>
      <w:r w:rsidR="00F80150" w:rsidRPr="00CD704D">
        <w:rPr>
          <w:rFonts w:ascii="Times New Roman" w:hAnsi="Times New Roman" w:cs="Times New Roman"/>
          <w:sz w:val="24"/>
          <w:szCs w:val="24"/>
        </w:rPr>
        <w:t xml:space="preserve">the </w:t>
      </w:r>
      <w:r w:rsidR="00D26F77">
        <w:rPr>
          <w:rFonts w:ascii="Times New Roman" w:hAnsi="Times New Roman" w:cs="Times New Roman"/>
          <w:sz w:val="24"/>
          <w:szCs w:val="24"/>
        </w:rPr>
        <w:t xml:space="preserve">agriculturally important </w:t>
      </w:r>
      <w:r w:rsidR="00FB7D6D">
        <w:rPr>
          <w:rFonts w:ascii="Times New Roman" w:hAnsi="Times New Roman" w:cs="Times New Roman"/>
          <w:sz w:val="24"/>
          <w:szCs w:val="24"/>
        </w:rPr>
        <w:t>North</w:t>
      </w:r>
      <w:r w:rsidR="00D26F77">
        <w:rPr>
          <w:rFonts w:ascii="Times New Roman" w:hAnsi="Times New Roman" w:cs="Times New Roman"/>
          <w:sz w:val="24"/>
          <w:szCs w:val="24"/>
        </w:rPr>
        <w:t xml:space="preserve"> </w:t>
      </w:r>
      <w:r w:rsidRPr="00CD704D">
        <w:rPr>
          <w:rFonts w:ascii="Times New Roman" w:hAnsi="Times New Roman" w:cs="Times New Roman"/>
          <w:sz w:val="24"/>
          <w:szCs w:val="24"/>
        </w:rPr>
        <w:t xml:space="preserve">have a higher predicted probability of using fertilizers than household </w:t>
      </w:r>
      <w:r w:rsidR="002E3A09">
        <w:rPr>
          <w:rFonts w:ascii="Times New Roman" w:hAnsi="Times New Roman" w:cs="Times New Roman"/>
          <w:sz w:val="24"/>
          <w:szCs w:val="24"/>
        </w:rPr>
        <w:t xml:space="preserve">in the </w:t>
      </w:r>
      <w:r w:rsidR="00FB7D6D">
        <w:rPr>
          <w:rFonts w:ascii="Times New Roman" w:hAnsi="Times New Roman" w:cs="Times New Roman"/>
          <w:sz w:val="24"/>
          <w:szCs w:val="24"/>
        </w:rPr>
        <w:t xml:space="preserve">South, which as we mentioned above, </w:t>
      </w:r>
      <w:r w:rsidR="00096CC9">
        <w:rPr>
          <w:rFonts w:ascii="Times New Roman" w:hAnsi="Times New Roman" w:cs="Times New Roman"/>
          <w:sz w:val="24"/>
          <w:szCs w:val="24"/>
        </w:rPr>
        <w:t>may be</w:t>
      </w:r>
      <w:r w:rsidR="00FB7D6D">
        <w:rPr>
          <w:rFonts w:ascii="Times New Roman" w:hAnsi="Times New Roman" w:cs="Times New Roman"/>
          <w:sz w:val="24"/>
          <w:szCs w:val="24"/>
        </w:rPr>
        <w:t xml:space="preserve"> driven by </w:t>
      </w:r>
      <w:r w:rsidR="00096CC9">
        <w:rPr>
          <w:rFonts w:ascii="Times New Roman" w:hAnsi="Times New Roman" w:cs="Times New Roman"/>
          <w:sz w:val="24"/>
          <w:szCs w:val="24"/>
        </w:rPr>
        <w:t>poorer</w:t>
      </w:r>
      <w:r w:rsidR="00FB7D6D">
        <w:rPr>
          <w:rFonts w:ascii="Times New Roman" w:hAnsi="Times New Roman" w:cs="Times New Roman"/>
          <w:sz w:val="24"/>
          <w:szCs w:val="24"/>
        </w:rPr>
        <w:t xml:space="preserve"> soil </w:t>
      </w:r>
      <w:r w:rsidR="005E5ED5">
        <w:rPr>
          <w:rFonts w:ascii="Times New Roman" w:hAnsi="Times New Roman" w:cs="Times New Roman"/>
          <w:sz w:val="24"/>
          <w:szCs w:val="24"/>
        </w:rPr>
        <w:t>fertility</w:t>
      </w:r>
      <w:r w:rsidR="00FB7D6D">
        <w:rPr>
          <w:rFonts w:ascii="Times New Roman" w:hAnsi="Times New Roman" w:cs="Times New Roman"/>
          <w:sz w:val="24"/>
          <w:szCs w:val="24"/>
        </w:rPr>
        <w:t xml:space="preserve"> in the North</w:t>
      </w:r>
      <w:r w:rsidR="00A42AE7">
        <w:rPr>
          <w:rFonts w:ascii="Times New Roman" w:hAnsi="Times New Roman" w:cs="Times New Roman"/>
          <w:sz w:val="24"/>
          <w:szCs w:val="24"/>
        </w:rPr>
        <w:t xml:space="preserve">. </w:t>
      </w:r>
      <w:r w:rsidR="00FB7D6D">
        <w:rPr>
          <w:rFonts w:ascii="Times New Roman" w:hAnsi="Times New Roman" w:cs="Times New Roman"/>
          <w:sz w:val="24"/>
          <w:szCs w:val="24"/>
        </w:rPr>
        <w:t>However, contra</w:t>
      </w:r>
      <w:r w:rsidR="00FE061C">
        <w:rPr>
          <w:rFonts w:ascii="Times New Roman" w:hAnsi="Times New Roman" w:cs="Times New Roman"/>
          <w:sz w:val="24"/>
          <w:szCs w:val="24"/>
        </w:rPr>
        <w:t xml:space="preserve">ry to </w:t>
      </w:r>
      <w:r w:rsidR="00FB7D6D">
        <w:rPr>
          <w:rFonts w:ascii="Times New Roman" w:hAnsi="Times New Roman" w:cs="Times New Roman"/>
          <w:sz w:val="24"/>
          <w:szCs w:val="24"/>
        </w:rPr>
        <w:t xml:space="preserve">the </w:t>
      </w:r>
      <w:r w:rsidR="00FE061C">
        <w:rPr>
          <w:rFonts w:ascii="Times New Roman" w:hAnsi="Times New Roman" w:cs="Times New Roman"/>
          <w:sz w:val="24"/>
          <w:szCs w:val="24"/>
        </w:rPr>
        <w:t xml:space="preserve">bivariate relationship of Table </w:t>
      </w:r>
      <w:r w:rsidR="00D52F18">
        <w:rPr>
          <w:rFonts w:ascii="Times New Roman" w:hAnsi="Times New Roman" w:cs="Times New Roman"/>
          <w:sz w:val="24"/>
          <w:szCs w:val="24"/>
        </w:rPr>
        <w:t>9</w:t>
      </w:r>
      <w:r w:rsidR="00FE061C">
        <w:rPr>
          <w:rFonts w:ascii="Times New Roman" w:hAnsi="Times New Roman" w:cs="Times New Roman"/>
          <w:sz w:val="24"/>
          <w:szCs w:val="24"/>
        </w:rPr>
        <w:t xml:space="preserve">.5, in which we could not find </w:t>
      </w:r>
      <w:r w:rsidR="005C1F0B">
        <w:rPr>
          <w:rFonts w:ascii="Times New Roman" w:hAnsi="Times New Roman" w:cs="Times New Roman"/>
          <w:sz w:val="24"/>
          <w:szCs w:val="24"/>
        </w:rPr>
        <w:t xml:space="preserve">a </w:t>
      </w:r>
      <w:r w:rsidR="00215AB3" w:rsidRPr="00215AB3">
        <w:rPr>
          <w:rFonts w:ascii="Times New Roman" w:hAnsi="Times New Roman" w:cs="Times New Roman"/>
          <w:sz w:val="24"/>
          <w:szCs w:val="24"/>
        </w:rPr>
        <w:t xml:space="preserve">consistent pattern of increased use </w:t>
      </w:r>
      <w:r w:rsidR="005C1F0B">
        <w:rPr>
          <w:rFonts w:ascii="Times New Roman" w:hAnsi="Times New Roman" w:cs="Times New Roman"/>
          <w:sz w:val="24"/>
          <w:szCs w:val="24"/>
        </w:rPr>
        <w:t xml:space="preserve">fertilizer </w:t>
      </w:r>
      <w:r w:rsidR="00215AB3" w:rsidRPr="00215AB3">
        <w:rPr>
          <w:rFonts w:ascii="Times New Roman" w:hAnsi="Times New Roman" w:cs="Times New Roman"/>
          <w:sz w:val="24"/>
          <w:szCs w:val="24"/>
        </w:rPr>
        <w:t xml:space="preserve">with levels of urbanization within </w:t>
      </w:r>
      <w:r w:rsidR="005C1F0B">
        <w:rPr>
          <w:rFonts w:ascii="Times New Roman" w:hAnsi="Times New Roman" w:cs="Times New Roman"/>
          <w:sz w:val="24"/>
          <w:szCs w:val="24"/>
        </w:rPr>
        <w:t xml:space="preserve">each of </w:t>
      </w:r>
      <w:r w:rsidR="00215AB3" w:rsidRPr="00215AB3">
        <w:rPr>
          <w:rFonts w:ascii="Times New Roman" w:hAnsi="Times New Roman" w:cs="Times New Roman"/>
          <w:sz w:val="24"/>
          <w:szCs w:val="24"/>
        </w:rPr>
        <w:t>the two regions</w:t>
      </w:r>
      <w:r w:rsidR="00FB7D6D">
        <w:rPr>
          <w:rFonts w:ascii="Times New Roman" w:hAnsi="Times New Roman" w:cs="Times New Roman"/>
          <w:sz w:val="24"/>
          <w:szCs w:val="24"/>
        </w:rPr>
        <w:t xml:space="preserve">, </w:t>
      </w:r>
      <w:r w:rsidR="005C1F0B">
        <w:rPr>
          <w:rFonts w:ascii="Times New Roman" w:hAnsi="Times New Roman" w:cs="Times New Roman"/>
          <w:sz w:val="24"/>
          <w:szCs w:val="24"/>
        </w:rPr>
        <w:t xml:space="preserve">the </w:t>
      </w:r>
      <w:proofErr w:type="spellStart"/>
      <w:r w:rsidR="00E70A30">
        <w:rPr>
          <w:rFonts w:ascii="Times New Roman" w:hAnsi="Times New Roman" w:cs="Times New Roman"/>
          <w:sz w:val="24"/>
          <w:szCs w:val="24"/>
        </w:rPr>
        <w:t>p</w:t>
      </w:r>
      <w:r w:rsidR="005C1F0B">
        <w:rPr>
          <w:rFonts w:ascii="Times New Roman" w:hAnsi="Times New Roman" w:cs="Times New Roman"/>
          <w:sz w:val="24"/>
          <w:szCs w:val="24"/>
        </w:rPr>
        <w:t>robit</w:t>
      </w:r>
      <w:proofErr w:type="spellEnd"/>
      <w:r w:rsidR="005C1F0B">
        <w:rPr>
          <w:rFonts w:ascii="Times New Roman" w:hAnsi="Times New Roman" w:cs="Times New Roman"/>
          <w:sz w:val="24"/>
          <w:szCs w:val="24"/>
        </w:rPr>
        <w:t xml:space="preserve"> estimation show</w:t>
      </w:r>
      <w:r w:rsidR="00096CC9">
        <w:rPr>
          <w:rFonts w:ascii="Times New Roman" w:hAnsi="Times New Roman" w:cs="Times New Roman"/>
          <w:sz w:val="24"/>
          <w:szCs w:val="24"/>
        </w:rPr>
        <w:t>s</w:t>
      </w:r>
      <w:r w:rsidR="005C1F0B">
        <w:rPr>
          <w:rFonts w:ascii="Times New Roman" w:hAnsi="Times New Roman" w:cs="Times New Roman"/>
          <w:sz w:val="24"/>
          <w:szCs w:val="24"/>
        </w:rPr>
        <w:t xml:space="preserve"> that </w:t>
      </w:r>
      <w:r w:rsidR="007944CC">
        <w:rPr>
          <w:rFonts w:ascii="Times New Roman" w:hAnsi="Times New Roman" w:cs="Times New Roman"/>
          <w:sz w:val="24"/>
          <w:szCs w:val="24"/>
        </w:rPr>
        <w:t xml:space="preserve">in the North, </w:t>
      </w:r>
      <w:r w:rsidR="00FB7D6D">
        <w:rPr>
          <w:rFonts w:ascii="Times New Roman" w:hAnsi="Times New Roman" w:cs="Times New Roman"/>
          <w:sz w:val="24"/>
          <w:szCs w:val="24"/>
        </w:rPr>
        <w:t>the higher the urbanization level</w:t>
      </w:r>
      <w:r w:rsidR="005C1F0B">
        <w:rPr>
          <w:rFonts w:ascii="Times New Roman" w:hAnsi="Times New Roman" w:cs="Times New Roman"/>
          <w:sz w:val="24"/>
          <w:szCs w:val="24"/>
        </w:rPr>
        <w:t xml:space="preserve"> </w:t>
      </w:r>
      <w:r w:rsidR="00FB7D6D">
        <w:rPr>
          <w:rFonts w:ascii="Times New Roman" w:hAnsi="Times New Roman" w:cs="Times New Roman"/>
          <w:sz w:val="24"/>
          <w:szCs w:val="24"/>
        </w:rPr>
        <w:t xml:space="preserve">– measured by the size of cities in different district groups, the </w:t>
      </w:r>
      <w:r w:rsidR="00096CC9">
        <w:rPr>
          <w:rFonts w:ascii="Times New Roman" w:hAnsi="Times New Roman" w:cs="Times New Roman"/>
          <w:sz w:val="24"/>
          <w:szCs w:val="24"/>
        </w:rPr>
        <w:t>higher the predicted probability</w:t>
      </w:r>
      <w:r w:rsidR="00FB7D6D">
        <w:rPr>
          <w:rFonts w:ascii="Times New Roman" w:hAnsi="Times New Roman" w:cs="Times New Roman"/>
          <w:sz w:val="24"/>
          <w:szCs w:val="24"/>
        </w:rPr>
        <w:t xml:space="preserve"> of using fertilizer</w:t>
      </w:r>
      <w:r w:rsidR="005C1F0B">
        <w:rPr>
          <w:rFonts w:ascii="Times New Roman" w:hAnsi="Times New Roman" w:cs="Times New Roman"/>
          <w:sz w:val="24"/>
          <w:szCs w:val="24"/>
        </w:rPr>
        <w:t xml:space="preserve">. </w:t>
      </w:r>
      <w:r w:rsidR="00FB7D6D">
        <w:rPr>
          <w:rFonts w:ascii="Times New Roman" w:hAnsi="Times New Roman" w:cs="Times New Roman"/>
          <w:sz w:val="24"/>
          <w:szCs w:val="24"/>
        </w:rPr>
        <w:t>For example, compared with households in the South’s districts without cit</w:t>
      </w:r>
      <w:r w:rsidR="00096CC9">
        <w:rPr>
          <w:rFonts w:ascii="Times New Roman" w:hAnsi="Times New Roman" w:cs="Times New Roman"/>
          <w:sz w:val="24"/>
          <w:szCs w:val="24"/>
        </w:rPr>
        <w:t>ies</w:t>
      </w:r>
      <w:r w:rsidR="00FB7D6D">
        <w:rPr>
          <w:rFonts w:ascii="Times New Roman" w:hAnsi="Times New Roman" w:cs="Times New Roman"/>
          <w:sz w:val="24"/>
          <w:szCs w:val="24"/>
        </w:rPr>
        <w:t xml:space="preserve">, </w:t>
      </w:r>
      <w:r w:rsidR="00FE061C">
        <w:rPr>
          <w:rFonts w:ascii="Times New Roman" w:hAnsi="Times New Roman" w:cs="Times New Roman"/>
          <w:sz w:val="24"/>
          <w:szCs w:val="24"/>
        </w:rPr>
        <w:t xml:space="preserve">the </w:t>
      </w:r>
      <w:r w:rsidR="00096CC9">
        <w:rPr>
          <w:rFonts w:ascii="Times New Roman" w:hAnsi="Times New Roman" w:cs="Times New Roman"/>
          <w:sz w:val="24"/>
          <w:szCs w:val="24"/>
        </w:rPr>
        <w:t xml:space="preserve">predicted </w:t>
      </w:r>
      <w:r w:rsidR="00FE061C">
        <w:rPr>
          <w:rFonts w:ascii="Times New Roman" w:hAnsi="Times New Roman" w:cs="Times New Roman"/>
          <w:sz w:val="24"/>
          <w:szCs w:val="24"/>
        </w:rPr>
        <w:t xml:space="preserve">probability of using fertilizer </w:t>
      </w:r>
      <w:r w:rsidR="00A831F9">
        <w:rPr>
          <w:rFonts w:ascii="Times New Roman" w:hAnsi="Times New Roman" w:cs="Times New Roman"/>
          <w:sz w:val="24"/>
          <w:szCs w:val="24"/>
        </w:rPr>
        <w:t xml:space="preserve">increases by 25 percent </w:t>
      </w:r>
      <w:r w:rsidR="00FB7D6D">
        <w:rPr>
          <w:rFonts w:ascii="Times New Roman" w:hAnsi="Times New Roman" w:cs="Times New Roman"/>
          <w:sz w:val="24"/>
          <w:szCs w:val="24"/>
        </w:rPr>
        <w:t>in the North’s districts with secondary cities</w:t>
      </w:r>
      <w:r w:rsidR="00CF7E0F">
        <w:rPr>
          <w:rFonts w:ascii="Times New Roman" w:hAnsi="Times New Roman" w:cs="Times New Roman"/>
          <w:sz w:val="24"/>
          <w:szCs w:val="24"/>
        </w:rPr>
        <w:t>,</w:t>
      </w:r>
      <w:r w:rsidR="00FB7D6D" w:rsidRPr="00FB7D6D">
        <w:rPr>
          <w:rFonts w:ascii="Times New Roman" w:hAnsi="Times New Roman" w:cs="Times New Roman"/>
          <w:sz w:val="24"/>
          <w:szCs w:val="24"/>
        </w:rPr>
        <w:t xml:space="preserve"> </w:t>
      </w:r>
      <w:r w:rsidR="00CF7E0F">
        <w:rPr>
          <w:rFonts w:ascii="Times New Roman" w:hAnsi="Times New Roman" w:cs="Times New Roman"/>
          <w:sz w:val="24"/>
          <w:szCs w:val="24"/>
        </w:rPr>
        <w:t xml:space="preserve">while the </w:t>
      </w:r>
      <w:r w:rsidR="00A831F9">
        <w:rPr>
          <w:rFonts w:ascii="Times New Roman" w:hAnsi="Times New Roman" w:cs="Times New Roman"/>
          <w:sz w:val="24"/>
          <w:szCs w:val="24"/>
        </w:rPr>
        <w:t xml:space="preserve">marginal effects </w:t>
      </w:r>
      <w:r w:rsidR="00CF7E0F">
        <w:rPr>
          <w:rFonts w:ascii="Times New Roman" w:hAnsi="Times New Roman" w:cs="Times New Roman"/>
          <w:sz w:val="24"/>
          <w:szCs w:val="24"/>
        </w:rPr>
        <w:t xml:space="preserve">are </w:t>
      </w:r>
      <w:r w:rsidR="00496328">
        <w:rPr>
          <w:rFonts w:ascii="Times New Roman" w:hAnsi="Times New Roman" w:cs="Times New Roman"/>
          <w:sz w:val="24"/>
          <w:szCs w:val="24"/>
        </w:rPr>
        <w:t>smaller</w:t>
      </w:r>
      <w:r w:rsidR="00A831F9">
        <w:rPr>
          <w:rFonts w:ascii="Times New Roman" w:hAnsi="Times New Roman" w:cs="Times New Roman"/>
          <w:sz w:val="24"/>
          <w:szCs w:val="24"/>
        </w:rPr>
        <w:t xml:space="preserve"> </w:t>
      </w:r>
      <w:r w:rsidR="00096CC9">
        <w:rPr>
          <w:rFonts w:ascii="Times New Roman" w:hAnsi="Times New Roman" w:cs="Times New Roman"/>
          <w:sz w:val="24"/>
          <w:szCs w:val="24"/>
        </w:rPr>
        <w:t xml:space="preserve">in Northern </w:t>
      </w:r>
      <w:r w:rsidR="00CF7E0F">
        <w:rPr>
          <w:rFonts w:ascii="Times New Roman" w:hAnsi="Times New Roman" w:cs="Times New Roman"/>
          <w:sz w:val="24"/>
          <w:szCs w:val="24"/>
        </w:rPr>
        <w:t>districts with 3</w:t>
      </w:r>
      <w:r w:rsidR="00CF7E0F" w:rsidRPr="00550946">
        <w:rPr>
          <w:rFonts w:ascii="Times New Roman" w:hAnsi="Times New Roman" w:cs="Times New Roman"/>
          <w:sz w:val="24"/>
          <w:szCs w:val="24"/>
          <w:vertAlign w:val="superscript"/>
        </w:rPr>
        <w:t>rd</w:t>
      </w:r>
      <w:r w:rsidR="00CF7E0F">
        <w:rPr>
          <w:rFonts w:ascii="Times New Roman" w:hAnsi="Times New Roman" w:cs="Times New Roman"/>
          <w:sz w:val="24"/>
          <w:szCs w:val="24"/>
        </w:rPr>
        <w:t xml:space="preserve"> tier cities or without cit</w:t>
      </w:r>
      <w:r w:rsidR="00096CC9">
        <w:rPr>
          <w:rFonts w:ascii="Times New Roman" w:hAnsi="Times New Roman" w:cs="Times New Roman"/>
          <w:sz w:val="24"/>
          <w:szCs w:val="24"/>
        </w:rPr>
        <w:t>ies</w:t>
      </w:r>
      <w:r w:rsidR="00A831F9" w:rsidRPr="00A831F9">
        <w:rPr>
          <w:rFonts w:ascii="Times New Roman" w:hAnsi="Times New Roman" w:cs="Times New Roman"/>
          <w:sz w:val="24"/>
          <w:szCs w:val="24"/>
        </w:rPr>
        <w:t>, at 18.7 percent and 13.9 percent, respectively</w:t>
      </w:r>
      <w:r w:rsidR="008322CB">
        <w:rPr>
          <w:rFonts w:ascii="Times New Roman" w:hAnsi="Times New Roman" w:cs="Times New Roman"/>
          <w:sz w:val="24"/>
          <w:szCs w:val="24"/>
        </w:rPr>
        <w:t xml:space="preserve">. </w:t>
      </w:r>
    </w:p>
    <w:p w14:paraId="2EB58065" w14:textId="58B924B2" w:rsidR="00041615" w:rsidRDefault="005E5ED5" w:rsidP="00BC6A13">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E70A30">
        <w:rPr>
          <w:rFonts w:ascii="Times New Roman" w:hAnsi="Times New Roman" w:cs="Times New Roman"/>
          <w:sz w:val="24"/>
          <w:szCs w:val="24"/>
        </w:rPr>
        <w:t>p</w:t>
      </w:r>
      <w:r w:rsidR="00A831F9">
        <w:rPr>
          <w:rFonts w:ascii="Times New Roman" w:hAnsi="Times New Roman" w:cs="Times New Roman"/>
          <w:sz w:val="24"/>
          <w:szCs w:val="24"/>
        </w:rPr>
        <w:t>robit</w:t>
      </w:r>
      <w:proofErr w:type="spellEnd"/>
      <w:r w:rsidR="00A831F9">
        <w:rPr>
          <w:rFonts w:ascii="Times New Roman" w:hAnsi="Times New Roman" w:cs="Times New Roman"/>
          <w:sz w:val="24"/>
          <w:szCs w:val="24"/>
        </w:rPr>
        <w:t xml:space="preserve"> estimates </w:t>
      </w:r>
      <w:r w:rsidR="00096CC9">
        <w:rPr>
          <w:rFonts w:ascii="Times New Roman" w:hAnsi="Times New Roman" w:cs="Times New Roman"/>
          <w:sz w:val="24"/>
          <w:szCs w:val="24"/>
        </w:rPr>
        <w:t>show</w:t>
      </w:r>
      <w:r w:rsidR="00A831F9">
        <w:rPr>
          <w:rFonts w:ascii="Times New Roman" w:hAnsi="Times New Roman" w:cs="Times New Roman"/>
          <w:sz w:val="24"/>
          <w:szCs w:val="24"/>
        </w:rPr>
        <w:t xml:space="preserve"> a similar </w:t>
      </w:r>
      <w:r>
        <w:rPr>
          <w:rFonts w:ascii="Times New Roman" w:hAnsi="Times New Roman" w:cs="Times New Roman"/>
          <w:sz w:val="24"/>
          <w:szCs w:val="24"/>
        </w:rPr>
        <w:t xml:space="preserve">relationship between farm size and use of fertilizer as we observe in Table </w:t>
      </w:r>
      <w:r w:rsidR="00D52F18">
        <w:rPr>
          <w:rFonts w:ascii="Times New Roman" w:hAnsi="Times New Roman" w:cs="Times New Roman"/>
          <w:sz w:val="24"/>
          <w:szCs w:val="24"/>
        </w:rPr>
        <w:t>9</w:t>
      </w:r>
      <w:r>
        <w:rPr>
          <w:rFonts w:ascii="Times New Roman" w:hAnsi="Times New Roman" w:cs="Times New Roman"/>
          <w:sz w:val="24"/>
          <w:szCs w:val="24"/>
        </w:rPr>
        <w:t>.5, i.e., the smaller the farm size</w:t>
      </w:r>
      <w:r w:rsidR="00A831F9">
        <w:rPr>
          <w:rFonts w:ascii="Times New Roman" w:hAnsi="Times New Roman" w:cs="Times New Roman"/>
          <w:sz w:val="24"/>
          <w:szCs w:val="24"/>
        </w:rPr>
        <w:t xml:space="preserve"> is for a rural household</w:t>
      </w:r>
      <w:r>
        <w:rPr>
          <w:rFonts w:ascii="Times New Roman" w:hAnsi="Times New Roman" w:cs="Times New Roman"/>
          <w:sz w:val="24"/>
          <w:szCs w:val="24"/>
        </w:rPr>
        <w:t xml:space="preserve">, the less likely </w:t>
      </w:r>
      <w:r w:rsidR="00A831F9">
        <w:rPr>
          <w:rFonts w:ascii="Times New Roman" w:hAnsi="Times New Roman" w:cs="Times New Roman"/>
          <w:sz w:val="24"/>
          <w:szCs w:val="24"/>
        </w:rPr>
        <w:t xml:space="preserve">for it </w:t>
      </w:r>
      <w:r>
        <w:rPr>
          <w:rFonts w:ascii="Times New Roman" w:hAnsi="Times New Roman" w:cs="Times New Roman"/>
          <w:sz w:val="24"/>
          <w:szCs w:val="24"/>
        </w:rPr>
        <w:t xml:space="preserve">to use fertilizer. For example, the </w:t>
      </w:r>
      <w:r w:rsidR="00096CC9">
        <w:rPr>
          <w:rFonts w:ascii="Times New Roman" w:hAnsi="Times New Roman" w:cs="Times New Roman"/>
          <w:sz w:val="24"/>
          <w:szCs w:val="24"/>
        </w:rPr>
        <w:t xml:space="preserve">predicted </w:t>
      </w:r>
      <w:r>
        <w:rPr>
          <w:rFonts w:ascii="Times New Roman" w:hAnsi="Times New Roman" w:cs="Times New Roman"/>
          <w:sz w:val="24"/>
          <w:szCs w:val="24"/>
        </w:rPr>
        <w:t xml:space="preserve">probability of using fertilizer </w:t>
      </w:r>
      <w:r w:rsidR="00096CC9">
        <w:rPr>
          <w:rFonts w:ascii="Times New Roman" w:hAnsi="Times New Roman" w:cs="Times New Roman"/>
          <w:sz w:val="24"/>
          <w:szCs w:val="24"/>
        </w:rPr>
        <w:t>is 27.8 percent lower for households with less than 2 ha of land compared to households with 20 ha or more</w:t>
      </w:r>
      <w:r>
        <w:rPr>
          <w:rFonts w:ascii="Times New Roman" w:hAnsi="Times New Roman" w:cs="Times New Roman"/>
          <w:sz w:val="24"/>
          <w:szCs w:val="24"/>
        </w:rPr>
        <w:t xml:space="preserve">, but </w:t>
      </w:r>
      <w:r w:rsidR="008F0E33">
        <w:rPr>
          <w:rFonts w:ascii="Times New Roman" w:hAnsi="Times New Roman" w:cs="Times New Roman"/>
          <w:sz w:val="24"/>
          <w:szCs w:val="24"/>
        </w:rPr>
        <w:t xml:space="preserve">the probability </w:t>
      </w:r>
      <w:r w:rsidR="00096CC9">
        <w:rPr>
          <w:rFonts w:ascii="Times New Roman" w:hAnsi="Times New Roman" w:cs="Times New Roman"/>
          <w:sz w:val="24"/>
          <w:szCs w:val="24"/>
        </w:rPr>
        <w:t>is only</w:t>
      </w:r>
      <w:r>
        <w:rPr>
          <w:rFonts w:ascii="Times New Roman" w:hAnsi="Times New Roman" w:cs="Times New Roman"/>
          <w:sz w:val="24"/>
          <w:szCs w:val="24"/>
        </w:rPr>
        <w:t xml:space="preserve"> 14</w:t>
      </w:r>
      <w:r w:rsidR="00A831F9">
        <w:rPr>
          <w:rFonts w:ascii="Times New Roman" w:hAnsi="Times New Roman" w:cs="Times New Roman"/>
          <w:sz w:val="24"/>
          <w:szCs w:val="24"/>
        </w:rPr>
        <w:t>.0</w:t>
      </w:r>
      <w:r>
        <w:rPr>
          <w:rFonts w:ascii="Times New Roman" w:hAnsi="Times New Roman" w:cs="Times New Roman"/>
          <w:sz w:val="24"/>
          <w:szCs w:val="24"/>
        </w:rPr>
        <w:t xml:space="preserve"> percent and 8</w:t>
      </w:r>
      <w:r w:rsidR="00A831F9">
        <w:rPr>
          <w:rFonts w:ascii="Times New Roman" w:hAnsi="Times New Roman" w:cs="Times New Roman"/>
          <w:sz w:val="24"/>
          <w:szCs w:val="24"/>
        </w:rPr>
        <w:t>.4</w:t>
      </w:r>
      <w:r>
        <w:rPr>
          <w:rFonts w:ascii="Times New Roman" w:hAnsi="Times New Roman" w:cs="Times New Roman"/>
          <w:sz w:val="24"/>
          <w:szCs w:val="24"/>
        </w:rPr>
        <w:t xml:space="preserve"> percent</w:t>
      </w:r>
      <w:r w:rsidR="008F0E33">
        <w:rPr>
          <w:rFonts w:ascii="Times New Roman" w:hAnsi="Times New Roman" w:cs="Times New Roman"/>
          <w:sz w:val="24"/>
          <w:szCs w:val="24"/>
        </w:rPr>
        <w:t xml:space="preserve"> </w:t>
      </w:r>
      <w:r w:rsidR="00712B73">
        <w:rPr>
          <w:rFonts w:ascii="Times New Roman" w:hAnsi="Times New Roman" w:cs="Times New Roman"/>
          <w:sz w:val="24"/>
          <w:szCs w:val="24"/>
        </w:rPr>
        <w:t xml:space="preserve">lower </w:t>
      </w:r>
      <w:r>
        <w:rPr>
          <w:rFonts w:ascii="Times New Roman" w:hAnsi="Times New Roman" w:cs="Times New Roman"/>
          <w:sz w:val="24"/>
          <w:szCs w:val="24"/>
        </w:rPr>
        <w:t xml:space="preserve">for </w:t>
      </w:r>
      <w:r w:rsidR="00096CC9">
        <w:rPr>
          <w:rFonts w:ascii="Times New Roman" w:hAnsi="Times New Roman" w:cs="Times New Roman"/>
          <w:sz w:val="24"/>
          <w:szCs w:val="24"/>
        </w:rPr>
        <w:t xml:space="preserve">those </w:t>
      </w:r>
      <w:r>
        <w:rPr>
          <w:rFonts w:ascii="Times New Roman" w:hAnsi="Times New Roman" w:cs="Times New Roman"/>
          <w:sz w:val="24"/>
          <w:szCs w:val="24"/>
        </w:rPr>
        <w:t>with land 2-5ha and 5-20ha</w:t>
      </w:r>
      <w:r w:rsidR="00096CC9">
        <w:rPr>
          <w:rFonts w:ascii="Times New Roman" w:hAnsi="Times New Roman" w:cs="Times New Roman"/>
          <w:sz w:val="24"/>
          <w:szCs w:val="24"/>
        </w:rPr>
        <w:t>, respectively</w:t>
      </w:r>
      <w:r>
        <w:rPr>
          <w:rFonts w:ascii="Times New Roman" w:hAnsi="Times New Roman" w:cs="Times New Roman"/>
          <w:sz w:val="24"/>
          <w:szCs w:val="24"/>
        </w:rPr>
        <w:t xml:space="preserve">. </w:t>
      </w:r>
      <w:r w:rsidR="00041615">
        <w:rPr>
          <w:rFonts w:ascii="Times New Roman" w:hAnsi="Times New Roman" w:cs="Times New Roman"/>
          <w:sz w:val="24"/>
          <w:szCs w:val="24"/>
        </w:rPr>
        <w:t>The regression</w:t>
      </w:r>
      <w:r w:rsidR="00041615" w:rsidRPr="00041615">
        <w:rPr>
          <w:rFonts w:ascii="Times New Roman" w:hAnsi="Times New Roman" w:cs="Times New Roman"/>
          <w:sz w:val="24"/>
          <w:szCs w:val="24"/>
        </w:rPr>
        <w:t xml:space="preserve"> also shows a significant </w:t>
      </w:r>
      <w:r w:rsidR="00096CC9">
        <w:rPr>
          <w:rFonts w:ascii="Times New Roman" w:hAnsi="Times New Roman" w:cs="Times New Roman"/>
          <w:sz w:val="24"/>
          <w:szCs w:val="24"/>
        </w:rPr>
        <w:t>increase in the predicted probability</w:t>
      </w:r>
      <w:r w:rsidR="00041615" w:rsidRPr="00041615">
        <w:rPr>
          <w:rFonts w:ascii="Times New Roman" w:hAnsi="Times New Roman" w:cs="Times New Roman"/>
          <w:sz w:val="24"/>
          <w:szCs w:val="24"/>
        </w:rPr>
        <w:t xml:space="preserve"> of using fertilizer </w:t>
      </w:r>
      <w:r w:rsidR="008F0E33">
        <w:rPr>
          <w:rFonts w:ascii="Times New Roman" w:hAnsi="Times New Roman" w:cs="Times New Roman"/>
          <w:sz w:val="24"/>
          <w:szCs w:val="24"/>
        </w:rPr>
        <w:t>in</w:t>
      </w:r>
      <w:r w:rsidR="00041615" w:rsidRPr="00041615">
        <w:rPr>
          <w:rFonts w:ascii="Times New Roman" w:hAnsi="Times New Roman" w:cs="Times New Roman"/>
          <w:sz w:val="24"/>
          <w:szCs w:val="24"/>
        </w:rPr>
        <w:t xml:space="preserve"> 201</w:t>
      </w:r>
      <w:r w:rsidR="00A831F9">
        <w:rPr>
          <w:rFonts w:ascii="Times New Roman" w:hAnsi="Times New Roman" w:cs="Times New Roman"/>
          <w:sz w:val="24"/>
          <w:szCs w:val="24"/>
        </w:rPr>
        <w:t>2/1</w:t>
      </w:r>
      <w:r w:rsidR="00041615" w:rsidRPr="00041615">
        <w:rPr>
          <w:rFonts w:ascii="Times New Roman" w:hAnsi="Times New Roman" w:cs="Times New Roman"/>
          <w:sz w:val="24"/>
          <w:szCs w:val="24"/>
        </w:rPr>
        <w:t>3 relative to 2005</w:t>
      </w:r>
      <w:r w:rsidR="00A831F9">
        <w:rPr>
          <w:rFonts w:ascii="Times New Roman" w:hAnsi="Times New Roman" w:cs="Times New Roman"/>
          <w:sz w:val="24"/>
          <w:szCs w:val="24"/>
        </w:rPr>
        <w:t>/06</w:t>
      </w:r>
      <w:r w:rsidR="00041615" w:rsidRPr="00041615">
        <w:rPr>
          <w:rFonts w:ascii="Times New Roman" w:hAnsi="Times New Roman" w:cs="Times New Roman"/>
          <w:sz w:val="24"/>
          <w:szCs w:val="24"/>
        </w:rPr>
        <w:t xml:space="preserve">, suggesting that </w:t>
      </w:r>
      <w:r w:rsidR="00041615">
        <w:rPr>
          <w:rFonts w:ascii="Times New Roman" w:hAnsi="Times New Roman" w:cs="Times New Roman"/>
          <w:sz w:val="24"/>
          <w:szCs w:val="24"/>
        </w:rPr>
        <w:t xml:space="preserve">fertilizer subsidy introduced </w:t>
      </w:r>
      <w:r w:rsidR="00A03B1B">
        <w:rPr>
          <w:rFonts w:ascii="Times New Roman" w:hAnsi="Times New Roman" w:cs="Times New Roman"/>
          <w:sz w:val="24"/>
          <w:szCs w:val="24"/>
        </w:rPr>
        <w:t>since</w:t>
      </w:r>
      <w:r w:rsidR="00041615">
        <w:rPr>
          <w:rFonts w:ascii="Times New Roman" w:hAnsi="Times New Roman" w:cs="Times New Roman"/>
          <w:sz w:val="24"/>
          <w:szCs w:val="24"/>
        </w:rPr>
        <w:t xml:space="preserve"> 200</w:t>
      </w:r>
      <w:r w:rsidR="00A03B1B">
        <w:rPr>
          <w:rFonts w:ascii="Times New Roman" w:hAnsi="Times New Roman" w:cs="Times New Roman"/>
          <w:sz w:val="24"/>
          <w:szCs w:val="24"/>
        </w:rPr>
        <w:t>7/0</w:t>
      </w:r>
      <w:r w:rsidR="00041615">
        <w:rPr>
          <w:rFonts w:ascii="Times New Roman" w:hAnsi="Times New Roman" w:cs="Times New Roman"/>
          <w:sz w:val="24"/>
          <w:szCs w:val="24"/>
        </w:rPr>
        <w:t xml:space="preserve">8 could be </w:t>
      </w:r>
      <w:r w:rsidR="00096CC9">
        <w:rPr>
          <w:rFonts w:ascii="Times New Roman" w:hAnsi="Times New Roman" w:cs="Times New Roman"/>
          <w:sz w:val="24"/>
          <w:szCs w:val="24"/>
        </w:rPr>
        <w:t>leading to more fertilizer use</w:t>
      </w:r>
      <w:r w:rsidR="00041615">
        <w:rPr>
          <w:rFonts w:ascii="Times New Roman" w:hAnsi="Times New Roman" w:cs="Times New Roman"/>
          <w:sz w:val="24"/>
          <w:szCs w:val="24"/>
        </w:rPr>
        <w:t xml:space="preserve"> among </w:t>
      </w:r>
      <w:r w:rsidR="00096CC9">
        <w:rPr>
          <w:rFonts w:ascii="Times New Roman" w:hAnsi="Times New Roman" w:cs="Times New Roman"/>
          <w:sz w:val="24"/>
          <w:szCs w:val="24"/>
        </w:rPr>
        <w:t xml:space="preserve">all types of </w:t>
      </w:r>
      <w:r w:rsidR="00041615">
        <w:rPr>
          <w:rFonts w:ascii="Times New Roman" w:hAnsi="Times New Roman" w:cs="Times New Roman"/>
          <w:sz w:val="24"/>
          <w:szCs w:val="24"/>
        </w:rPr>
        <w:t>farm households</w:t>
      </w:r>
      <w:r w:rsidR="00041615" w:rsidRPr="00041615">
        <w:rPr>
          <w:rFonts w:ascii="Times New Roman" w:hAnsi="Times New Roman" w:cs="Times New Roman"/>
          <w:sz w:val="24"/>
          <w:szCs w:val="24"/>
        </w:rPr>
        <w:t>.</w:t>
      </w:r>
    </w:p>
    <w:p w14:paraId="733DAB04" w14:textId="06656574" w:rsidR="00885C58" w:rsidRDefault="00A831F9" w:rsidP="00BC6A13">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In terms of education, t</w:t>
      </w:r>
      <w:r w:rsidR="002E6584">
        <w:rPr>
          <w:rFonts w:ascii="Times New Roman" w:hAnsi="Times New Roman" w:cs="Times New Roman"/>
          <w:sz w:val="24"/>
          <w:szCs w:val="24"/>
        </w:rPr>
        <w:t xml:space="preserve">he </w:t>
      </w:r>
      <w:proofErr w:type="spellStart"/>
      <w:r w:rsidR="002E6584">
        <w:rPr>
          <w:rFonts w:ascii="Times New Roman" w:hAnsi="Times New Roman" w:cs="Times New Roman"/>
          <w:sz w:val="24"/>
          <w:szCs w:val="24"/>
        </w:rPr>
        <w:t>probit</w:t>
      </w:r>
      <w:proofErr w:type="spellEnd"/>
      <w:r w:rsidR="002E6584">
        <w:rPr>
          <w:rFonts w:ascii="Times New Roman" w:hAnsi="Times New Roman" w:cs="Times New Roman"/>
          <w:sz w:val="24"/>
          <w:szCs w:val="24"/>
        </w:rPr>
        <w:t xml:space="preserve"> analysis shows that </w:t>
      </w:r>
      <w:r>
        <w:rPr>
          <w:rFonts w:ascii="Times New Roman" w:hAnsi="Times New Roman" w:cs="Times New Roman"/>
          <w:sz w:val="24"/>
          <w:szCs w:val="24"/>
        </w:rPr>
        <w:t xml:space="preserve">for the </w:t>
      </w:r>
      <w:r w:rsidR="00A03B1B">
        <w:rPr>
          <w:rFonts w:ascii="Times New Roman" w:hAnsi="Times New Roman" w:cs="Times New Roman"/>
          <w:sz w:val="24"/>
          <w:szCs w:val="24"/>
        </w:rPr>
        <w:t xml:space="preserve">farm households whose heads are </w:t>
      </w:r>
      <w:r>
        <w:rPr>
          <w:rFonts w:ascii="Times New Roman" w:hAnsi="Times New Roman" w:cs="Times New Roman"/>
          <w:sz w:val="24"/>
          <w:szCs w:val="24"/>
        </w:rPr>
        <w:t xml:space="preserve">more </w:t>
      </w:r>
      <w:r w:rsidR="002E6584">
        <w:rPr>
          <w:rFonts w:ascii="Times New Roman" w:hAnsi="Times New Roman" w:cs="Times New Roman"/>
          <w:sz w:val="24"/>
          <w:szCs w:val="24"/>
        </w:rPr>
        <w:t>educat</w:t>
      </w:r>
      <w:r w:rsidR="009F0B8B">
        <w:rPr>
          <w:rFonts w:ascii="Times New Roman" w:hAnsi="Times New Roman" w:cs="Times New Roman"/>
          <w:sz w:val="24"/>
          <w:szCs w:val="24"/>
        </w:rPr>
        <w:t xml:space="preserve">ed, particularly </w:t>
      </w:r>
      <w:r w:rsidR="00885C58">
        <w:rPr>
          <w:rFonts w:ascii="Times New Roman" w:hAnsi="Times New Roman" w:cs="Times New Roman"/>
          <w:sz w:val="24"/>
          <w:szCs w:val="24"/>
        </w:rPr>
        <w:t xml:space="preserve">for </w:t>
      </w:r>
      <w:r w:rsidR="009F0B8B">
        <w:rPr>
          <w:rFonts w:ascii="Times New Roman" w:hAnsi="Times New Roman" w:cs="Times New Roman"/>
          <w:sz w:val="24"/>
          <w:szCs w:val="24"/>
        </w:rPr>
        <w:t>those completing secondary education,</w:t>
      </w:r>
      <w:r w:rsidR="002E658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F0B8B">
        <w:rPr>
          <w:rFonts w:ascii="Times New Roman" w:hAnsi="Times New Roman" w:cs="Times New Roman"/>
          <w:sz w:val="24"/>
          <w:szCs w:val="24"/>
        </w:rPr>
        <w:t>probability</w:t>
      </w:r>
      <w:r w:rsidR="002E6584">
        <w:rPr>
          <w:rFonts w:ascii="Times New Roman" w:hAnsi="Times New Roman" w:cs="Times New Roman"/>
          <w:sz w:val="24"/>
          <w:szCs w:val="24"/>
        </w:rPr>
        <w:t xml:space="preserve"> </w:t>
      </w:r>
      <w:r>
        <w:rPr>
          <w:rFonts w:ascii="Times New Roman" w:hAnsi="Times New Roman" w:cs="Times New Roman"/>
          <w:sz w:val="24"/>
          <w:szCs w:val="24"/>
        </w:rPr>
        <w:t>of</w:t>
      </w:r>
      <w:r w:rsidR="002E6584">
        <w:rPr>
          <w:rFonts w:ascii="Times New Roman" w:hAnsi="Times New Roman" w:cs="Times New Roman"/>
          <w:sz w:val="24"/>
          <w:szCs w:val="24"/>
        </w:rPr>
        <w:t xml:space="preserve"> use fertilizer</w:t>
      </w:r>
      <w:r>
        <w:rPr>
          <w:rFonts w:ascii="Times New Roman" w:hAnsi="Times New Roman" w:cs="Times New Roman"/>
          <w:sz w:val="24"/>
          <w:szCs w:val="24"/>
        </w:rPr>
        <w:t xml:space="preserve"> increases compared with the </w:t>
      </w:r>
      <w:r w:rsidR="00096CC9">
        <w:rPr>
          <w:rFonts w:ascii="Times New Roman" w:hAnsi="Times New Roman" w:cs="Times New Roman"/>
          <w:sz w:val="24"/>
          <w:szCs w:val="24"/>
        </w:rPr>
        <w:t>less</w:t>
      </w:r>
      <w:r>
        <w:rPr>
          <w:rFonts w:ascii="Times New Roman" w:hAnsi="Times New Roman" w:cs="Times New Roman"/>
          <w:sz w:val="24"/>
          <w:szCs w:val="24"/>
        </w:rPr>
        <w:t xml:space="preserve"> </w:t>
      </w:r>
      <w:r w:rsidR="00C31403">
        <w:rPr>
          <w:rFonts w:ascii="Times New Roman" w:hAnsi="Times New Roman" w:cs="Times New Roman"/>
          <w:sz w:val="24"/>
          <w:szCs w:val="24"/>
        </w:rPr>
        <w:t xml:space="preserve">educated </w:t>
      </w:r>
      <w:r>
        <w:rPr>
          <w:rFonts w:ascii="Times New Roman" w:hAnsi="Times New Roman" w:cs="Times New Roman"/>
          <w:sz w:val="24"/>
          <w:szCs w:val="24"/>
        </w:rPr>
        <w:lastRenderedPageBreak/>
        <w:t>ones</w:t>
      </w:r>
      <w:r w:rsidR="002E6584">
        <w:rPr>
          <w:rFonts w:ascii="Times New Roman" w:hAnsi="Times New Roman" w:cs="Times New Roman"/>
          <w:sz w:val="24"/>
          <w:szCs w:val="24"/>
        </w:rPr>
        <w:t xml:space="preserve">. </w:t>
      </w:r>
      <w:r w:rsidR="009F0B8B">
        <w:rPr>
          <w:rFonts w:ascii="Times New Roman" w:hAnsi="Times New Roman" w:cs="Times New Roman"/>
          <w:sz w:val="24"/>
          <w:szCs w:val="24"/>
        </w:rPr>
        <w:t xml:space="preserve">On the other hand, </w:t>
      </w:r>
      <w:r w:rsidR="00C31403">
        <w:rPr>
          <w:rFonts w:ascii="Times New Roman" w:hAnsi="Times New Roman" w:cs="Times New Roman"/>
          <w:sz w:val="24"/>
          <w:szCs w:val="24"/>
        </w:rPr>
        <w:t xml:space="preserve">the dummy variable for youth headed households only significantly affects the probability of fertilizer use through its interaction with the year dummy; </w:t>
      </w:r>
      <w:r w:rsidR="00CE7E32">
        <w:rPr>
          <w:rFonts w:ascii="Times New Roman" w:hAnsi="Times New Roman" w:cs="Times New Roman"/>
          <w:sz w:val="24"/>
          <w:szCs w:val="24"/>
        </w:rPr>
        <w:t>this suggests</w:t>
      </w:r>
      <w:r w:rsidR="00C31403">
        <w:rPr>
          <w:rFonts w:ascii="Times New Roman" w:hAnsi="Times New Roman" w:cs="Times New Roman"/>
          <w:sz w:val="24"/>
          <w:szCs w:val="24"/>
        </w:rPr>
        <w:t xml:space="preserve"> </w:t>
      </w:r>
      <w:r w:rsidR="00096CC9">
        <w:rPr>
          <w:rFonts w:ascii="Times New Roman" w:hAnsi="Times New Roman" w:cs="Times New Roman"/>
          <w:sz w:val="24"/>
          <w:szCs w:val="24"/>
        </w:rPr>
        <w:t xml:space="preserve">that youth </w:t>
      </w:r>
      <w:r w:rsidR="00CE7E32">
        <w:rPr>
          <w:rFonts w:ascii="Times New Roman" w:hAnsi="Times New Roman" w:cs="Times New Roman"/>
          <w:sz w:val="24"/>
          <w:szCs w:val="24"/>
        </w:rPr>
        <w:t xml:space="preserve">headed households </w:t>
      </w:r>
      <w:r w:rsidR="00096CC9">
        <w:rPr>
          <w:rFonts w:ascii="Times New Roman" w:hAnsi="Times New Roman" w:cs="Times New Roman"/>
          <w:sz w:val="24"/>
          <w:szCs w:val="24"/>
        </w:rPr>
        <w:t>only started having a higher probability of using fertilizer in recent years.</w:t>
      </w:r>
    </w:p>
    <w:p w14:paraId="70CF51D7" w14:textId="1C969A38" w:rsidR="003D10C4" w:rsidRDefault="00E70A30" w:rsidP="00EF7FD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results for the use of herbicides/</w:t>
      </w:r>
      <w:r w:rsidR="00A03B1B">
        <w:rPr>
          <w:rFonts w:ascii="Times New Roman" w:hAnsi="Times New Roman" w:cs="Times New Roman"/>
          <w:sz w:val="24"/>
          <w:szCs w:val="24"/>
        </w:rPr>
        <w:t>insecticides</w:t>
      </w:r>
      <w:r>
        <w:rPr>
          <w:rFonts w:ascii="Times New Roman" w:hAnsi="Times New Roman" w:cs="Times New Roman"/>
          <w:sz w:val="24"/>
          <w:szCs w:val="24"/>
        </w:rPr>
        <w:t xml:space="preserve">, hiring labor and </w:t>
      </w:r>
      <w:r w:rsidR="00A03B1B">
        <w:rPr>
          <w:rFonts w:ascii="Times New Roman" w:hAnsi="Times New Roman" w:cs="Times New Roman"/>
          <w:sz w:val="24"/>
          <w:szCs w:val="24"/>
        </w:rPr>
        <w:t xml:space="preserve">use of </w:t>
      </w:r>
      <w:r>
        <w:rPr>
          <w:rFonts w:ascii="Times New Roman" w:hAnsi="Times New Roman" w:cs="Times New Roman"/>
          <w:sz w:val="24"/>
          <w:szCs w:val="24"/>
        </w:rPr>
        <w:t>mechanization are not always consistent with the results for fertilizer adoption, except for the relationship</w:t>
      </w:r>
      <w:r w:rsidR="00A03B1B">
        <w:rPr>
          <w:rFonts w:ascii="Times New Roman" w:hAnsi="Times New Roman" w:cs="Times New Roman"/>
          <w:sz w:val="24"/>
          <w:szCs w:val="24"/>
        </w:rPr>
        <w:t>s</w:t>
      </w:r>
      <w:r>
        <w:rPr>
          <w:rFonts w:ascii="Times New Roman" w:hAnsi="Times New Roman" w:cs="Times New Roman"/>
          <w:sz w:val="24"/>
          <w:szCs w:val="24"/>
        </w:rPr>
        <w:t xml:space="preserve"> </w:t>
      </w:r>
      <w:r w:rsidR="00A03B1B">
        <w:rPr>
          <w:rFonts w:ascii="Times New Roman" w:hAnsi="Times New Roman" w:cs="Times New Roman"/>
          <w:sz w:val="24"/>
          <w:szCs w:val="24"/>
        </w:rPr>
        <w:t>between</w:t>
      </w:r>
      <w:r>
        <w:rPr>
          <w:rFonts w:ascii="Times New Roman" w:hAnsi="Times New Roman" w:cs="Times New Roman"/>
          <w:sz w:val="24"/>
          <w:szCs w:val="24"/>
        </w:rPr>
        <w:t xml:space="preserve"> farm size or education level of household heads</w:t>
      </w:r>
      <w:r w:rsidR="00A03B1B">
        <w:rPr>
          <w:rFonts w:ascii="Times New Roman" w:hAnsi="Times New Roman" w:cs="Times New Roman"/>
          <w:sz w:val="24"/>
          <w:szCs w:val="24"/>
        </w:rPr>
        <w:t xml:space="preserve"> and use of such inputs</w:t>
      </w:r>
      <w:r>
        <w:rPr>
          <w:rFonts w:ascii="Times New Roman" w:hAnsi="Times New Roman" w:cs="Times New Roman"/>
          <w:sz w:val="24"/>
          <w:szCs w:val="24"/>
        </w:rPr>
        <w:t xml:space="preserve">. That is, in general, the smaller the farm size, the less likely for </w:t>
      </w:r>
      <w:r w:rsidR="00A03B1B">
        <w:rPr>
          <w:rFonts w:ascii="Times New Roman" w:hAnsi="Times New Roman" w:cs="Times New Roman"/>
          <w:sz w:val="24"/>
          <w:szCs w:val="24"/>
        </w:rPr>
        <w:t>farm</w:t>
      </w:r>
      <w:r>
        <w:rPr>
          <w:rFonts w:ascii="Times New Roman" w:hAnsi="Times New Roman" w:cs="Times New Roman"/>
          <w:sz w:val="24"/>
          <w:szCs w:val="24"/>
        </w:rPr>
        <w:t xml:space="preserve"> households to use herbicides/</w:t>
      </w:r>
      <w:r w:rsidR="00A03B1B">
        <w:rPr>
          <w:rFonts w:ascii="Times New Roman" w:hAnsi="Times New Roman" w:cs="Times New Roman"/>
          <w:sz w:val="24"/>
          <w:szCs w:val="24"/>
        </w:rPr>
        <w:t>insecticides</w:t>
      </w:r>
      <w:r>
        <w:rPr>
          <w:rFonts w:ascii="Times New Roman" w:hAnsi="Times New Roman" w:cs="Times New Roman"/>
          <w:sz w:val="24"/>
          <w:szCs w:val="24"/>
        </w:rPr>
        <w:t xml:space="preserve">, to hire labor and </w:t>
      </w:r>
      <w:r w:rsidR="00A03B1B">
        <w:rPr>
          <w:rFonts w:ascii="Times New Roman" w:hAnsi="Times New Roman" w:cs="Times New Roman"/>
          <w:sz w:val="24"/>
          <w:szCs w:val="24"/>
        </w:rPr>
        <w:t>to use machinery</w:t>
      </w:r>
      <w:r>
        <w:rPr>
          <w:rFonts w:ascii="Times New Roman" w:hAnsi="Times New Roman" w:cs="Times New Roman"/>
          <w:sz w:val="24"/>
          <w:szCs w:val="24"/>
        </w:rPr>
        <w:t xml:space="preserve">. Similarly </w:t>
      </w:r>
      <w:r w:rsidR="00096CC9">
        <w:rPr>
          <w:rFonts w:ascii="Times New Roman" w:hAnsi="Times New Roman" w:cs="Times New Roman"/>
          <w:sz w:val="24"/>
          <w:szCs w:val="24"/>
        </w:rPr>
        <w:t>to</w:t>
      </w:r>
      <w:r>
        <w:rPr>
          <w:rFonts w:ascii="Times New Roman" w:hAnsi="Times New Roman" w:cs="Times New Roman"/>
          <w:sz w:val="24"/>
          <w:szCs w:val="24"/>
        </w:rPr>
        <w:t xml:space="preserve"> fertilizer use, the more educated the household heads</w:t>
      </w:r>
      <w:r w:rsidR="00A03B1B">
        <w:rPr>
          <w:rFonts w:ascii="Times New Roman" w:hAnsi="Times New Roman" w:cs="Times New Roman"/>
          <w:sz w:val="24"/>
          <w:szCs w:val="24"/>
        </w:rPr>
        <w:t xml:space="preserve"> are</w:t>
      </w:r>
      <w:r>
        <w:rPr>
          <w:rFonts w:ascii="Times New Roman" w:hAnsi="Times New Roman" w:cs="Times New Roman"/>
          <w:sz w:val="24"/>
          <w:szCs w:val="24"/>
        </w:rPr>
        <w:t xml:space="preserve">, the higher the probability of such households </w:t>
      </w:r>
      <w:r w:rsidR="00096CC9">
        <w:rPr>
          <w:rFonts w:ascii="Times New Roman" w:hAnsi="Times New Roman" w:cs="Times New Roman"/>
          <w:sz w:val="24"/>
          <w:szCs w:val="24"/>
        </w:rPr>
        <w:t>using</w:t>
      </w:r>
      <w:r w:rsidR="00A03B1B">
        <w:rPr>
          <w:rFonts w:ascii="Times New Roman" w:hAnsi="Times New Roman" w:cs="Times New Roman"/>
          <w:sz w:val="24"/>
          <w:szCs w:val="24"/>
        </w:rPr>
        <w:t xml:space="preserve"> </w:t>
      </w:r>
      <w:r>
        <w:rPr>
          <w:rFonts w:ascii="Times New Roman" w:hAnsi="Times New Roman" w:cs="Times New Roman"/>
          <w:sz w:val="24"/>
          <w:szCs w:val="24"/>
        </w:rPr>
        <w:t>other modern inputs</w:t>
      </w:r>
      <w:r w:rsidR="00A03B1B">
        <w:rPr>
          <w:rFonts w:ascii="Times New Roman" w:hAnsi="Times New Roman" w:cs="Times New Roman"/>
          <w:sz w:val="24"/>
          <w:szCs w:val="24"/>
        </w:rPr>
        <w:t>,</w:t>
      </w:r>
      <w:r>
        <w:rPr>
          <w:rFonts w:ascii="Times New Roman" w:hAnsi="Times New Roman" w:cs="Times New Roman"/>
          <w:sz w:val="24"/>
          <w:szCs w:val="24"/>
        </w:rPr>
        <w:t xml:space="preserve"> hire</w:t>
      </w:r>
      <w:r w:rsidR="00A03B1B">
        <w:rPr>
          <w:rFonts w:ascii="Times New Roman" w:hAnsi="Times New Roman" w:cs="Times New Roman"/>
          <w:sz w:val="24"/>
          <w:szCs w:val="24"/>
        </w:rPr>
        <w:t>d</w:t>
      </w:r>
      <w:r>
        <w:rPr>
          <w:rFonts w:ascii="Times New Roman" w:hAnsi="Times New Roman" w:cs="Times New Roman"/>
          <w:sz w:val="24"/>
          <w:szCs w:val="24"/>
        </w:rPr>
        <w:t xml:space="preserve"> labor or </w:t>
      </w:r>
      <w:r w:rsidR="00A03B1B">
        <w:rPr>
          <w:rFonts w:ascii="Times New Roman" w:hAnsi="Times New Roman" w:cs="Times New Roman"/>
          <w:sz w:val="24"/>
          <w:szCs w:val="24"/>
        </w:rPr>
        <w:t>mechanization</w:t>
      </w:r>
      <w:r>
        <w:rPr>
          <w:rFonts w:ascii="Times New Roman" w:hAnsi="Times New Roman" w:cs="Times New Roman"/>
          <w:sz w:val="24"/>
          <w:szCs w:val="24"/>
        </w:rPr>
        <w:t>.</w:t>
      </w:r>
    </w:p>
    <w:p w14:paraId="79845771" w14:textId="0FE5E3C6" w:rsidR="00096CC9" w:rsidRDefault="00CF1182" w:rsidP="00096CC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terms of the relationship between input use and farm size, the </w:t>
      </w:r>
      <w:r w:rsidR="00096CC9">
        <w:rPr>
          <w:rFonts w:ascii="Times New Roman" w:hAnsi="Times New Roman" w:cs="Times New Roman"/>
          <w:sz w:val="24"/>
          <w:szCs w:val="24"/>
        </w:rPr>
        <w:t>results</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analysis </w:t>
      </w:r>
      <w:r w:rsidR="00096CC9">
        <w:rPr>
          <w:rFonts w:ascii="Times New Roman" w:hAnsi="Times New Roman" w:cs="Times New Roman"/>
          <w:sz w:val="24"/>
          <w:szCs w:val="24"/>
        </w:rPr>
        <w:t>are</w:t>
      </w:r>
      <w:r>
        <w:rPr>
          <w:rFonts w:ascii="Times New Roman" w:hAnsi="Times New Roman" w:cs="Times New Roman"/>
          <w:sz w:val="24"/>
          <w:szCs w:val="24"/>
        </w:rPr>
        <w:t xml:space="preserve"> consistent with</w:t>
      </w:r>
      <w:r w:rsidRPr="00CD704D">
        <w:rPr>
          <w:rFonts w:ascii="Times New Roman" w:hAnsi="Times New Roman" w:cs="Times New Roman"/>
          <w:sz w:val="24"/>
          <w:szCs w:val="24"/>
        </w:rPr>
        <w:t xml:space="preserve"> findings from the village narratives</w:t>
      </w:r>
      <w:r>
        <w:rPr>
          <w:rFonts w:ascii="Times New Roman" w:hAnsi="Times New Roman" w:cs="Times New Roman"/>
          <w:sz w:val="24"/>
          <w:szCs w:val="24"/>
        </w:rPr>
        <w:t xml:space="preserve"> in Chapter </w:t>
      </w:r>
      <w:r w:rsidR="00D52F18">
        <w:rPr>
          <w:rFonts w:ascii="Times New Roman" w:hAnsi="Times New Roman" w:cs="Times New Roman"/>
          <w:sz w:val="24"/>
          <w:szCs w:val="24"/>
        </w:rPr>
        <w:t>7</w:t>
      </w:r>
      <w:r w:rsidR="00D52F18" w:rsidRPr="00CD704D">
        <w:rPr>
          <w:rFonts w:ascii="Times New Roman" w:hAnsi="Times New Roman" w:cs="Times New Roman"/>
          <w:sz w:val="24"/>
          <w:szCs w:val="24"/>
        </w:rPr>
        <w:t xml:space="preserve"> </w:t>
      </w:r>
      <w:r>
        <w:rPr>
          <w:rFonts w:ascii="Times New Roman" w:hAnsi="Times New Roman" w:cs="Times New Roman"/>
          <w:sz w:val="24"/>
          <w:szCs w:val="24"/>
        </w:rPr>
        <w:t>that f</w:t>
      </w:r>
      <w:r w:rsidRPr="00CD704D">
        <w:rPr>
          <w:rFonts w:ascii="Times New Roman" w:hAnsi="Times New Roman" w:cs="Times New Roman"/>
          <w:sz w:val="24"/>
          <w:szCs w:val="24"/>
        </w:rPr>
        <w:t>arm</w:t>
      </w:r>
      <w:r>
        <w:rPr>
          <w:rFonts w:ascii="Times New Roman" w:hAnsi="Times New Roman" w:cs="Times New Roman"/>
          <w:sz w:val="24"/>
          <w:szCs w:val="24"/>
        </w:rPr>
        <w:t>er</w:t>
      </w:r>
      <w:r w:rsidRPr="00CD704D">
        <w:rPr>
          <w:rFonts w:ascii="Times New Roman" w:hAnsi="Times New Roman" w:cs="Times New Roman"/>
          <w:sz w:val="24"/>
          <w:szCs w:val="24"/>
        </w:rPr>
        <w:t>s in the</w:t>
      </w:r>
      <w:r>
        <w:rPr>
          <w:rFonts w:ascii="Times New Roman" w:hAnsi="Times New Roman" w:cs="Times New Roman"/>
          <w:sz w:val="24"/>
          <w:szCs w:val="24"/>
        </w:rPr>
        <w:t xml:space="preserve"> savanna and transition zones</w:t>
      </w:r>
      <w:r w:rsidRPr="00CD704D">
        <w:rPr>
          <w:rFonts w:ascii="Times New Roman" w:hAnsi="Times New Roman" w:cs="Times New Roman"/>
          <w:sz w:val="24"/>
          <w:szCs w:val="24"/>
        </w:rPr>
        <w:t xml:space="preserve"> are </w:t>
      </w:r>
      <w:r>
        <w:rPr>
          <w:rFonts w:ascii="Times New Roman" w:hAnsi="Times New Roman" w:cs="Times New Roman"/>
          <w:sz w:val="24"/>
          <w:szCs w:val="24"/>
        </w:rPr>
        <w:t xml:space="preserve">cropping </w:t>
      </w:r>
      <w:r w:rsidRPr="00CD704D">
        <w:rPr>
          <w:rFonts w:ascii="Times New Roman" w:hAnsi="Times New Roman" w:cs="Times New Roman"/>
          <w:sz w:val="24"/>
          <w:szCs w:val="24"/>
        </w:rPr>
        <w:t xml:space="preserve">larger </w:t>
      </w:r>
      <w:r>
        <w:rPr>
          <w:rFonts w:ascii="Times New Roman" w:hAnsi="Times New Roman" w:cs="Times New Roman"/>
          <w:sz w:val="24"/>
          <w:szCs w:val="24"/>
        </w:rPr>
        <w:t xml:space="preserve">areas </w:t>
      </w:r>
      <w:r w:rsidRPr="00CD704D">
        <w:rPr>
          <w:rFonts w:ascii="Times New Roman" w:hAnsi="Times New Roman" w:cs="Times New Roman"/>
          <w:sz w:val="24"/>
          <w:szCs w:val="24"/>
        </w:rPr>
        <w:t xml:space="preserve">and </w:t>
      </w:r>
      <w:r>
        <w:rPr>
          <w:rFonts w:ascii="Times New Roman" w:hAnsi="Times New Roman" w:cs="Times New Roman"/>
          <w:sz w:val="24"/>
          <w:szCs w:val="24"/>
        </w:rPr>
        <w:t>using mechanization to reduce labor requirements, and fertilizer to offset soil fertility losses on land with shortened fallow periods</w:t>
      </w:r>
      <w:r w:rsidRPr="00CD704D">
        <w:rPr>
          <w:rFonts w:ascii="Times New Roman" w:hAnsi="Times New Roman" w:cs="Times New Roman"/>
          <w:sz w:val="24"/>
          <w:szCs w:val="24"/>
        </w:rPr>
        <w:t>.</w:t>
      </w:r>
      <w:r>
        <w:rPr>
          <w:rFonts w:ascii="Times New Roman" w:hAnsi="Times New Roman" w:cs="Times New Roman"/>
          <w:sz w:val="24"/>
          <w:szCs w:val="24"/>
        </w:rPr>
        <w:t xml:space="preserve"> </w:t>
      </w:r>
    </w:p>
    <w:p w14:paraId="4AC34FAC" w14:textId="410A8A60" w:rsidR="006B533B" w:rsidRDefault="00B3508E" w:rsidP="00EF7FD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While predicted probabilities of fertilizer, herbicide/insecticide and mechanization use are higher in 2012/13, they are lower for hired labor use.</w:t>
      </w:r>
      <w:r w:rsidR="006B533B">
        <w:rPr>
          <w:rFonts w:ascii="Times New Roman" w:hAnsi="Times New Roman" w:cs="Times New Roman"/>
          <w:sz w:val="24"/>
          <w:szCs w:val="24"/>
        </w:rPr>
        <w:t xml:space="preserve"> </w:t>
      </w:r>
      <w:r>
        <w:rPr>
          <w:rFonts w:ascii="Times New Roman" w:hAnsi="Times New Roman" w:cs="Times New Roman"/>
          <w:sz w:val="24"/>
          <w:szCs w:val="24"/>
        </w:rPr>
        <w:t>From 2005/06 to</w:t>
      </w:r>
      <w:r w:rsidR="00D52F18">
        <w:rPr>
          <w:rFonts w:ascii="Times New Roman" w:hAnsi="Times New Roman" w:cs="Times New Roman"/>
          <w:sz w:val="24"/>
          <w:szCs w:val="24"/>
        </w:rPr>
        <w:t xml:space="preserve"> </w:t>
      </w:r>
      <w:r w:rsidR="006B533B">
        <w:rPr>
          <w:rFonts w:ascii="Times New Roman" w:hAnsi="Times New Roman" w:cs="Times New Roman"/>
          <w:sz w:val="24"/>
          <w:szCs w:val="24"/>
        </w:rPr>
        <w:t xml:space="preserve">2012/13, </w:t>
      </w:r>
      <w:r>
        <w:rPr>
          <w:rFonts w:ascii="Times New Roman" w:hAnsi="Times New Roman" w:cs="Times New Roman"/>
          <w:sz w:val="24"/>
          <w:szCs w:val="24"/>
        </w:rPr>
        <w:t xml:space="preserve">the predicted </w:t>
      </w:r>
      <w:r w:rsidR="006B533B">
        <w:rPr>
          <w:rFonts w:ascii="Times New Roman" w:hAnsi="Times New Roman" w:cs="Times New Roman"/>
          <w:sz w:val="24"/>
          <w:szCs w:val="24"/>
        </w:rPr>
        <w:t>probability</w:t>
      </w:r>
      <w:r>
        <w:rPr>
          <w:rFonts w:ascii="Times New Roman" w:hAnsi="Times New Roman" w:cs="Times New Roman"/>
          <w:sz w:val="24"/>
          <w:szCs w:val="24"/>
        </w:rPr>
        <w:t xml:space="preserve"> of using herbicides/insecticides and mechanization</w:t>
      </w:r>
      <w:r w:rsidR="006B533B">
        <w:rPr>
          <w:rFonts w:ascii="Times New Roman" w:hAnsi="Times New Roman" w:cs="Times New Roman"/>
          <w:sz w:val="24"/>
          <w:szCs w:val="24"/>
        </w:rPr>
        <w:t xml:space="preserve"> increases by 34.6 percent and 14.9 percent</w:t>
      </w:r>
      <w:r>
        <w:rPr>
          <w:rFonts w:ascii="Times New Roman" w:hAnsi="Times New Roman" w:cs="Times New Roman"/>
          <w:sz w:val="24"/>
          <w:szCs w:val="24"/>
        </w:rPr>
        <w:t>, respectively, while the predicted probability of hiring labor decreases</w:t>
      </w:r>
      <w:r w:rsidR="00CE7E32">
        <w:rPr>
          <w:rFonts w:ascii="Times New Roman" w:hAnsi="Times New Roman" w:cs="Times New Roman"/>
          <w:sz w:val="24"/>
          <w:szCs w:val="24"/>
        </w:rPr>
        <w:t xml:space="preserve"> </w:t>
      </w:r>
      <w:r>
        <w:rPr>
          <w:rFonts w:ascii="Times New Roman" w:hAnsi="Times New Roman" w:cs="Times New Roman"/>
          <w:sz w:val="24"/>
          <w:szCs w:val="24"/>
        </w:rPr>
        <w:t>by</w:t>
      </w:r>
      <w:r w:rsidR="00CE7E32">
        <w:rPr>
          <w:rFonts w:ascii="Times New Roman" w:hAnsi="Times New Roman" w:cs="Times New Roman"/>
          <w:sz w:val="24"/>
          <w:szCs w:val="24"/>
        </w:rPr>
        <w:t xml:space="preserve"> </w:t>
      </w:r>
      <w:r w:rsidR="006B533B">
        <w:rPr>
          <w:rFonts w:ascii="Times New Roman" w:hAnsi="Times New Roman" w:cs="Times New Roman"/>
          <w:sz w:val="24"/>
          <w:szCs w:val="24"/>
        </w:rPr>
        <w:t>7.43</w:t>
      </w:r>
      <w:r w:rsidR="00CE7E32">
        <w:rPr>
          <w:rFonts w:ascii="Times New Roman" w:hAnsi="Times New Roman" w:cs="Times New Roman"/>
          <w:sz w:val="24"/>
          <w:szCs w:val="24"/>
        </w:rPr>
        <w:t xml:space="preserve"> percent</w:t>
      </w:r>
      <w:r w:rsidR="006B533B">
        <w:rPr>
          <w:rFonts w:ascii="Times New Roman" w:hAnsi="Times New Roman" w:cs="Times New Roman"/>
          <w:sz w:val="24"/>
          <w:szCs w:val="24"/>
        </w:rPr>
        <w:t xml:space="preserve">, indicating a possible substitution </w:t>
      </w:r>
      <w:r w:rsidR="00A03B1B">
        <w:rPr>
          <w:rFonts w:ascii="Times New Roman" w:hAnsi="Times New Roman" w:cs="Times New Roman"/>
          <w:sz w:val="24"/>
          <w:szCs w:val="24"/>
        </w:rPr>
        <w:t xml:space="preserve">of labor by </w:t>
      </w:r>
      <w:r w:rsidR="006B533B">
        <w:rPr>
          <w:rFonts w:ascii="Times New Roman" w:hAnsi="Times New Roman" w:cs="Times New Roman"/>
          <w:sz w:val="24"/>
          <w:szCs w:val="24"/>
        </w:rPr>
        <w:t>machinery</w:t>
      </w:r>
      <w:r>
        <w:rPr>
          <w:rFonts w:ascii="Times New Roman" w:hAnsi="Times New Roman" w:cs="Times New Roman"/>
          <w:sz w:val="24"/>
          <w:szCs w:val="24"/>
        </w:rPr>
        <w:t xml:space="preserve"> and herbicides</w:t>
      </w:r>
      <w:r w:rsidR="006B533B">
        <w:rPr>
          <w:rFonts w:ascii="Times New Roman" w:hAnsi="Times New Roman" w:cs="Times New Roman"/>
          <w:sz w:val="24"/>
          <w:szCs w:val="24"/>
        </w:rPr>
        <w:t xml:space="preserve">.   </w:t>
      </w:r>
    </w:p>
    <w:p w14:paraId="084DF946" w14:textId="3C9BD2C2" w:rsidR="00CA1152" w:rsidRPr="004B4D29" w:rsidRDefault="00CA1152" w:rsidP="00B3508E">
      <w:pPr>
        <w:widowControl w:val="0"/>
        <w:autoSpaceDE w:val="0"/>
        <w:autoSpaceDN w:val="0"/>
        <w:adjustRightInd w:val="0"/>
        <w:spacing w:after="240" w:line="360" w:lineRule="auto"/>
        <w:ind w:firstLine="720"/>
        <w:jc w:val="both"/>
        <w:rPr>
          <w:rFonts w:ascii="Times New Roman" w:hAnsi="Times New Roman" w:cs="Times New Roman"/>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analysis, f</w:t>
      </w:r>
      <w:r w:rsidRPr="00CD704D">
        <w:rPr>
          <w:rFonts w:ascii="Times New Roman" w:hAnsi="Times New Roman" w:cs="Times New Roman"/>
          <w:sz w:val="24"/>
          <w:szCs w:val="24"/>
        </w:rPr>
        <w:t>emale</w:t>
      </w:r>
      <w:r>
        <w:rPr>
          <w:rFonts w:ascii="Times New Roman" w:hAnsi="Times New Roman" w:cs="Times New Roman"/>
          <w:sz w:val="24"/>
          <w:szCs w:val="24"/>
        </w:rPr>
        <w:t xml:space="preserve"> </w:t>
      </w:r>
      <w:r w:rsidRPr="00CD704D">
        <w:rPr>
          <w:rFonts w:ascii="Times New Roman" w:hAnsi="Times New Roman" w:cs="Times New Roman"/>
          <w:sz w:val="24"/>
          <w:szCs w:val="24"/>
        </w:rPr>
        <w:t>headed households have a lower probability of using modern inputs</w:t>
      </w:r>
      <w:r>
        <w:rPr>
          <w:rFonts w:ascii="Times New Roman" w:hAnsi="Times New Roman" w:cs="Times New Roman"/>
          <w:sz w:val="24"/>
          <w:szCs w:val="24"/>
        </w:rPr>
        <w:t xml:space="preserve">, which is consistent with many other studies </w:t>
      </w:r>
      <w:r w:rsidRPr="004B4D29">
        <w:rPr>
          <w:rFonts w:ascii="Times New Roman" w:hAnsi="Times New Roman" w:cs="Times New Roman"/>
          <w:sz w:val="24"/>
          <w:szCs w:val="24"/>
        </w:rPr>
        <w:t>(</w:t>
      </w:r>
      <w:proofErr w:type="spellStart"/>
      <w:r w:rsidRPr="004B4D29">
        <w:rPr>
          <w:rFonts w:ascii="Times New Roman" w:hAnsi="Times New Roman" w:cs="Times New Roman"/>
          <w:sz w:val="24"/>
          <w:szCs w:val="24"/>
        </w:rPr>
        <w:t>Quisumbing</w:t>
      </w:r>
      <w:proofErr w:type="spellEnd"/>
      <w:r w:rsidRPr="004B4D29">
        <w:rPr>
          <w:rFonts w:ascii="Times New Roman" w:hAnsi="Times New Roman" w:cs="Times New Roman"/>
          <w:sz w:val="24"/>
          <w:szCs w:val="24"/>
        </w:rPr>
        <w:t>,</w:t>
      </w:r>
      <w:r>
        <w:rPr>
          <w:rFonts w:ascii="Times New Roman" w:hAnsi="Times New Roman" w:cs="Times New Roman"/>
          <w:sz w:val="24"/>
          <w:szCs w:val="24"/>
        </w:rPr>
        <w:t xml:space="preserve"> </w:t>
      </w:r>
      <w:r w:rsidRPr="004B4D29">
        <w:rPr>
          <w:rFonts w:ascii="Times New Roman" w:hAnsi="Times New Roman" w:cs="Times New Roman"/>
          <w:sz w:val="24"/>
          <w:szCs w:val="24"/>
        </w:rPr>
        <w:t>1995)</w:t>
      </w:r>
      <w:r w:rsidR="00B3508E">
        <w:rPr>
          <w:rFonts w:ascii="Times New Roman" w:hAnsi="Times New Roman" w:cs="Times New Roman"/>
          <w:sz w:val="24"/>
          <w:szCs w:val="24"/>
        </w:rPr>
        <w:t>. However</w:t>
      </w:r>
      <w:r>
        <w:rPr>
          <w:rFonts w:ascii="Times New Roman" w:hAnsi="Times New Roman" w:cs="Times New Roman"/>
          <w:sz w:val="24"/>
          <w:szCs w:val="24"/>
        </w:rPr>
        <w:t xml:space="preserve"> but the marginal effect </w:t>
      </w:r>
      <w:r w:rsidR="00A03B1B">
        <w:rPr>
          <w:rFonts w:ascii="Times New Roman" w:hAnsi="Times New Roman" w:cs="Times New Roman"/>
          <w:sz w:val="24"/>
          <w:szCs w:val="24"/>
        </w:rPr>
        <w:t xml:space="preserve">is positive for </w:t>
      </w:r>
      <w:r>
        <w:rPr>
          <w:rFonts w:ascii="Times New Roman" w:hAnsi="Times New Roman" w:cs="Times New Roman"/>
          <w:sz w:val="24"/>
          <w:szCs w:val="24"/>
        </w:rPr>
        <w:t>hiring labor</w:t>
      </w:r>
      <w:r w:rsidR="00A03B1B">
        <w:rPr>
          <w:rFonts w:ascii="Times New Roman" w:hAnsi="Times New Roman" w:cs="Times New Roman"/>
          <w:sz w:val="24"/>
          <w:szCs w:val="24"/>
        </w:rPr>
        <w:t xml:space="preserve"> among female headed households</w:t>
      </w:r>
      <w:r>
        <w:rPr>
          <w:rFonts w:ascii="Times New Roman" w:hAnsi="Times New Roman" w:cs="Times New Roman"/>
          <w:sz w:val="24"/>
          <w:szCs w:val="24"/>
        </w:rPr>
        <w:t xml:space="preserve">, possibly due to the </w:t>
      </w:r>
      <w:r w:rsidR="00B3508E">
        <w:rPr>
          <w:rFonts w:ascii="Times New Roman" w:hAnsi="Times New Roman" w:cs="Times New Roman"/>
          <w:sz w:val="24"/>
          <w:szCs w:val="24"/>
        </w:rPr>
        <w:t xml:space="preserve">labor constraints such households face. </w:t>
      </w:r>
      <w:r>
        <w:rPr>
          <w:rFonts w:ascii="Times New Roman" w:hAnsi="Times New Roman" w:cs="Times New Roman"/>
          <w:sz w:val="24"/>
          <w:szCs w:val="24"/>
        </w:rPr>
        <w:t xml:space="preserve"> The sign of </w:t>
      </w:r>
      <w:r w:rsidR="00CE7E32">
        <w:rPr>
          <w:rFonts w:ascii="Times New Roman" w:hAnsi="Times New Roman" w:cs="Times New Roman"/>
          <w:sz w:val="24"/>
          <w:szCs w:val="24"/>
        </w:rPr>
        <w:t xml:space="preserve">the </w:t>
      </w:r>
      <w:r>
        <w:rPr>
          <w:rFonts w:ascii="Times New Roman" w:hAnsi="Times New Roman" w:cs="Times New Roman"/>
          <w:sz w:val="24"/>
          <w:szCs w:val="24"/>
        </w:rPr>
        <w:t>marginal effect for the y</w:t>
      </w:r>
      <w:r w:rsidRPr="00CD704D">
        <w:rPr>
          <w:rFonts w:ascii="Times New Roman" w:hAnsi="Times New Roman" w:cs="Times New Roman"/>
          <w:sz w:val="24"/>
          <w:szCs w:val="24"/>
        </w:rPr>
        <w:t xml:space="preserve">outh </w:t>
      </w:r>
      <w:r>
        <w:rPr>
          <w:rFonts w:ascii="Times New Roman" w:hAnsi="Times New Roman" w:cs="Times New Roman"/>
          <w:sz w:val="24"/>
          <w:szCs w:val="24"/>
        </w:rPr>
        <w:t>dummy is not consistent and often insignificant in the regression</w:t>
      </w:r>
      <w:r w:rsidR="00B3508E">
        <w:rPr>
          <w:rFonts w:ascii="Times New Roman" w:hAnsi="Times New Roman" w:cs="Times New Roman"/>
          <w:sz w:val="24"/>
          <w:szCs w:val="24"/>
        </w:rPr>
        <w:t>s</w:t>
      </w:r>
      <w:r w:rsidRPr="00CD704D">
        <w:rPr>
          <w:rFonts w:ascii="Times New Roman" w:hAnsi="Times New Roman" w:cs="Times New Roman"/>
          <w:sz w:val="24"/>
          <w:szCs w:val="24"/>
        </w:rPr>
        <w:t>. This result is somewhat surprising, since you</w:t>
      </w:r>
      <w:r>
        <w:rPr>
          <w:rFonts w:ascii="Times New Roman" w:hAnsi="Times New Roman" w:cs="Times New Roman"/>
          <w:sz w:val="24"/>
          <w:szCs w:val="24"/>
        </w:rPr>
        <w:t xml:space="preserve">nger farmers might be expected to be more open to </w:t>
      </w:r>
      <w:r w:rsidRPr="00CD704D">
        <w:rPr>
          <w:rFonts w:ascii="Times New Roman" w:hAnsi="Times New Roman" w:cs="Times New Roman"/>
          <w:sz w:val="24"/>
          <w:szCs w:val="24"/>
        </w:rPr>
        <w:t>new technologies and knowledge than older adults.</w:t>
      </w:r>
    </w:p>
    <w:p w14:paraId="16A1A5C5" w14:textId="40F12708" w:rsidR="00E70A30" w:rsidRDefault="00CA1152" w:rsidP="00EF7FD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w:t>
      </w:r>
      <w:r w:rsidR="00E70A30">
        <w:rPr>
          <w:rFonts w:ascii="Times New Roman" w:hAnsi="Times New Roman" w:cs="Times New Roman"/>
          <w:sz w:val="24"/>
          <w:szCs w:val="24"/>
        </w:rPr>
        <w:t xml:space="preserve">he </w:t>
      </w:r>
      <w:r w:rsidR="006B533B">
        <w:rPr>
          <w:rFonts w:ascii="Times New Roman" w:hAnsi="Times New Roman" w:cs="Times New Roman"/>
          <w:sz w:val="24"/>
          <w:szCs w:val="24"/>
        </w:rPr>
        <w:t xml:space="preserve">marginal </w:t>
      </w:r>
      <w:r w:rsidR="00E70A30">
        <w:rPr>
          <w:rFonts w:ascii="Times New Roman" w:hAnsi="Times New Roman" w:cs="Times New Roman"/>
          <w:sz w:val="24"/>
          <w:szCs w:val="24"/>
        </w:rPr>
        <w:t xml:space="preserve">effect of urbanization on the use of other inputs is not </w:t>
      </w:r>
      <w:r>
        <w:rPr>
          <w:rFonts w:ascii="Times New Roman" w:hAnsi="Times New Roman" w:cs="Times New Roman"/>
          <w:sz w:val="24"/>
          <w:szCs w:val="24"/>
        </w:rPr>
        <w:t xml:space="preserve">always </w:t>
      </w:r>
      <w:r w:rsidR="00E70A30">
        <w:rPr>
          <w:rFonts w:ascii="Times New Roman" w:hAnsi="Times New Roman" w:cs="Times New Roman"/>
          <w:sz w:val="24"/>
          <w:szCs w:val="24"/>
        </w:rPr>
        <w:t>consistent with that for fertilizer use. Compared with no city districts in the South, only in the districts with 2</w:t>
      </w:r>
      <w:r w:rsidR="00E70A30" w:rsidRPr="00550946">
        <w:rPr>
          <w:rFonts w:ascii="Times New Roman" w:hAnsi="Times New Roman" w:cs="Times New Roman"/>
          <w:sz w:val="24"/>
          <w:szCs w:val="24"/>
          <w:vertAlign w:val="superscript"/>
        </w:rPr>
        <w:t>nd</w:t>
      </w:r>
      <w:r w:rsidR="00E70A30">
        <w:rPr>
          <w:rFonts w:ascii="Times New Roman" w:hAnsi="Times New Roman" w:cs="Times New Roman"/>
          <w:sz w:val="24"/>
          <w:szCs w:val="24"/>
        </w:rPr>
        <w:t xml:space="preserve"> </w:t>
      </w:r>
      <w:r w:rsidR="0014485A">
        <w:rPr>
          <w:rFonts w:ascii="Times New Roman" w:hAnsi="Times New Roman" w:cs="Times New Roman"/>
          <w:sz w:val="24"/>
          <w:szCs w:val="24"/>
        </w:rPr>
        <w:t xml:space="preserve">tier </w:t>
      </w:r>
      <w:r w:rsidR="00E70A30">
        <w:rPr>
          <w:rFonts w:ascii="Times New Roman" w:hAnsi="Times New Roman" w:cs="Times New Roman"/>
          <w:sz w:val="24"/>
          <w:szCs w:val="24"/>
        </w:rPr>
        <w:t>cities in the North or with bi</w:t>
      </w:r>
      <w:r w:rsidR="006B533B">
        <w:rPr>
          <w:rFonts w:ascii="Times New Roman" w:hAnsi="Times New Roman" w:cs="Times New Roman"/>
          <w:sz w:val="24"/>
          <w:szCs w:val="24"/>
        </w:rPr>
        <w:t>g</w:t>
      </w:r>
      <w:r w:rsidR="00E70A30">
        <w:rPr>
          <w:rFonts w:ascii="Times New Roman" w:hAnsi="Times New Roman" w:cs="Times New Roman"/>
          <w:sz w:val="24"/>
          <w:szCs w:val="24"/>
        </w:rPr>
        <w:t xml:space="preserve"> cities in the South, the marginal effect of using other inputs is most</w:t>
      </w:r>
      <w:r w:rsidR="006B533B">
        <w:rPr>
          <w:rFonts w:ascii="Times New Roman" w:hAnsi="Times New Roman" w:cs="Times New Roman"/>
          <w:sz w:val="24"/>
          <w:szCs w:val="24"/>
        </w:rPr>
        <w:t>ly</w:t>
      </w:r>
      <w:r w:rsidR="00E70A30">
        <w:rPr>
          <w:rFonts w:ascii="Times New Roman" w:hAnsi="Times New Roman" w:cs="Times New Roman"/>
          <w:sz w:val="24"/>
          <w:szCs w:val="24"/>
        </w:rPr>
        <w:t xml:space="preserve"> positive and significant. The sign of marginal effect </w:t>
      </w:r>
      <w:r w:rsidR="00B3508E">
        <w:rPr>
          <w:rFonts w:ascii="Times New Roman" w:hAnsi="Times New Roman" w:cs="Times New Roman"/>
          <w:sz w:val="24"/>
          <w:szCs w:val="24"/>
        </w:rPr>
        <w:t xml:space="preserve">tends </w:t>
      </w:r>
      <w:r w:rsidR="00E70A30">
        <w:rPr>
          <w:rFonts w:ascii="Times New Roman" w:hAnsi="Times New Roman" w:cs="Times New Roman"/>
          <w:sz w:val="24"/>
          <w:szCs w:val="24"/>
        </w:rPr>
        <w:t>to be negative, if significant, for the other types of district groups in both North and South.</w:t>
      </w:r>
    </w:p>
    <w:p w14:paraId="78F475F5" w14:textId="7D45A9E4" w:rsidR="0008605A" w:rsidRDefault="006B533B" w:rsidP="00EF7FD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Among the three variables related to market access or public infrastructure, the marginal effect of input use is positive only for the access to public transportation</w:t>
      </w:r>
      <w:r w:rsidR="00CE7E32">
        <w:rPr>
          <w:rFonts w:ascii="Times New Roman" w:hAnsi="Times New Roman" w:cs="Times New Roman"/>
          <w:sz w:val="24"/>
          <w:szCs w:val="24"/>
        </w:rPr>
        <w:t xml:space="preserve"> variable</w:t>
      </w:r>
      <w:r>
        <w:rPr>
          <w:rFonts w:ascii="Times New Roman" w:hAnsi="Times New Roman" w:cs="Times New Roman"/>
          <w:sz w:val="24"/>
          <w:szCs w:val="24"/>
        </w:rPr>
        <w:t xml:space="preserve">. The probability </w:t>
      </w:r>
      <w:r w:rsidR="0014485A">
        <w:rPr>
          <w:rFonts w:ascii="Times New Roman" w:hAnsi="Times New Roman" w:cs="Times New Roman"/>
          <w:sz w:val="24"/>
          <w:szCs w:val="24"/>
        </w:rPr>
        <w:t>for</w:t>
      </w:r>
      <w:r>
        <w:rPr>
          <w:rFonts w:ascii="Times New Roman" w:hAnsi="Times New Roman" w:cs="Times New Roman"/>
          <w:sz w:val="24"/>
          <w:szCs w:val="24"/>
        </w:rPr>
        <w:t xml:space="preserve"> </w:t>
      </w:r>
      <w:r w:rsidR="00CA1152">
        <w:rPr>
          <w:rFonts w:ascii="Times New Roman" w:hAnsi="Times New Roman" w:cs="Times New Roman"/>
          <w:sz w:val="24"/>
          <w:szCs w:val="24"/>
        </w:rPr>
        <w:t xml:space="preserve">any </w:t>
      </w:r>
      <w:r>
        <w:rPr>
          <w:rFonts w:ascii="Times New Roman" w:hAnsi="Times New Roman" w:cs="Times New Roman"/>
          <w:sz w:val="24"/>
          <w:szCs w:val="24"/>
        </w:rPr>
        <w:t>modern input</w:t>
      </w:r>
      <w:r w:rsidR="00CA1152">
        <w:rPr>
          <w:rFonts w:ascii="Times New Roman" w:hAnsi="Times New Roman" w:cs="Times New Roman"/>
          <w:sz w:val="24"/>
          <w:szCs w:val="24"/>
        </w:rPr>
        <w:t xml:space="preserve"> use</w:t>
      </w:r>
      <w:r>
        <w:rPr>
          <w:rFonts w:ascii="Times New Roman" w:hAnsi="Times New Roman" w:cs="Times New Roman"/>
          <w:sz w:val="24"/>
          <w:szCs w:val="24"/>
        </w:rPr>
        <w:t xml:space="preserve"> or </w:t>
      </w:r>
      <w:r w:rsidR="00CA1152">
        <w:rPr>
          <w:rFonts w:ascii="Times New Roman" w:hAnsi="Times New Roman" w:cs="Times New Roman"/>
          <w:sz w:val="24"/>
          <w:szCs w:val="24"/>
        </w:rPr>
        <w:t xml:space="preserve">labor </w:t>
      </w:r>
      <w:r>
        <w:rPr>
          <w:rFonts w:ascii="Times New Roman" w:hAnsi="Times New Roman" w:cs="Times New Roman"/>
          <w:sz w:val="24"/>
          <w:szCs w:val="24"/>
        </w:rPr>
        <w:t xml:space="preserve">hiring increases by 4.18 – 10.3 percent in the communities with easy access to public transportation, while </w:t>
      </w:r>
      <w:r w:rsidR="0038504B">
        <w:rPr>
          <w:rFonts w:ascii="Times New Roman" w:hAnsi="Times New Roman" w:cs="Times New Roman"/>
          <w:sz w:val="24"/>
          <w:szCs w:val="24"/>
        </w:rPr>
        <w:t xml:space="preserve">market access seems to be only positively associated with hiring labor and </w:t>
      </w:r>
      <w:r>
        <w:rPr>
          <w:rFonts w:ascii="Times New Roman" w:hAnsi="Times New Roman" w:cs="Times New Roman"/>
          <w:sz w:val="24"/>
          <w:szCs w:val="24"/>
        </w:rPr>
        <w:t>the sign is negative</w:t>
      </w:r>
      <w:r w:rsidR="0038504B">
        <w:rPr>
          <w:rFonts w:ascii="Times New Roman" w:hAnsi="Times New Roman" w:cs="Times New Roman"/>
          <w:sz w:val="24"/>
          <w:szCs w:val="24"/>
        </w:rPr>
        <w:t xml:space="preserve"> for the</w:t>
      </w:r>
      <w:r w:rsidR="00B3508E">
        <w:rPr>
          <w:rFonts w:ascii="Times New Roman" w:hAnsi="Times New Roman" w:cs="Times New Roman"/>
          <w:sz w:val="24"/>
          <w:szCs w:val="24"/>
        </w:rPr>
        <w:t xml:space="preserve"> use of</w:t>
      </w:r>
      <w:r w:rsidR="0038504B">
        <w:rPr>
          <w:rFonts w:ascii="Times New Roman" w:hAnsi="Times New Roman" w:cs="Times New Roman"/>
          <w:sz w:val="24"/>
          <w:szCs w:val="24"/>
        </w:rPr>
        <w:t xml:space="preserve"> other input</w:t>
      </w:r>
      <w:r w:rsidR="00B3508E">
        <w:rPr>
          <w:rFonts w:ascii="Times New Roman" w:hAnsi="Times New Roman" w:cs="Times New Roman"/>
          <w:sz w:val="24"/>
          <w:szCs w:val="24"/>
        </w:rPr>
        <w:t>s</w:t>
      </w:r>
      <w:r w:rsidR="0038504B">
        <w:rPr>
          <w:rFonts w:ascii="Times New Roman" w:hAnsi="Times New Roman" w:cs="Times New Roman"/>
          <w:sz w:val="24"/>
          <w:szCs w:val="24"/>
        </w:rPr>
        <w:t>.</w:t>
      </w:r>
      <w:r>
        <w:rPr>
          <w:rFonts w:ascii="Times New Roman" w:hAnsi="Times New Roman" w:cs="Times New Roman"/>
          <w:sz w:val="24"/>
          <w:szCs w:val="24"/>
        </w:rPr>
        <w:t xml:space="preserve"> </w:t>
      </w:r>
      <w:r w:rsidR="0038504B">
        <w:rPr>
          <w:rFonts w:ascii="Times New Roman" w:hAnsi="Times New Roman" w:cs="Times New Roman"/>
          <w:sz w:val="24"/>
          <w:szCs w:val="24"/>
        </w:rPr>
        <w:t>M</w:t>
      </w:r>
      <w:r>
        <w:rPr>
          <w:rFonts w:ascii="Times New Roman" w:hAnsi="Times New Roman" w:cs="Times New Roman"/>
          <w:sz w:val="24"/>
          <w:szCs w:val="24"/>
        </w:rPr>
        <w:t xml:space="preserve">arket access is measured by </w:t>
      </w:r>
      <w:r w:rsidR="0038504B">
        <w:rPr>
          <w:rFonts w:ascii="Times New Roman" w:hAnsi="Times New Roman" w:cs="Times New Roman"/>
          <w:sz w:val="24"/>
          <w:szCs w:val="24"/>
        </w:rPr>
        <w:t xml:space="preserve">whether </w:t>
      </w:r>
      <w:r w:rsidR="0014485A">
        <w:rPr>
          <w:rFonts w:ascii="Times New Roman" w:hAnsi="Times New Roman" w:cs="Times New Roman"/>
          <w:sz w:val="24"/>
          <w:szCs w:val="24"/>
        </w:rPr>
        <w:t>a</w:t>
      </w:r>
      <w:r w:rsidR="0038504B">
        <w:rPr>
          <w:rFonts w:ascii="Times New Roman" w:hAnsi="Times New Roman" w:cs="Times New Roman"/>
          <w:sz w:val="24"/>
          <w:szCs w:val="24"/>
        </w:rPr>
        <w:t xml:space="preserve"> </w:t>
      </w:r>
      <w:r w:rsidR="0014485A">
        <w:rPr>
          <w:rFonts w:ascii="Times New Roman" w:hAnsi="Times New Roman" w:cs="Times New Roman"/>
          <w:sz w:val="24"/>
          <w:szCs w:val="24"/>
        </w:rPr>
        <w:t xml:space="preserve">rural </w:t>
      </w:r>
      <w:r w:rsidR="0038504B">
        <w:rPr>
          <w:rFonts w:ascii="Times New Roman" w:hAnsi="Times New Roman" w:cs="Times New Roman"/>
          <w:sz w:val="24"/>
          <w:szCs w:val="24"/>
        </w:rPr>
        <w:t xml:space="preserve">community has a daily or </w:t>
      </w:r>
      <w:r w:rsidR="00CF1182">
        <w:rPr>
          <w:rFonts w:ascii="Times New Roman" w:hAnsi="Times New Roman" w:cs="Times New Roman"/>
          <w:sz w:val="24"/>
          <w:szCs w:val="24"/>
        </w:rPr>
        <w:t>periodic</w:t>
      </w:r>
      <w:r w:rsidR="0038504B">
        <w:rPr>
          <w:rFonts w:ascii="Times New Roman" w:hAnsi="Times New Roman" w:cs="Times New Roman"/>
          <w:sz w:val="24"/>
          <w:szCs w:val="24"/>
        </w:rPr>
        <w:t xml:space="preserve"> market</w:t>
      </w:r>
      <w:r w:rsidR="00CF1182">
        <w:rPr>
          <w:rFonts w:ascii="Times New Roman" w:hAnsi="Times New Roman" w:cs="Times New Roman"/>
          <w:sz w:val="24"/>
          <w:szCs w:val="24"/>
        </w:rPr>
        <w:t xml:space="preserve">. </w:t>
      </w:r>
      <w:r w:rsidR="00B3508E">
        <w:rPr>
          <w:rFonts w:ascii="Times New Roman" w:hAnsi="Times New Roman" w:cs="Times New Roman"/>
          <w:sz w:val="24"/>
          <w:szCs w:val="24"/>
        </w:rPr>
        <w:t>It is also</w:t>
      </w:r>
      <w:r w:rsidR="0038504B">
        <w:rPr>
          <w:rFonts w:ascii="Times New Roman" w:hAnsi="Times New Roman" w:cs="Times New Roman"/>
          <w:sz w:val="24"/>
          <w:szCs w:val="24"/>
        </w:rPr>
        <w:t xml:space="preserve"> possible that better access to public transportation allows farmers to </w:t>
      </w:r>
      <w:r w:rsidR="0014485A">
        <w:rPr>
          <w:rFonts w:ascii="Times New Roman" w:hAnsi="Times New Roman" w:cs="Times New Roman"/>
          <w:sz w:val="24"/>
          <w:szCs w:val="24"/>
        </w:rPr>
        <w:t xml:space="preserve">get access to market through </w:t>
      </w:r>
      <w:r w:rsidR="0038504B">
        <w:rPr>
          <w:rFonts w:ascii="Times New Roman" w:hAnsi="Times New Roman" w:cs="Times New Roman"/>
          <w:sz w:val="24"/>
          <w:szCs w:val="24"/>
        </w:rPr>
        <w:t xml:space="preserve">traders who </w:t>
      </w:r>
      <w:r w:rsidR="00CA1152">
        <w:rPr>
          <w:rFonts w:ascii="Times New Roman" w:hAnsi="Times New Roman" w:cs="Times New Roman"/>
          <w:sz w:val="24"/>
          <w:szCs w:val="24"/>
        </w:rPr>
        <w:t xml:space="preserve">can </w:t>
      </w:r>
      <w:r w:rsidR="0038504B">
        <w:rPr>
          <w:rFonts w:ascii="Times New Roman" w:hAnsi="Times New Roman" w:cs="Times New Roman"/>
          <w:sz w:val="24"/>
          <w:szCs w:val="24"/>
        </w:rPr>
        <w:t>come to villages directly.</w:t>
      </w:r>
    </w:p>
    <w:p w14:paraId="2228A5BC" w14:textId="555E2493" w:rsidR="006B533B" w:rsidRDefault="006B533B" w:rsidP="00EF7F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643EC3" w14:textId="3C6E33A4" w:rsidR="00C77628" w:rsidRPr="00CD704D" w:rsidRDefault="00C77628" w:rsidP="00EF7FD9">
      <w:pPr>
        <w:ind w:firstLine="360"/>
        <w:jc w:val="both"/>
        <w:rPr>
          <w:rFonts w:ascii="Times New Roman" w:hAnsi="Times New Roman" w:cs="Times New Roman"/>
          <w:sz w:val="24"/>
          <w:szCs w:val="24"/>
        </w:rPr>
      </w:pPr>
    </w:p>
    <w:p w14:paraId="2DBBFDBC" w14:textId="77777777" w:rsidR="00C77628" w:rsidRPr="00CD704D" w:rsidRDefault="00C77628" w:rsidP="00EF7FD9">
      <w:pPr>
        <w:jc w:val="both"/>
        <w:rPr>
          <w:rFonts w:ascii="Times New Roman" w:hAnsi="Times New Roman" w:cs="Times New Roman"/>
          <w:sz w:val="24"/>
          <w:szCs w:val="24"/>
        </w:rPr>
        <w:sectPr w:rsidR="00C77628" w:rsidRPr="00CD704D" w:rsidSect="00EF7FD9">
          <w:headerReference w:type="even" r:id="rId15"/>
          <w:headerReference w:type="default" r:id="rId16"/>
          <w:type w:val="continuous"/>
          <w:pgSz w:w="11900" w:h="16840"/>
          <w:pgMar w:top="1440" w:right="1800" w:bottom="1440" w:left="1800" w:header="708" w:footer="708" w:gutter="0"/>
          <w:cols w:space="708"/>
          <w:docGrid w:linePitch="360"/>
        </w:sectPr>
      </w:pPr>
    </w:p>
    <w:p w14:paraId="27FB92B9" w14:textId="559CDAD9" w:rsidR="00DD02B1" w:rsidRDefault="00B67D55" w:rsidP="00EF7FD9">
      <w:pPr>
        <w:spacing w:line="240" w:lineRule="auto"/>
        <w:jc w:val="both"/>
        <w:rPr>
          <w:rFonts w:ascii="Times New Roman" w:eastAsia="Times New Roman" w:hAnsi="Times New Roman" w:cs="Times New Roman"/>
          <w:color w:val="000000"/>
        </w:rPr>
      </w:pPr>
      <w:r w:rsidRPr="00CD704D">
        <w:rPr>
          <w:rFonts w:ascii="Times New Roman" w:hAnsi="Times New Roman" w:cs="Times New Roman"/>
          <w:sz w:val="24"/>
          <w:szCs w:val="24"/>
        </w:rPr>
        <w:lastRenderedPageBreak/>
        <w:t xml:space="preserve">Table </w:t>
      </w:r>
      <w:r w:rsidR="00D52F18">
        <w:rPr>
          <w:rFonts w:ascii="Times New Roman" w:hAnsi="Times New Roman" w:cs="Times New Roman"/>
          <w:sz w:val="24"/>
          <w:szCs w:val="24"/>
        </w:rPr>
        <w:t>9</w:t>
      </w:r>
      <w:r w:rsidR="00D26F77">
        <w:rPr>
          <w:rFonts w:ascii="Times New Roman" w:hAnsi="Times New Roman" w:cs="Times New Roman"/>
          <w:sz w:val="24"/>
          <w:szCs w:val="24"/>
        </w:rPr>
        <w:t>.8</w:t>
      </w:r>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Probit</w:t>
      </w:r>
      <w:proofErr w:type="spellEnd"/>
      <w:r w:rsidRPr="00CD704D">
        <w:rPr>
          <w:rFonts w:ascii="Times New Roman" w:hAnsi="Times New Roman" w:cs="Times New Roman"/>
          <w:sz w:val="24"/>
          <w:szCs w:val="24"/>
        </w:rPr>
        <w:t xml:space="preserve"> </w:t>
      </w:r>
      <w:r w:rsidR="002E3A09">
        <w:rPr>
          <w:rFonts w:ascii="Times New Roman" w:hAnsi="Times New Roman" w:cs="Times New Roman"/>
          <w:sz w:val="24"/>
          <w:szCs w:val="24"/>
        </w:rPr>
        <w:t>model regressions for input use</w:t>
      </w:r>
      <w:r w:rsidRPr="00CD704D">
        <w:rPr>
          <w:rFonts w:ascii="Times New Roman" w:hAnsi="Times New Roman" w:cs="Times New Roman"/>
          <w:sz w:val="24"/>
          <w:szCs w:val="24"/>
        </w:rPr>
        <w:t xml:space="preserve">, </w:t>
      </w:r>
      <w:r w:rsidR="0008605A">
        <w:rPr>
          <w:rFonts w:ascii="Times New Roman" w:hAnsi="Times New Roman" w:cs="Times New Roman"/>
          <w:sz w:val="24"/>
          <w:szCs w:val="24"/>
        </w:rPr>
        <w:t xml:space="preserve">pooled data of </w:t>
      </w:r>
      <w:r w:rsidRPr="00CD704D">
        <w:rPr>
          <w:rFonts w:ascii="Times New Roman" w:hAnsi="Times New Roman" w:cs="Times New Roman"/>
          <w:sz w:val="24"/>
          <w:szCs w:val="24"/>
        </w:rPr>
        <w:t>GLSS5</w:t>
      </w:r>
      <w:r w:rsidR="0008605A">
        <w:rPr>
          <w:rFonts w:ascii="Times New Roman" w:hAnsi="Times New Roman" w:cs="Times New Roman"/>
          <w:sz w:val="24"/>
          <w:szCs w:val="24"/>
        </w:rPr>
        <w:t xml:space="preserve"> and GLSS6</w:t>
      </w:r>
    </w:p>
    <w:tbl>
      <w:tblPr>
        <w:tblW w:w="11960" w:type="dxa"/>
        <w:tblLook w:val="04A0" w:firstRow="1" w:lastRow="0" w:firstColumn="1" w:lastColumn="0" w:noHBand="0" w:noVBand="1"/>
      </w:tblPr>
      <w:tblGrid>
        <w:gridCol w:w="3600"/>
        <w:gridCol w:w="1680"/>
        <w:gridCol w:w="2620"/>
        <w:gridCol w:w="1840"/>
        <w:gridCol w:w="2220"/>
      </w:tblGrid>
      <w:tr w:rsidR="00DD02B1" w:rsidRPr="00DD02B1" w14:paraId="0B135AF7" w14:textId="77777777" w:rsidTr="00DD02B1">
        <w:trPr>
          <w:trHeight w:val="252"/>
        </w:trPr>
        <w:tc>
          <w:tcPr>
            <w:tcW w:w="3600" w:type="dxa"/>
            <w:tcBorders>
              <w:top w:val="single" w:sz="4" w:space="0" w:color="auto"/>
              <w:left w:val="nil"/>
              <w:bottom w:val="nil"/>
              <w:right w:val="nil"/>
            </w:tcBorders>
            <w:shd w:val="clear" w:color="auto" w:fill="auto"/>
            <w:noWrap/>
            <w:vAlign w:val="bottom"/>
            <w:hideMark/>
          </w:tcPr>
          <w:p w14:paraId="3A079023"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 </w:t>
            </w:r>
          </w:p>
        </w:tc>
        <w:tc>
          <w:tcPr>
            <w:tcW w:w="1680" w:type="dxa"/>
            <w:tcBorders>
              <w:top w:val="single" w:sz="4" w:space="0" w:color="auto"/>
              <w:left w:val="nil"/>
              <w:bottom w:val="nil"/>
              <w:right w:val="nil"/>
            </w:tcBorders>
            <w:shd w:val="clear" w:color="auto" w:fill="auto"/>
            <w:noWrap/>
            <w:vAlign w:val="bottom"/>
            <w:hideMark/>
          </w:tcPr>
          <w:p w14:paraId="4F316AA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(1)</w:t>
            </w:r>
          </w:p>
        </w:tc>
        <w:tc>
          <w:tcPr>
            <w:tcW w:w="2620" w:type="dxa"/>
            <w:tcBorders>
              <w:top w:val="single" w:sz="4" w:space="0" w:color="auto"/>
              <w:left w:val="nil"/>
              <w:bottom w:val="nil"/>
              <w:right w:val="nil"/>
            </w:tcBorders>
            <w:shd w:val="clear" w:color="auto" w:fill="auto"/>
            <w:noWrap/>
            <w:vAlign w:val="bottom"/>
            <w:hideMark/>
          </w:tcPr>
          <w:p w14:paraId="35D55DA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(2)</w:t>
            </w:r>
          </w:p>
        </w:tc>
        <w:tc>
          <w:tcPr>
            <w:tcW w:w="1840" w:type="dxa"/>
            <w:tcBorders>
              <w:top w:val="single" w:sz="4" w:space="0" w:color="auto"/>
              <w:left w:val="nil"/>
              <w:bottom w:val="nil"/>
              <w:right w:val="nil"/>
            </w:tcBorders>
            <w:shd w:val="clear" w:color="auto" w:fill="auto"/>
            <w:noWrap/>
            <w:vAlign w:val="bottom"/>
            <w:hideMark/>
          </w:tcPr>
          <w:p w14:paraId="55760F4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(3)</w:t>
            </w:r>
          </w:p>
        </w:tc>
        <w:tc>
          <w:tcPr>
            <w:tcW w:w="2220" w:type="dxa"/>
            <w:tcBorders>
              <w:top w:val="single" w:sz="4" w:space="0" w:color="auto"/>
              <w:left w:val="nil"/>
              <w:bottom w:val="nil"/>
              <w:right w:val="nil"/>
            </w:tcBorders>
            <w:shd w:val="clear" w:color="auto" w:fill="auto"/>
            <w:noWrap/>
            <w:vAlign w:val="bottom"/>
            <w:hideMark/>
          </w:tcPr>
          <w:p w14:paraId="2D35FC0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(4)</w:t>
            </w:r>
          </w:p>
        </w:tc>
      </w:tr>
      <w:tr w:rsidR="00DD02B1" w:rsidRPr="00DD02B1" w14:paraId="746F6669" w14:textId="77777777" w:rsidTr="00DD02B1">
        <w:trPr>
          <w:trHeight w:val="312"/>
        </w:trPr>
        <w:tc>
          <w:tcPr>
            <w:tcW w:w="3600" w:type="dxa"/>
            <w:tcBorders>
              <w:top w:val="nil"/>
              <w:left w:val="nil"/>
              <w:bottom w:val="nil"/>
              <w:right w:val="nil"/>
            </w:tcBorders>
            <w:shd w:val="clear" w:color="auto" w:fill="auto"/>
            <w:noWrap/>
            <w:vAlign w:val="bottom"/>
            <w:hideMark/>
          </w:tcPr>
          <w:p w14:paraId="009559DA"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Independent variable</w:t>
            </w:r>
          </w:p>
        </w:tc>
        <w:tc>
          <w:tcPr>
            <w:tcW w:w="1680" w:type="dxa"/>
            <w:tcBorders>
              <w:top w:val="nil"/>
              <w:left w:val="nil"/>
              <w:bottom w:val="nil"/>
              <w:right w:val="nil"/>
            </w:tcBorders>
            <w:shd w:val="clear" w:color="auto" w:fill="auto"/>
            <w:vAlign w:val="bottom"/>
            <w:hideMark/>
          </w:tcPr>
          <w:p w14:paraId="7CA4A26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Fertilizer</w:t>
            </w:r>
          </w:p>
        </w:tc>
        <w:tc>
          <w:tcPr>
            <w:tcW w:w="2620" w:type="dxa"/>
            <w:tcBorders>
              <w:top w:val="nil"/>
              <w:left w:val="nil"/>
              <w:bottom w:val="nil"/>
              <w:right w:val="nil"/>
            </w:tcBorders>
            <w:shd w:val="clear" w:color="auto" w:fill="auto"/>
            <w:vAlign w:val="bottom"/>
            <w:hideMark/>
          </w:tcPr>
          <w:p w14:paraId="52F87CE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Herbicides/Insecticides</w:t>
            </w:r>
          </w:p>
        </w:tc>
        <w:tc>
          <w:tcPr>
            <w:tcW w:w="1840" w:type="dxa"/>
            <w:tcBorders>
              <w:top w:val="nil"/>
              <w:left w:val="nil"/>
              <w:bottom w:val="nil"/>
              <w:right w:val="nil"/>
            </w:tcBorders>
            <w:shd w:val="clear" w:color="auto" w:fill="auto"/>
            <w:vAlign w:val="bottom"/>
            <w:hideMark/>
          </w:tcPr>
          <w:p w14:paraId="21DC839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Hiring labor</w:t>
            </w:r>
          </w:p>
        </w:tc>
        <w:tc>
          <w:tcPr>
            <w:tcW w:w="2220" w:type="dxa"/>
            <w:tcBorders>
              <w:top w:val="nil"/>
              <w:left w:val="nil"/>
              <w:bottom w:val="nil"/>
              <w:right w:val="nil"/>
            </w:tcBorders>
            <w:shd w:val="clear" w:color="auto" w:fill="auto"/>
            <w:vAlign w:val="bottom"/>
            <w:hideMark/>
          </w:tcPr>
          <w:p w14:paraId="23B1BB6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Mechanization</w:t>
            </w:r>
          </w:p>
        </w:tc>
      </w:tr>
      <w:tr w:rsidR="00DD02B1" w:rsidRPr="00DD02B1" w14:paraId="6371EEAB" w14:textId="77777777" w:rsidTr="00DD02B1">
        <w:trPr>
          <w:trHeight w:val="276"/>
        </w:trPr>
        <w:tc>
          <w:tcPr>
            <w:tcW w:w="3600" w:type="dxa"/>
            <w:tcBorders>
              <w:top w:val="single" w:sz="4" w:space="0" w:color="auto"/>
              <w:left w:val="nil"/>
              <w:bottom w:val="nil"/>
              <w:right w:val="nil"/>
            </w:tcBorders>
            <w:shd w:val="clear" w:color="auto" w:fill="auto"/>
            <w:noWrap/>
            <w:vAlign w:val="bottom"/>
            <w:hideMark/>
          </w:tcPr>
          <w:p w14:paraId="70B8BDFB" w14:textId="77777777" w:rsidR="00DD02B1" w:rsidRPr="00DD02B1" w:rsidRDefault="00DD02B1" w:rsidP="00BC6A13">
            <w:pPr>
              <w:spacing w:line="240" w:lineRule="auto"/>
              <w:rPr>
                <w:rFonts w:ascii="Times New Roman" w:eastAsia="Times New Roman" w:hAnsi="Times New Roman" w:cs="Times New Roman"/>
                <w:i/>
                <w:iCs/>
                <w:lang w:eastAsia="zh-CN"/>
              </w:rPr>
            </w:pPr>
            <w:r w:rsidRPr="00DD02B1">
              <w:rPr>
                <w:rFonts w:ascii="Times New Roman" w:eastAsia="Times New Roman" w:hAnsi="Times New Roman" w:cs="Times New Roman"/>
                <w:i/>
                <w:iCs/>
                <w:lang w:eastAsia="zh-CN"/>
              </w:rPr>
              <w:t>Farm size</w:t>
            </w:r>
          </w:p>
        </w:tc>
        <w:tc>
          <w:tcPr>
            <w:tcW w:w="1680" w:type="dxa"/>
            <w:tcBorders>
              <w:top w:val="single" w:sz="4" w:space="0" w:color="auto"/>
              <w:left w:val="nil"/>
              <w:bottom w:val="nil"/>
              <w:right w:val="nil"/>
            </w:tcBorders>
            <w:shd w:val="clear" w:color="auto" w:fill="auto"/>
            <w:noWrap/>
            <w:vAlign w:val="bottom"/>
            <w:hideMark/>
          </w:tcPr>
          <w:p w14:paraId="7A5D3F7D" w14:textId="5CFC7F4C"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single" w:sz="4" w:space="0" w:color="auto"/>
              <w:left w:val="nil"/>
              <w:bottom w:val="nil"/>
              <w:right w:val="nil"/>
            </w:tcBorders>
            <w:shd w:val="clear" w:color="auto" w:fill="auto"/>
            <w:noWrap/>
            <w:vAlign w:val="bottom"/>
            <w:hideMark/>
          </w:tcPr>
          <w:p w14:paraId="6659A19C" w14:textId="5DAC6791"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single" w:sz="4" w:space="0" w:color="auto"/>
              <w:left w:val="nil"/>
              <w:bottom w:val="nil"/>
              <w:right w:val="nil"/>
            </w:tcBorders>
            <w:shd w:val="clear" w:color="auto" w:fill="auto"/>
            <w:noWrap/>
            <w:vAlign w:val="bottom"/>
            <w:hideMark/>
          </w:tcPr>
          <w:p w14:paraId="1799B99D" w14:textId="3A0E012A"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single" w:sz="4" w:space="0" w:color="auto"/>
              <w:left w:val="nil"/>
              <w:bottom w:val="nil"/>
              <w:right w:val="nil"/>
            </w:tcBorders>
            <w:shd w:val="clear" w:color="auto" w:fill="auto"/>
            <w:noWrap/>
            <w:vAlign w:val="bottom"/>
            <w:hideMark/>
          </w:tcPr>
          <w:p w14:paraId="7F726AA3" w14:textId="464F79C8" w:rsidR="00DD02B1" w:rsidRPr="00DD02B1" w:rsidRDefault="00DD02B1" w:rsidP="00BC6A13">
            <w:pPr>
              <w:spacing w:line="240" w:lineRule="auto"/>
              <w:jc w:val="center"/>
              <w:rPr>
                <w:rFonts w:ascii="Times New Roman" w:eastAsia="Times New Roman" w:hAnsi="Times New Roman" w:cs="Times New Roman"/>
                <w:lang w:eastAsia="zh-CN"/>
              </w:rPr>
            </w:pPr>
          </w:p>
        </w:tc>
      </w:tr>
      <w:tr w:rsidR="00DD02B1" w:rsidRPr="00DD02B1" w14:paraId="02F164D2" w14:textId="77777777" w:rsidTr="00DD02B1">
        <w:trPr>
          <w:trHeight w:val="276"/>
        </w:trPr>
        <w:tc>
          <w:tcPr>
            <w:tcW w:w="3600" w:type="dxa"/>
            <w:tcBorders>
              <w:top w:val="nil"/>
              <w:left w:val="nil"/>
              <w:bottom w:val="nil"/>
              <w:right w:val="nil"/>
            </w:tcBorders>
            <w:shd w:val="clear" w:color="auto" w:fill="auto"/>
            <w:noWrap/>
            <w:vAlign w:val="bottom"/>
            <w:hideMark/>
          </w:tcPr>
          <w:p w14:paraId="24DDEEEA"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Less than 2 ha</w:t>
            </w:r>
          </w:p>
        </w:tc>
        <w:tc>
          <w:tcPr>
            <w:tcW w:w="1680" w:type="dxa"/>
            <w:tcBorders>
              <w:top w:val="nil"/>
              <w:left w:val="nil"/>
              <w:bottom w:val="nil"/>
              <w:right w:val="nil"/>
            </w:tcBorders>
            <w:shd w:val="clear" w:color="auto" w:fill="auto"/>
            <w:noWrap/>
            <w:vAlign w:val="bottom"/>
            <w:hideMark/>
          </w:tcPr>
          <w:p w14:paraId="712343D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-0.278***</w:t>
            </w:r>
          </w:p>
        </w:tc>
        <w:tc>
          <w:tcPr>
            <w:tcW w:w="2620" w:type="dxa"/>
            <w:tcBorders>
              <w:top w:val="nil"/>
              <w:left w:val="nil"/>
              <w:bottom w:val="nil"/>
              <w:right w:val="nil"/>
            </w:tcBorders>
            <w:shd w:val="clear" w:color="auto" w:fill="auto"/>
            <w:noWrap/>
            <w:vAlign w:val="bottom"/>
            <w:hideMark/>
          </w:tcPr>
          <w:p w14:paraId="70EEC88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-0.147***</w:t>
            </w:r>
          </w:p>
        </w:tc>
        <w:tc>
          <w:tcPr>
            <w:tcW w:w="1840" w:type="dxa"/>
            <w:tcBorders>
              <w:top w:val="nil"/>
              <w:left w:val="nil"/>
              <w:bottom w:val="nil"/>
              <w:right w:val="nil"/>
            </w:tcBorders>
            <w:shd w:val="clear" w:color="auto" w:fill="auto"/>
            <w:noWrap/>
            <w:vAlign w:val="bottom"/>
            <w:hideMark/>
          </w:tcPr>
          <w:p w14:paraId="1390B8A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-0.223***</w:t>
            </w:r>
          </w:p>
        </w:tc>
        <w:tc>
          <w:tcPr>
            <w:tcW w:w="2220" w:type="dxa"/>
            <w:tcBorders>
              <w:top w:val="nil"/>
              <w:left w:val="nil"/>
              <w:bottom w:val="nil"/>
              <w:right w:val="nil"/>
            </w:tcBorders>
            <w:shd w:val="clear" w:color="auto" w:fill="auto"/>
            <w:noWrap/>
            <w:vAlign w:val="bottom"/>
            <w:hideMark/>
          </w:tcPr>
          <w:p w14:paraId="32084951"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-0.286***</w:t>
            </w:r>
          </w:p>
        </w:tc>
      </w:tr>
      <w:tr w:rsidR="00DD02B1" w:rsidRPr="00DD02B1" w14:paraId="115B3992" w14:textId="77777777" w:rsidTr="00DD02B1">
        <w:trPr>
          <w:trHeight w:val="276"/>
        </w:trPr>
        <w:tc>
          <w:tcPr>
            <w:tcW w:w="3600" w:type="dxa"/>
            <w:tcBorders>
              <w:top w:val="nil"/>
              <w:left w:val="nil"/>
              <w:bottom w:val="nil"/>
              <w:right w:val="nil"/>
            </w:tcBorders>
            <w:shd w:val="clear" w:color="auto" w:fill="auto"/>
            <w:noWrap/>
            <w:vAlign w:val="bottom"/>
            <w:hideMark/>
          </w:tcPr>
          <w:p w14:paraId="01B58F34"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2D43793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(0.0461)</w:t>
            </w:r>
          </w:p>
        </w:tc>
        <w:tc>
          <w:tcPr>
            <w:tcW w:w="2620" w:type="dxa"/>
            <w:tcBorders>
              <w:top w:val="nil"/>
              <w:left w:val="nil"/>
              <w:bottom w:val="nil"/>
              <w:right w:val="nil"/>
            </w:tcBorders>
            <w:shd w:val="clear" w:color="auto" w:fill="auto"/>
            <w:noWrap/>
            <w:vAlign w:val="bottom"/>
            <w:hideMark/>
          </w:tcPr>
          <w:p w14:paraId="108EDE3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(0.0449)</w:t>
            </w:r>
          </w:p>
        </w:tc>
        <w:tc>
          <w:tcPr>
            <w:tcW w:w="1840" w:type="dxa"/>
            <w:tcBorders>
              <w:top w:val="nil"/>
              <w:left w:val="nil"/>
              <w:bottom w:val="nil"/>
              <w:right w:val="nil"/>
            </w:tcBorders>
            <w:shd w:val="clear" w:color="auto" w:fill="auto"/>
            <w:noWrap/>
            <w:vAlign w:val="bottom"/>
            <w:hideMark/>
          </w:tcPr>
          <w:p w14:paraId="53F0AE7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(0.0501)</w:t>
            </w:r>
          </w:p>
        </w:tc>
        <w:tc>
          <w:tcPr>
            <w:tcW w:w="2220" w:type="dxa"/>
            <w:tcBorders>
              <w:top w:val="nil"/>
              <w:left w:val="nil"/>
              <w:bottom w:val="nil"/>
              <w:right w:val="nil"/>
            </w:tcBorders>
            <w:shd w:val="clear" w:color="auto" w:fill="auto"/>
            <w:noWrap/>
            <w:vAlign w:val="bottom"/>
            <w:hideMark/>
          </w:tcPr>
          <w:p w14:paraId="5362D391"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(0.0389)</w:t>
            </w:r>
          </w:p>
        </w:tc>
      </w:tr>
      <w:tr w:rsidR="00DD02B1" w:rsidRPr="00DD02B1" w14:paraId="1CDBE453" w14:textId="77777777" w:rsidTr="00DD02B1">
        <w:trPr>
          <w:trHeight w:val="276"/>
        </w:trPr>
        <w:tc>
          <w:tcPr>
            <w:tcW w:w="3600" w:type="dxa"/>
            <w:tcBorders>
              <w:top w:val="nil"/>
              <w:left w:val="nil"/>
              <w:bottom w:val="nil"/>
              <w:right w:val="nil"/>
            </w:tcBorders>
            <w:shd w:val="clear" w:color="auto" w:fill="auto"/>
            <w:noWrap/>
            <w:vAlign w:val="bottom"/>
            <w:hideMark/>
          </w:tcPr>
          <w:p w14:paraId="73BC4BFC"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2 - 5 ha</w:t>
            </w:r>
          </w:p>
        </w:tc>
        <w:tc>
          <w:tcPr>
            <w:tcW w:w="1680" w:type="dxa"/>
            <w:tcBorders>
              <w:top w:val="nil"/>
              <w:left w:val="nil"/>
              <w:bottom w:val="nil"/>
              <w:right w:val="nil"/>
            </w:tcBorders>
            <w:shd w:val="clear" w:color="auto" w:fill="auto"/>
            <w:noWrap/>
            <w:vAlign w:val="bottom"/>
            <w:hideMark/>
          </w:tcPr>
          <w:p w14:paraId="19BBFA5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-0.140***</w:t>
            </w:r>
          </w:p>
        </w:tc>
        <w:tc>
          <w:tcPr>
            <w:tcW w:w="2620" w:type="dxa"/>
            <w:tcBorders>
              <w:top w:val="nil"/>
              <w:left w:val="nil"/>
              <w:bottom w:val="nil"/>
              <w:right w:val="nil"/>
            </w:tcBorders>
            <w:shd w:val="clear" w:color="auto" w:fill="auto"/>
            <w:noWrap/>
            <w:vAlign w:val="bottom"/>
            <w:hideMark/>
          </w:tcPr>
          <w:p w14:paraId="5B805FF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-0.0236</w:t>
            </w:r>
          </w:p>
        </w:tc>
        <w:tc>
          <w:tcPr>
            <w:tcW w:w="1840" w:type="dxa"/>
            <w:tcBorders>
              <w:top w:val="nil"/>
              <w:left w:val="nil"/>
              <w:bottom w:val="nil"/>
              <w:right w:val="nil"/>
            </w:tcBorders>
            <w:shd w:val="clear" w:color="auto" w:fill="auto"/>
            <w:noWrap/>
            <w:vAlign w:val="bottom"/>
            <w:hideMark/>
          </w:tcPr>
          <w:p w14:paraId="66EF01B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-0.116**</w:t>
            </w:r>
          </w:p>
        </w:tc>
        <w:tc>
          <w:tcPr>
            <w:tcW w:w="2220" w:type="dxa"/>
            <w:tcBorders>
              <w:top w:val="nil"/>
              <w:left w:val="nil"/>
              <w:bottom w:val="nil"/>
              <w:right w:val="nil"/>
            </w:tcBorders>
            <w:shd w:val="clear" w:color="auto" w:fill="auto"/>
            <w:noWrap/>
            <w:vAlign w:val="bottom"/>
            <w:hideMark/>
          </w:tcPr>
          <w:p w14:paraId="7A229C8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-0.187***</w:t>
            </w:r>
          </w:p>
        </w:tc>
      </w:tr>
      <w:tr w:rsidR="00DD02B1" w:rsidRPr="00DD02B1" w14:paraId="40C18760" w14:textId="77777777" w:rsidTr="00DD02B1">
        <w:trPr>
          <w:trHeight w:val="276"/>
        </w:trPr>
        <w:tc>
          <w:tcPr>
            <w:tcW w:w="3600" w:type="dxa"/>
            <w:tcBorders>
              <w:top w:val="nil"/>
              <w:left w:val="nil"/>
              <w:bottom w:val="nil"/>
              <w:right w:val="nil"/>
            </w:tcBorders>
            <w:shd w:val="clear" w:color="auto" w:fill="auto"/>
            <w:noWrap/>
            <w:vAlign w:val="bottom"/>
            <w:hideMark/>
          </w:tcPr>
          <w:p w14:paraId="3AD3129A"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E7D7E9A"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(0.0463)</w:t>
            </w:r>
          </w:p>
        </w:tc>
        <w:tc>
          <w:tcPr>
            <w:tcW w:w="2620" w:type="dxa"/>
            <w:tcBorders>
              <w:top w:val="nil"/>
              <w:left w:val="nil"/>
              <w:bottom w:val="nil"/>
              <w:right w:val="nil"/>
            </w:tcBorders>
            <w:shd w:val="clear" w:color="auto" w:fill="auto"/>
            <w:noWrap/>
            <w:vAlign w:val="bottom"/>
            <w:hideMark/>
          </w:tcPr>
          <w:p w14:paraId="3F6EBFE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(0.0447)</w:t>
            </w:r>
          </w:p>
        </w:tc>
        <w:tc>
          <w:tcPr>
            <w:tcW w:w="1840" w:type="dxa"/>
            <w:tcBorders>
              <w:top w:val="nil"/>
              <w:left w:val="nil"/>
              <w:bottom w:val="nil"/>
              <w:right w:val="nil"/>
            </w:tcBorders>
            <w:shd w:val="clear" w:color="auto" w:fill="auto"/>
            <w:noWrap/>
            <w:vAlign w:val="bottom"/>
            <w:hideMark/>
          </w:tcPr>
          <w:p w14:paraId="16C5A2B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(0.0503)</w:t>
            </w:r>
          </w:p>
        </w:tc>
        <w:tc>
          <w:tcPr>
            <w:tcW w:w="2220" w:type="dxa"/>
            <w:tcBorders>
              <w:top w:val="nil"/>
              <w:left w:val="nil"/>
              <w:bottom w:val="nil"/>
              <w:right w:val="nil"/>
            </w:tcBorders>
            <w:shd w:val="clear" w:color="auto" w:fill="auto"/>
            <w:noWrap/>
            <w:vAlign w:val="bottom"/>
            <w:hideMark/>
          </w:tcPr>
          <w:p w14:paraId="37011CF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(0.0388)</w:t>
            </w:r>
          </w:p>
        </w:tc>
      </w:tr>
      <w:tr w:rsidR="00DD02B1" w:rsidRPr="00DD02B1" w14:paraId="52AC44BA" w14:textId="77777777" w:rsidTr="00DD02B1">
        <w:trPr>
          <w:trHeight w:val="276"/>
        </w:trPr>
        <w:tc>
          <w:tcPr>
            <w:tcW w:w="3600" w:type="dxa"/>
            <w:tcBorders>
              <w:top w:val="nil"/>
              <w:left w:val="nil"/>
              <w:bottom w:val="nil"/>
              <w:right w:val="nil"/>
            </w:tcBorders>
            <w:shd w:val="clear" w:color="auto" w:fill="auto"/>
            <w:noWrap/>
            <w:vAlign w:val="bottom"/>
            <w:hideMark/>
          </w:tcPr>
          <w:p w14:paraId="5B733E92"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5 - 20 ha</w:t>
            </w:r>
          </w:p>
        </w:tc>
        <w:tc>
          <w:tcPr>
            <w:tcW w:w="1680" w:type="dxa"/>
            <w:tcBorders>
              <w:top w:val="nil"/>
              <w:left w:val="nil"/>
              <w:bottom w:val="nil"/>
              <w:right w:val="nil"/>
            </w:tcBorders>
            <w:shd w:val="clear" w:color="auto" w:fill="auto"/>
            <w:noWrap/>
            <w:vAlign w:val="bottom"/>
            <w:hideMark/>
          </w:tcPr>
          <w:p w14:paraId="6F3458E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-0.0842*</w:t>
            </w:r>
          </w:p>
        </w:tc>
        <w:tc>
          <w:tcPr>
            <w:tcW w:w="2620" w:type="dxa"/>
            <w:tcBorders>
              <w:top w:val="nil"/>
              <w:left w:val="nil"/>
              <w:bottom w:val="nil"/>
              <w:right w:val="nil"/>
            </w:tcBorders>
            <w:shd w:val="clear" w:color="auto" w:fill="auto"/>
            <w:noWrap/>
            <w:vAlign w:val="bottom"/>
            <w:hideMark/>
          </w:tcPr>
          <w:p w14:paraId="46447FE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0.0709</w:t>
            </w:r>
          </w:p>
        </w:tc>
        <w:tc>
          <w:tcPr>
            <w:tcW w:w="1840" w:type="dxa"/>
            <w:tcBorders>
              <w:top w:val="nil"/>
              <w:left w:val="nil"/>
              <w:bottom w:val="nil"/>
              <w:right w:val="nil"/>
            </w:tcBorders>
            <w:shd w:val="clear" w:color="auto" w:fill="auto"/>
            <w:noWrap/>
            <w:vAlign w:val="bottom"/>
            <w:hideMark/>
          </w:tcPr>
          <w:p w14:paraId="4CEB618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-0.00961</w:t>
            </w:r>
          </w:p>
        </w:tc>
        <w:tc>
          <w:tcPr>
            <w:tcW w:w="2220" w:type="dxa"/>
            <w:tcBorders>
              <w:top w:val="nil"/>
              <w:left w:val="nil"/>
              <w:bottom w:val="nil"/>
              <w:right w:val="nil"/>
            </w:tcBorders>
            <w:shd w:val="clear" w:color="auto" w:fill="auto"/>
            <w:noWrap/>
            <w:vAlign w:val="bottom"/>
            <w:hideMark/>
          </w:tcPr>
          <w:p w14:paraId="7D08B8F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-0.0869**</w:t>
            </w:r>
          </w:p>
        </w:tc>
      </w:tr>
      <w:tr w:rsidR="00DD02B1" w:rsidRPr="00DD02B1" w14:paraId="77653DCB" w14:textId="77777777" w:rsidTr="00DD02B1">
        <w:trPr>
          <w:trHeight w:val="276"/>
        </w:trPr>
        <w:tc>
          <w:tcPr>
            <w:tcW w:w="3600" w:type="dxa"/>
            <w:tcBorders>
              <w:top w:val="nil"/>
              <w:left w:val="nil"/>
              <w:bottom w:val="nil"/>
              <w:right w:val="nil"/>
            </w:tcBorders>
            <w:shd w:val="clear" w:color="auto" w:fill="auto"/>
            <w:noWrap/>
            <w:vAlign w:val="bottom"/>
            <w:hideMark/>
          </w:tcPr>
          <w:p w14:paraId="35D5768D"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931D70A"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(0.0475)</w:t>
            </w:r>
          </w:p>
        </w:tc>
        <w:tc>
          <w:tcPr>
            <w:tcW w:w="2620" w:type="dxa"/>
            <w:tcBorders>
              <w:top w:val="nil"/>
              <w:left w:val="nil"/>
              <w:bottom w:val="nil"/>
              <w:right w:val="nil"/>
            </w:tcBorders>
            <w:shd w:val="clear" w:color="auto" w:fill="auto"/>
            <w:noWrap/>
            <w:vAlign w:val="bottom"/>
            <w:hideMark/>
          </w:tcPr>
          <w:p w14:paraId="68136FF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(0.0462)</w:t>
            </w:r>
          </w:p>
        </w:tc>
        <w:tc>
          <w:tcPr>
            <w:tcW w:w="1840" w:type="dxa"/>
            <w:tcBorders>
              <w:top w:val="nil"/>
              <w:left w:val="nil"/>
              <w:bottom w:val="nil"/>
              <w:right w:val="nil"/>
            </w:tcBorders>
            <w:shd w:val="clear" w:color="auto" w:fill="auto"/>
            <w:noWrap/>
            <w:vAlign w:val="bottom"/>
            <w:hideMark/>
          </w:tcPr>
          <w:p w14:paraId="4CBB9F6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(0.0519)</w:t>
            </w:r>
          </w:p>
        </w:tc>
        <w:tc>
          <w:tcPr>
            <w:tcW w:w="2220" w:type="dxa"/>
            <w:tcBorders>
              <w:top w:val="nil"/>
              <w:left w:val="nil"/>
              <w:bottom w:val="nil"/>
              <w:right w:val="nil"/>
            </w:tcBorders>
            <w:shd w:val="clear" w:color="auto" w:fill="auto"/>
            <w:noWrap/>
            <w:vAlign w:val="bottom"/>
            <w:hideMark/>
          </w:tcPr>
          <w:p w14:paraId="54DE8370"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(0.0399)</w:t>
            </w:r>
          </w:p>
        </w:tc>
      </w:tr>
      <w:tr w:rsidR="00DD02B1" w:rsidRPr="00DD02B1" w14:paraId="258D5CEE" w14:textId="77777777" w:rsidTr="00DD02B1">
        <w:trPr>
          <w:trHeight w:val="276"/>
        </w:trPr>
        <w:tc>
          <w:tcPr>
            <w:tcW w:w="3600" w:type="dxa"/>
            <w:tcBorders>
              <w:top w:val="nil"/>
              <w:left w:val="nil"/>
              <w:bottom w:val="single" w:sz="4" w:space="0" w:color="auto"/>
              <w:right w:val="nil"/>
            </w:tcBorders>
            <w:shd w:val="clear" w:color="auto" w:fill="auto"/>
            <w:noWrap/>
            <w:vAlign w:val="bottom"/>
            <w:hideMark/>
          </w:tcPr>
          <w:p w14:paraId="02009A59" w14:textId="1B4F1F20"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Base is  &gt; 20</w:t>
            </w:r>
            <w:r w:rsidR="0017016B">
              <w:rPr>
                <w:rFonts w:ascii="Times New Roman" w:eastAsia="Times New Roman" w:hAnsi="Times New Roman" w:cs="Times New Roman"/>
                <w:lang w:eastAsia="zh-CN"/>
              </w:rPr>
              <w:t xml:space="preserve"> </w:t>
            </w:r>
            <w:r w:rsidRPr="00DD02B1">
              <w:rPr>
                <w:rFonts w:ascii="Times New Roman" w:eastAsia="Times New Roman" w:hAnsi="Times New Roman" w:cs="Times New Roman"/>
                <w:lang w:eastAsia="zh-CN"/>
              </w:rPr>
              <w:t>ha</w:t>
            </w:r>
          </w:p>
        </w:tc>
        <w:tc>
          <w:tcPr>
            <w:tcW w:w="1680" w:type="dxa"/>
            <w:tcBorders>
              <w:top w:val="nil"/>
              <w:left w:val="nil"/>
              <w:bottom w:val="single" w:sz="4" w:space="0" w:color="auto"/>
              <w:right w:val="nil"/>
            </w:tcBorders>
            <w:shd w:val="clear" w:color="auto" w:fill="auto"/>
            <w:noWrap/>
            <w:vAlign w:val="bottom"/>
            <w:hideMark/>
          </w:tcPr>
          <w:p w14:paraId="6C2DF6B6" w14:textId="71FFB91B"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nil"/>
              <w:left w:val="nil"/>
              <w:bottom w:val="single" w:sz="4" w:space="0" w:color="auto"/>
              <w:right w:val="nil"/>
            </w:tcBorders>
            <w:shd w:val="clear" w:color="auto" w:fill="auto"/>
            <w:noWrap/>
            <w:vAlign w:val="bottom"/>
            <w:hideMark/>
          </w:tcPr>
          <w:p w14:paraId="3A5E8EAB" w14:textId="7A6D3DA3"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nil"/>
              <w:left w:val="nil"/>
              <w:bottom w:val="single" w:sz="4" w:space="0" w:color="auto"/>
              <w:right w:val="nil"/>
            </w:tcBorders>
            <w:shd w:val="clear" w:color="auto" w:fill="auto"/>
            <w:noWrap/>
            <w:vAlign w:val="bottom"/>
            <w:hideMark/>
          </w:tcPr>
          <w:p w14:paraId="58940BEA" w14:textId="4BE287BB"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nil"/>
              <w:left w:val="nil"/>
              <w:bottom w:val="single" w:sz="4" w:space="0" w:color="auto"/>
              <w:right w:val="nil"/>
            </w:tcBorders>
            <w:shd w:val="clear" w:color="auto" w:fill="auto"/>
            <w:noWrap/>
            <w:vAlign w:val="bottom"/>
            <w:hideMark/>
          </w:tcPr>
          <w:p w14:paraId="4299E906" w14:textId="4C7DF1F7" w:rsidR="00DD02B1" w:rsidRPr="00DD02B1" w:rsidRDefault="00DD02B1" w:rsidP="00BC6A13">
            <w:pPr>
              <w:spacing w:line="240" w:lineRule="auto"/>
              <w:jc w:val="center"/>
              <w:rPr>
                <w:rFonts w:ascii="Times New Roman" w:eastAsia="Times New Roman" w:hAnsi="Times New Roman" w:cs="Times New Roman"/>
                <w:lang w:eastAsia="zh-CN"/>
              </w:rPr>
            </w:pPr>
          </w:p>
        </w:tc>
      </w:tr>
      <w:tr w:rsidR="00DD02B1" w:rsidRPr="00DD02B1" w14:paraId="438DE534" w14:textId="77777777" w:rsidTr="00DD02B1">
        <w:trPr>
          <w:trHeight w:val="276"/>
        </w:trPr>
        <w:tc>
          <w:tcPr>
            <w:tcW w:w="3600" w:type="dxa"/>
            <w:tcBorders>
              <w:top w:val="nil"/>
              <w:left w:val="nil"/>
              <w:bottom w:val="nil"/>
              <w:right w:val="nil"/>
            </w:tcBorders>
            <w:shd w:val="clear" w:color="auto" w:fill="auto"/>
            <w:noWrap/>
            <w:vAlign w:val="bottom"/>
            <w:hideMark/>
          </w:tcPr>
          <w:p w14:paraId="3B32D075"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Types of district groups</w:t>
            </w:r>
          </w:p>
        </w:tc>
        <w:tc>
          <w:tcPr>
            <w:tcW w:w="1680" w:type="dxa"/>
            <w:tcBorders>
              <w:top w:val="nil"/>
              <w:left w:val="nil"/>
              <w:bottom w:val="nil"/>
              <w:right w:val="nil"/>
            </w:tcBorders>
            <w:shd w:val="clear" w:color="auto" w:fill="auto"/>
            <w:noWrap/>
            <w:vAlign w:val="bottom"/>
            <w:hideMark/>
          </w:tcPr>
          <w:p w14:paraId="2773E29C" w14:textId="16B87330"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nil"/>
              <w:left w:val="nil"/>
              <w:bottom w:val="nil"/>
              <w:right w:val="nil"/>
            </w:tcBorders>
            <w:shd w:val="clear" w:color="auto" w:fill="auto"/>
            <w:noWrap/>
            <w:vAlign w:val="bottom"/>
            <w:hideMark/>
          </w:tcPr>
          <w:p w14:paraId="23C946CD" w14:textId="3D27C5D7"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nil"/>
              <w:left w:val="nil"/>
              <w:bottom w:val="nil"/>
              <w:right w:val="nil"/>
            </w:tcBorders>
            <w:shd w:val="clear" w:color="auto" w:fill="auto"/>
            <w:noWrap/>
            <w:vAlign w:val="bottom"/>
            <w:hideMark/>
          </w:tcPr>
          <w:p w14:paraId="7BADEEED" w14:textId="39DD94EF"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nil"/>
              <w:left w:val="nil"/>
              <w:bottom w:val="nil"/>
              <w:right w:val="nil"/>
            </w:tcBorders>
            <w:shd w:val="clear" w:color="auto" w:fill="auto"/>
            <w:noWrap/>
            <w:vAlign w:val="bottom"/>
            <w:hideMark/>
          </w:tcPr>
          <w:p w14:paraId="5AB3ECBD" w14:textId="04A767C6" w:rsidR="00DD02B1" w:rsidRPr="00DD02B1" w:rsidRDefault="00DD02B1" w:rsidP="00BC6A13">
            <w:pPr>
              <w:spacing w:line="240" w:lineRule="auto"/>
              <w:jc w:val="center"/>
              <w:rPr>
                <w:rFonts w:ascii="Times New Roman" w:eastAsia="Times New Roman" w:hAnsi="Times New Roman" w:cs="Times New Roman"/>
                <w:lang w:eastAsia="zh-CN"/>
              </w:rPr>
            </w:pPr>
          </w:p>
        </w:tc>
      </w:tr>
      <w:tr w:rsidR="00DD02B1" w:rsidRPr="00DD02B1" w14:paraId="3485B5F3" w14:textId="77777777" w:rsidTr="00DD02B1">
        <w:trPr>
          <w:trHeight w:val="336"/>
        </w:trPr>
        <w:tc>
          <w:tcPr>
            <w:tcW w:w="3600" w:type="dxa"/>
            <w:tcBorders>
              <w:top w:val="nil"/>
              <w:left w:val="nil"/>
              <w:bottom w:val="nil"/>
              <w:right w:val="nil"/>
            </w:tcBorders>
            <w:shd w:val="clear" w:color="auto" w:fill="auto"/>
            <w:noWrap/>
            <w:vAlign w:val="bottom"/>
            <w:hideMark/>
          </w:tcPr>
          <w:p w14:paraId="359ECDDD"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2</w:t>
            </w:r>
            <w:r w:rsidRPr="00DD02B1">
              <w:rPr>
                <w:rFonts w:ascii="Times New Roman" w:eastAsia="Times New Roman" w:hAnsi="Times New Roman" w:cs="Times New Roman"/>
                <w:color w:val="000000"/>
                <w:vertAlign w:val="superscript"/>
                <w:lang w:eastAsia="zh-CN"/>
              </w:rPr>
              <w:t>nd</w:t>
            </w:r>
            <w:r w:rsidRPr="00DD02B1">
              <w:rPr>
                <w:rFonts w:ascii="Times New Roman" w:eastAsia="Times New Roman" w:hAnsi="Times New Roman" w:cs="Times New Roman"/>
                <w:color w:val="000000"/>
                <w:lang w:eastAsia="zh-CN"/>
              </w:rPr>
              <w:t xml:space="preserve"> tier city districts, North</w:t>
            </w:r>
          </w:p>
        </w:tc>
        <w:tc>
          <w:tcPr>
            <w:tcW w:w="1680" w:type="dxa"/>
            <w:tcBorders>
              <w:top w:val="nil"/>
              <w:left w:val="nil"/>
              <w:bottom w:val="nil"/>
              <w:right w:val="nil"/>
            </w:tcBorders>
            <w:shd w:val="clear" w:color="auto" w:fill="auto"/>
            <w:noWrap/>
            <w:vAlign w:val="bottom"/>
            <w:hideMark/>
          </w:tcPr>
          <w:p w14:paraId="284C6630"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0.250***</w:t>
            </w:r>
          </w:p>
        </w:tc>
        <w:tc>
          <w:tcPr>
            <w:tcW w:w="2620" w:type="dxa"/>
            <w:tcBorders>
              <w:top w:val="nil"/>
              <w:left w:val="nil"/>
              <w:bottom w:val="nil"/>
              <w:right w:val="nil"/>
            </w:tcBorders>
            <w:shd w:val="clear" w:color="auto" w:fill="auto"/>
            <w:noWrap/>
            <w:vAlign w:val="bottom"/>
            <w:hideMark/>
          </w:tcPr>
          <w:p w14:paraId="15F8FD2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0.174***</w:t>
            </w:r>
          </w:p>
        </w:tc>
        <w:tc>
          <w:tcPr>
            <w:tcW w:w="1840" w:type="dxa"/>
            <w:tcBorders>
              <w:top w:val="nil"/>
              <w:left w:val="nil"/>
              <w:bottom w:val="nil"/>
              <w:right w:val="nil"/>
            </w:tcBorders>
            <w:shd w:val="clear" w:color="auto" w:fill="auto"/>
            <w:noWrap/>
            <w:vAlign w:val="bottom"/>
            <w:hideMark/>
          </w:tcPr>
          <w:p w14:paraId="0C159AF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0.177***</w:t>
            </w:r>
          </w:p>
        </w:tc>
        <w:tc>
          <w:tcPr>
            <w:tcW w:w="2220" w:type="dxa"/>
            <w:tcBorders>
              <w:top w:val="nil"/>
              <w:left w:val="nil"/>
              <w:bottom w:val="nil"/>
              <w:right w:val="nil"/>
            </w:tcBorders>
            <w:shd w:val="clear" w:color="auto" w:fill="auto"/>
            <w:noWrap/>
            <w:vAlign w:val="bottom"/>
            <w:hideMark/>
          </w:tcPr>
          <w:p w14:paraId="33E6B39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0.0803**</w:t>
            </w:r>
          </w:p>
        </w:tc>
      </w:tr>
      <w:tr w:rsidR="00DD02B1" w:rsidRPr="00DD02B1" w14:paraId="23164E11" w14:textId="77777777" w:rsidTr="00DD02B1">
        <w:trPr>
          <w:trHeight w:val="276"/>
        </w:trPr>
        <w:tc>
          <w:tcPr>
            <w:tcW w:w="3600" w:type="dxa"/>
            <w:tcBorders>
              <w:top w:val="nil"/>
              <w:left w:val="nil"/>
              <w:bottom w:val="nil"/>
              <w:right w:val="nil"/>
            </w:tcBorders>
            <w:shd w:val="clear" w:color="auto" w:fill="auto"/>
            <w:noWrap/>
            <w:vAlign w:val="bottom"/>
            <w:hideMark/>
          </w:tcPr>
          <w:p w14:paraId="08A2074B"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AFE7DD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(0.0452)</w:t>
            </w:r>
          </w:p>
        </w:tc>
        <w:tc>
          <w:tcPr>
            <w:tcW w:w="2620" w:type="dxa"/>
            <w:tcBorders>
              <w:top w:val="nil"/>
              <w:left w:val="nil"/>
              <w:bottom w:val="nil"/>
              <w:right w:val="nil"/>
            </w:tcBorders>
            <w:shd w:val="clear" w:color="auto" w:fill="auto"/>
            <w:noWrap/>
            <w:vAlign w:val="bottom"/>
            <w:hideMark/>
          </w:tcPr>
          <w:p w14:paraId="202DB64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(0.0522)</w:t>
            </w:r>
          </w:p>
        </w:tc>
        <w:tc>
          <w:tcPr>
            <w:tcW w:w="1840" w:type="dxa"/>
            <w:tcBorders>
              <w:top w:val="nil"/>
              <w:left w:val="nil"/>
              <w:bottom w:val="nil"/>
              <w:right w:val="nil"/>
            </w:tcBorders>
            <w:shd w:val="clear" w:color="auto" w:fill="auto"/>
            <w:noWrap/>
            <w:vAlign w:val="bottom"/>
            <w:hideMark/>
          </w:tcPr>
          <w:p w14:paraId="14B5DB1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(0.0508)</w:t>
            </w:r>
          </w:p>
        </w:tc>
        <w:tc>
          <w:tcPr>
            <w:tcW w:w="2220" w:type="dxa"/>
            <w:tcBorders>
              <w:top w:val="nil"/>
              <w:left w:val="nil"/>
              <w:bottom w:val="nil"/>
              <w:right w:val="nil"/>
            </w:tcBorders>
            <w:shd w:val="clear" w:color="auto" w:fill="auto"/>
            <w:noWrap/>
            <w:vAlign w:val="bottom"/>
            <w:hideMark/>
          </w:tcPr>
          <w:p w14:paraId="1FA1F3E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(0.0383)</w:t>
            </w:r>
          </w:p>
        </w:tc>
      </w:tr>
      <w:tr w:rsidR="00DD02B1" w:rsidRPr="00DD02B1" w14:paraId="2CEA60E4" w14:textId="77777777" w:rsidTr="00DD02B1">
        <w:trPr>
          <w:trHeight w:val="336"/>
        </w:trPr>
        <w:tc>
          <w:tcPr>
            <w:tcW w:w="3600" w:type="dxa"/>
            <w:tcBorders>
              <w:top w:val="nil"/>
              <w:left w:val="nil"/>
              <w:bottom w:val="nil"/>
              <w:right w:val="nil"/>
            </w:tcBorders>
            <w:shd w:val="clear" w:color="auto" w:fill="auto"/>
            <w:noWrap/>
            <w:vAlign w:val="bottom"/>
            <w:hideMark/>
          </w:tcPr>
          <w:p w14:paraId="29BDACA8"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3</w:t>
            </w:r>
            <w:r w:rsidRPr="00DD02B1">
              <w:rPr>
                <w:rFonts w:ascii="Times New Roman" w:eastAsia="Times New Roman" w:hAnsi="Times New Roman" w:cs="Times New Roman"/>
                <w:color w:val="000000"/>
                <w:vertAlign w:val="superscript"/>
                <w:lang w:eastAsia="zh-CN"/>
              </w:rPr>
              <w:t>rd</w:t>
            </w:r>
            <w:r w:rsidRPr="00DD02B1">
              <w:rPr>
                <w:rFonts w:ascii="Times New Roman" w:eastAsia="Times New Roman" w:hAnsi="Times New Roman" w:cs="Times New Roman"/>
                <w:color w:val="000000"/>
                <w:lang w:eastAsia="zh-CN"/>
              </w:rPr>
              <w:t xml:space="preserve"> tier city districts, North</w:t>
            </w:r>
          </w:p>
        </w:tc>
        <w:tc>
          <w:tcPr>
            <w:tcW w:w="1680" w:type="dxa"/>
            <w:tcBorders>
              <w:top w:val="nil"/>
              <w:left w:val="nil"/>
              <w:bottom w:val="nil"/>
              <w:right w:val="nil"/>
            </w:tcBorders>
            <w:shd w:val="clear" w:color="auto" w:fill="auto"/>
            <w:noWrap/>
            <w:vAlign w:val="bottom"/>
            <w:hideMark/>
          </w:tcPr>
          <w:p w14:paraId="6C9571A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0.187***</w:t>
            </w:r>
          </w:p>
        </w:tc>
        <w:tc>
          <w:tcPr>
            <w:tcW w:w="2620" w:type="dxa"/>
            <w:tcBorders>
              <w:top w:val="nil"/>
              <w:left w:val="nil"/>
              <w:bottom w:val="nil"/>
              <w:right w:val="nil"/>
            </w:tcBorders>
            <w:shd w:val="clear" w:color="auto" w:fill="auto"/>
            <w:noWrap/>
            <w:vAlign w:val="bottom"/>
            <w:hideMark/>
          </w:tcPr>
          <w:p w14:paraId="3C35546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-0.172***</w:t>
            </w:r>
          </w:p>
        </w:tc>
        <w:tc>
          <w:tcPr>
            <w:tcW w:w="1840" w:type="dxa"/>
            <w:tcBorders>
              <w:top w:val="nil"/>
              <w:left w:val="nil"/>
              <w:bottom w:val="nil"/>
              <w:right w:val="nil"/>
            </w:tcBorders>
            <w:shd w:val="clear" w:color="auto" w:fill="auto"/>
            <w:noWrap/>
            <w:vAlign w:val="bottom"/>
            <w:hideMark/>
          </w:tcPr>
          <w:p w14:paraId="64F4CE1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-0.0150</w:t>
            </w:r>
          </w:p>
        </w:tc>
        <w:tc>
          <w:tcPr>
            <w:tcW w:w="2220" w:type="dxa"/>
            <w:tcBorders>
              <w:top w:val="nil"/>
              <w:left w:val="nil"/>
              <w:bottom w:val="nil"/>
              <w:right w:val="nil"/>
            </w:tcBorders>
            <w:shd w:val="clear" w:color="auto" w:fill="auto"/>
            <w:noWrap/>
            <w:vAlign w:val="bottom"/>
            <w:hideMark/>
          </w:tcPr>
          <w:p w14:paraId="1E93F35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-0.000881</w:t>
            </w:r>
          </w:p>
        </w:tc>
      </w:tr>
      <w:tr w:rsidR="00DD02B1" w:rsidRPr="00DD02B1" w14:paraId="3675ADE4" w14:textId="77777777" w:rsidTr="00DD02B1">
        <w:trPr>
          <w:trHeight w:val="276"/>
        </w:trPr>
        <w:tc>
          <w:tcPr>
            <w:tcW w:w="3600" w:type="dxa"/>
            <w:tcBorders>
              <w:top w:val="nil"/>
              <w:left w:val="nil"/>
              <w:bottom w:val="nil"/>
              <w:right w:val="nil"/>
            </w:tcBorders>
            <w:shd w:val="clear" w:color="auto" w:fill="auto"/>
            <w:noWrap/>
            <w:vAlign w:val="bottom"/>
            <w:hideMark/>
          </w:tcPr>
          <w:p w14:paraId="3693C4F9"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DF85C7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(0.0184)</w:t>
            </w:r>
          </w:p>
        </w:tc>
        <w:tc>
          <w:tcPr>
            <w:tcW w:w="2620" w:type="dxa"/>
            <w:tcBorders>
              <w:top w:val="nil"/>
              <w:left w:val="nil"/>
              <w:bottom w:val="nil"/>
              <w:right w:val="nil"/>
            </w:tcBorders>
            <w:shd w:val="clear" w:color="auto" w:fill="auto"/>
            <w:noWrap/>
            <w:vAlign w:val="bottom"/>
            <w:hideMark/>
          </w:tcPr>
          <w:p w14:paraId="1C015E6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(0.0181)</w:t>
            </w:r>
          </w:p>
        </w:tc>
        <w:tc>
          <w:tcPr>
            <w:tcW w:w="1840" w:type="dxa"/>
            <w:tcBorders>
              <w:top w:val="nil"/>
              <w:left w:val="nil"/>
              <w:bottom w:val="nil"/>
              <w:right w:val="nil"/>
            </w:tcBorders>
            <w:shd w:val="clear" w:color="auto" w:fill="auto"/>
            <w:noWrap/>
            <w:vAlign w:val="bottom"/>
            <w:hideMark/>
          </w:tcPr>
          <w:p w14:paraId="7B8EC52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(0.0205)</w:t>
            </w:r>
          </w:p>
        </w:tc>
        <w:tc>
          <w:tcPr>
            <w:tcW w:w="2220" w:type="dxa"/>
            <w:tcBorders>
              <w:top w:val="nil"/>
              <w:left w:val="nil"/>
              <w:bottom w:val="nil"/>
              <w:right w:val="nil"/>
            </w:tcBorders>
            <w:shd w:val="clear" w:color="auto" w:fill="auto"/>
            <w:noWrap/>
            <w:vAlign w:val="bottom"/>
            <w:hideMark/>
          </w:tcPr>
          <w:p w14:paraId="2F2EEE38"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(0.0172)</w:t>
            </w:r>
          </w:p>
        </w:tc>
      </w:tr>
      <w:tr w:rsidR="00DD02B1" w:rsidRPr="00DD02B1" w14:paraId="4D56A3BB" w14:textId="77777777" w:rsidTr="00DD02B1">
        <w:trPr>
          <w:trHeight w:val="276"/>
        </w:trPr>
        <w:tc>
          <w:tcPr>
            <w:tcW w:w="3600" w:type="dxa"/>
            <w:tcBorders>
              <w:top w:val="nil"/>
              <w:left w:val="nil"/>
              <w:bottom w:val="nil"/>
              <w:right w:val="nil"/>
            </w:tcBorders>
            <w:shd w:val="clear" w:color="auto" w:fill="auto"/>
            <w:noWrap/>
            <w:vAlign w:val="bottom"/>
            <w:hideMark/>
          </w:tcPr>
          <w:p w14:paraId="5B9CCB9C"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No city districts, North</w:t>
            </w:r>
          </w:p>
        </w:tc>
        <w:tc>
          <w:tcPr>
            <w:tcW w:w="1680" w:type="dxa"/>
            <w:tcBorders>
              <w:top w:val="nil"/>
              <w:left w:val="nil"/>
              <w:bottom w:val="nil"/>
              <w:right w:val="nil"/>
            </w:tcBorders>
            <w:shd w:val="clear" w:color="auto" w:fill="auto"/>
            <w:noWrap/>
            <w:vAlign w:val="bottom"/>
            <w:hideMark/>
          </w:tcPr>
          <w:p w14:paraId="293BF9F6"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0.139***</w:t>
            </w:r>
          </w:p>
        </w:tc>
        <w:tc>
          <w:tcPr>
            <w:tcW w:w="2620" w:type="dxa"/>
            <w:tcBorders>
              <w:top w:val="nil"/>
              <w:left w:val="nil"/>
              <w:bottom w:val="nil"/>
              <w:right w:val="nil"/>
            </w:tcBorders>
            <w:shd w:val="clear" w:color="auto" w:fill="auto"/>
            <w:noWrap/>
            <w:vAlign w:val="bottom"/>
            <w:hideMark/>
          </w:tcPr>
          <w:p w14:paraId="7CF1277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-0.0827***</w:t>
            </w:r>
          </w:p>
        </w:tc>
        <w:tc>
          <w:tcPr>
            <w:tcW w:w="1840" w:type="dxa"/>
            <w:tcBorders>
              <w:top w:val="nil"/>
              <w:left w:val="nil"/>
              <w:bottom w:val="nil"/>
              <w:right w:val="nil"/>
            </w:tcBorders>
            <w:shd w:val="clear" w:color="auto" w:fill="auto"/>
            <w:noWrap/>
            <w:vAlign w:val="bottom"/>
            <w:hideMark/>
          </w:tcPr>
          <w:p w14:paraId="4A84A71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0.0103</w:t>
            </w:r>
          </w:p>
        </w:tc>
        <w:tc>
          <w:tcPr>
            <w:tcW w:w="2220" w:type="dxa"/>
            <w:tcBorders>
              <w:top w:val="nil"/>
              <w:left w:val="nil"/>
              <w:bottom w:val="nil"/>
              <w:right w:val="nil"/>
            </w:tcBorders>
            <w:shd w:val="clear" w:color="auto" w:fill="auto"/>
            <w:noWrap/>
            <w:vAlign w:val="bottom"/>
            <w:hideMark/>
          </w:tcPr>
          <w:p w14:paraId="5E0A547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-0.00338</w:t>
            </w:r>
          </w:p>
        </w:tc>
      </w:tr>
      <w:tr w:rsidR="00DD02B1" w:rsidRPr="00DD02B1" w14:paraId="351FBD9A" w14:textId="77777777" w:rsidTr="00DD02B1">
        <w:trPr>
          <w:trHeight w:val="276"/>
        </w:trPr>
        <w:tc>
          <w:tcPr>
            <w:tcW w:w="3600" w:type="dxa"/>
            <w:tcBorders>
              <w:top w:val="nil"/>
              <w:left w:val="nil"/>
              <w:bottom w:val="nil"/>
              <w:right w:val="nil"/>
            </w:tcBorders>
            <w:shd w:val="clear" w:color="auto" w:fill="auto"/>
            <w:noWrap/>
            <w:vAlign w:val="bottom"/>
            <w:hideMark/>
          </w:tcPr>
          <w:p w14:paraId="0FD4229D"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840A72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(0.0138)</w:t>
            </w:r>
          </w:p>
        </w:tc>
        <w:tc>
          <w:tcPr>
            <w:tcW w:w="2620" w:type="dxa"/>
            <w:tcBorders>
              <w:top w:val="nil"/>
              <w:left w:val="nil"/>
              <w:bottom w:val="nil"/>
              <w:right w:val="nil"/>
            </w:tcBorders>
            <w:shd w:val="clear" w:color="auto" w:fill="auto"/>
            <w:noWrap/>
            <w:vAlign w:val="bottom"/>
            <w:hideMark/>
          </w:tcPr>
          <w:p w14:paraId="4359F70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(0.0137)</w:t>
            </w:r>
          </w:p>
        </w:tc>
        <w:tc>
          <w:tcPr>
            <w:tcW w:w="1840" w:type="dxa"/>
            <w:tcBorders>
              <w:top w:val="nil"/>
              <w:left w:val="nil"/>
              <w:bottom w:val="nil"/>
              <w:right w:val="nil"/>
            </w:tcBorders>
            <w:shd w:val="clear" w:color="auto" w:fill="auto"/>
            <w:noWrap/>
            <w:vAlign w:val="bottom"/>
            <w:hideMark/>
          </w:tcPr>
          <w:p w14:paraId="6D67DD81"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(0.0154)</w:t>
            </w:r>
          </w:p>
        </w:tc>
        <w:tc>
          <w:tcPr>
            <w:tcW w:w="2220" w:type="dxa"/>
            <w:tcBorders>
              <w:top w:val="nil"/>
              <w:left w:val="nil"/>
              <w:bottom w:val="nil"/>
              <w:right w:val="nil"/>
            </w:tcBorders>
            <w:shd w:val="clear" w:color="auto" w:fill="auto"/>
            <w:noWrap/>
            <w:vAlign w:val="bottom"/>
            <w:hideMark/>
          </w:tcPr>
          <w:p w14:paraId="44A97CA6"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(0.0128)</w:t>
            </w:r>
          </w:p>
        </w:tc>
      </w:tr>
      <w:tr w:rsidR="00DD02B1" w:rsidRPr="00DD02B1" w14:paraId="2773B409" w14:textId="77777777" w:rsidTr="00DD02B1">
        <w:trPr>
          <w:trHeight w:val="276"/>
        </w:trPr>
        <w:tc>
          <w:tcPr>
            <w:tcW w:w="3600" w:type="dxa"/>
            <w:tcBorders>
              <w:top w:val="nil"/>
              <w:left w:val="nil"/>
              <w:bottom w:val="nil"/>
              <w:right w:val="nil"/>
            </w:tcBorders>
            <w:shd w:val="clear" w:color="auto" w:fill="auto"/>
            <w:noWrap/>
            <w:vAlign w:val="bottom"/>
            <w:hideMark/>
          </w:tcPr>
          <w:p w14:paraId="1DB999DC"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Big city districts, South</w:t>
            </w:r>
          </w:p>
        </w:tc>
        <w:tc>
          <w:tcPr>
            <w:tcW w:w="1680" w:type="dxa"/>
            <w:tcBorders>
              <w:top w:val="nil"/>
              <w:left w:val="nil"/>
              <w:bottom w:val="nil"/>
              <w:right w:val="nil"/>
            </w:tcBorders>
            <w:shd w:val="clear" w:color="auto" w:fill="auto"/>
            <w:noWrap/>
            <w:vAlign w:val="bottom"/>
            <w:hideMark/>
          </w:tcPr>
          <w:p w14:paraId="7450496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0.0217</w:t>
            </w:r>
          </w:p>
        </w:tc>
        <w:tc>
          <w:tcPr>
            <w:tcW w:w="2620" w:type="dxa"/>
            <w:tcBorders>
              <w:top w:val="nil"/>
              <w:left w:val="nil"/>
              <w:bottom w:val="nil"/>
              <w:right w:val="nil"/>
            </w:tcBorders>
            <w:shd w:val="clear" w:color="auto" w:fill="auto"/>
            <w:noWrap/>
            <w:vAlign w:val="bottom"/>
            <w:hideMark/>
          </w:tcPr>
          <w:p w14:paraId="471C4B3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-0.0730</w:t>
            </w:r>
          </w:p>
        </w:tc>
        <w:tc>
          <w:tcPr>
            <w:tcW w:w="1840" w:type="dxa"/>
            <w:tcBorders>
              <w:top w:val="nil"/>
              <w:left w:val="nil"/>
              <w:bottom w:val="nil"/>
              <w:right w:val="nil"/>
            </w:tcBorders>
            <w:shd w:val="clear" w:color="auto" w:fill="auto"/>
            <w:noWrap/>
            <w:vAlign w:val="bottom"/>
            <w:hideMark/>
          </w:tcPr>
          <w:p w14:paraId="237E0DF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0.180*</w:t>
            </w:r>
          </w:p>
        </w:tc>
        <w:tc>
          <w:tcPr>
            <w:tcW w:w="2220" w:type="dxa"/>
            <w:tcBorders>
              <w:top w:val="nil"/>
              <w:left w:val="nil"/>
              <w:bottom w:val="nil"/>
              <w:right w:val="nil"/>
            </w:tcBorders>
            <w:shd w:val="clear" w:color="auto" w:fill="auto"/>
            <w:noWrap/>
            <w:vAlign w:val="bottom"/>
            <w:hideMark/>
          </w:tcPr>
          <w:p w14:paraId="35EB85A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0.175**</w:t>
            </w:r>
          </w:p>
        </w:tc>
      </w:tr>
      <w:tr w:rsidR="00DD02B1" w:rsidRPr="00DD02B1" w14:paraId="760CEADF" w14:textId="77777777" w:rsidTr="00DD02B1">
        <w:trPr>
          <w:trHeight w:val="276"/>
        </w:trPr>
        <w:tc>
          <w:tcPr>
            <w:tcW w:w="3600" w:type="dxa"/>
            <w:tcBorders>
              <w:top w:val="nil"/>
              <w:left w:val="nil"/>
              <w:bottom w:val="nil"/>
              <w:right w:val="nil"/>
            </w:tcBorders>
            <w:shd w:val="clear" w:color="auto" w:fill="auto"/>
            <w:noWrap/>
            <w:vAlign w:val="bottom"/>
            <w:hideMark/>
          </w:tcPr>
          <w:p w14:paraId="1CCE789D"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37F5F37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(0.107)</w:t>
            </w:r>
          </w:p>
        </w:tc>
        <w:tc>
          <w:tcPr>
            <w:tcW w:w="2620" w:type="dxa"/>
            <w:tcBorders>
              <w:top w:val="nil"/>
              <w:left w:val="nil"/>
              <w:bottom w:val="nil"/>
              <w:right w:val="nil"/>
            </w:tcBorders>
            <w:shd w:val="clear" w:color="auto" w:fill="auto"/>
            <w:noWrap/>
            <w:vAlign w:val="bottom"/>
            <w:hideMark/>
          </w:tcPr>
          <w:p w14:paraId="718A845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(0.109)</w:t>
            </w:r>
          </w:p>
        </w:tc>
        <w:tc>
          <w:tcPr>
            <w:tcW w:w="1840" w:type="dxa"/>
            <w:tcBorders>
              <w:top w:val="nil"/>
              <w:left w:val="nil"/>
              <w:bottom w:val="nil"/>
              <w:right w:val="nil"/>
            </w:tcBorders>
            <w:shd w:val="clear" w:color="auto" w:fill="auto"/>
            <w:noWrap/>
            <w:vAlign w:val="bottom"/>
            <w:hideMark/>
          </w:tcPr>
          <w:p w14:paraId="6A048C9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(0.103)</w:t>
            </w:r>
          </w:p>
        </w:tc>
        <w:tc>
          <w:tcPr>
            <w:tcW w:w="2220" w:type="dxa"/>
            <w:tcBorders>
              <w:top w:val="nil"/>
              <w:left w:val="nil"/>
              <w:bottom w:val="nil"/>
              <w:right w:val="nil"/>
            </w:tcBorders>
            <w:shd w:val="clear" w:color="auto" w:fill="auto"/>
            <w:noWrap/>
            <w:vAlign w:val="bottom"/>
            <w:hideMark/>
          </w:tcPr>
          <w:p w14:paraId="4B93897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(0.0857)</w:t>
            </w:r>
          </w:p>
        </w:tc>
      </w:tr>
      <w:tr w:rsidR="00DD02B1" w:rsidRPr="00DD02B1" w14:paraId="7C027A8F" w14:textId="77777777" w:rsidTr="00DD02B1">
        <w:trPr>
          <w:trHeight w:val="336"/>
        </w:trPr>
        <w:tc>
          <w:tcPr>
            <w:tcW w:w="3600" w:type="dxa"/>
            <w:tcBorders>
              <w:top w:val="nil"/>
              <w:left w:val="nil"/>
              <w:bottom w:val="nil"/>
              <w:right w:val="nil"/>
            </w:tcBorders>
            <w:shd w:val="clear" w:color="auto" w:fill="auto"/>
            <w:noWrap/>
            <w:vAlign w:val="bottom"/>
            <w:hideMark/>
          </w:tcPr>
          <w:p w14:paraId="689B7501"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2</w:t>
            </w:r>
            <w:r w:rsidRPr="00DD02B1">
              <w:rPr>
                <w:rFonts w:ascii="Times New Roman" w:eastAsia="Times New Roman" w:hAnsi="Times New Roman" w:cs="Times New Roman"/>
                <w:color w:val="000000"/>
                <w:vertAlign w:val="superscript"/>
                <w:lang w:eastAsia="zh-CN"/>
              </w:rPr>
              <w:t>nd</w:t>
            </w:r>
            <w:r w:rsidRPr="00DD02B1">
              <w:rPr>
                <w:rFonts w:ascii="Times New Roman" w:eastAsia="Times New Roman" w:hAnsi="Times New Roman" w:cs="Times New Roman"/>
                <w:color w:val="000000"/>
                <w:lang w:eastAsia="zh-CN"/>
              </w:rPr>
              <w:t xml:space="preserve"> tier city districts, South</w:t>
            </w:r>
          </w:p>
        </w:tc>
        <w:tc>
          <w:tcPr>
            <w:tcW w:w="1680" w:type="dxa"/>
            <w:tcBorders>
              <w:top w:val="nil"/>
              <w:left w:val="nil"/>
              <w:bottom w:val="nil"/>
              <w:right w:val="nil"/>
            </w:tcBorders>
            <w:shd w:val="clear" w:color="auto" w:fill="auto"/>
            <w:noWrap/>
            <w:vAlign w:val="bottom"/>
            <w:hideMark/>
          </w:tcPr>
          <w:p w14:paraId="2EE49B4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-0.00633</w:t>
            </w:r>
          </w:p>
        </w:tc>
        <w:tc>
          <w:tcPr>
            <w:tcW w:w="2620" w:type="dxa"/>
            <w:tcBorders>
              <w:top w:val="nil"/>
              <w:left w:val="nil"/>
              <w:bottom w:val="nil"/>
              <w:right w:val="nil"/>
            </w:tcBorders>
            <w:shd w:val="clear" w:color="auto" w:fill="auto"/>
            <w:noWrap/>
            <w:vAlign w:val="bottom"/>
            <w:hideMark/>
          </w:tcPr>
          <w:p w14:paraId="1325CC8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-0.159***</w:t>
            </w:r>
          </w:p>
        </w:tc>
        <w:tc>
          <w:tcPr>
            <w:tcW w:w="1840" w:type="dxa"/>
            <w:tcBorders>
              <w:top w:val="nil"/>
              <w:left w:val="nil"/>
              <w:bottom w:val="nil"/>
              <w:right w:val="nil"/>
            </w:tcBorders>
            <w:shd w:val="clear" w:color="auto" w:fill="auto"/>
            <w:noWrap/>
            <w:vAlign w:val="bottom"/>
            <w:hideMark/>
          </w:tcPr>
          <w:p w14:paraId="2C2554A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0.0604</w:t>
            </w:r>
          </w:p>
        </w:tc>
        <w:tc>
          <w:tcPr>
            <w:tcW w:w="2220" w:type="dxa"/>
            <w:tcBorders>
              <w:top w:val="nil"/>
              <w:left w:val="nil"/>
              <w:bottom w:val="nil"/>
              <w:right w:val="nil"/>
            </w:tcBorders>
            <w:shd w:val="clear" w:color="auto" w:fill="auto"/>
            <w:noWrap/>
            <w:vAlign w:val="bottom"/>
            <w:hideMark/>
          </w:tcPr>
          <w:p w14:paraId="2F2D682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-0.0807</w:t>
            </w:r>
          </w:p>
        </w:tc>
      </w:tr>
      <w:tr w:rsidR="00DD02B1" w:rsidRPr="00DD02B1" w14:paraId="38EF520A" w14:textId="77777777" w:rsidTr="00DD02B1">
        <w:trPr>
          <w:trHeight w:val="276"/>
        </w:trPr>
        <w:tc>
          <w:tcPr>
            <w:tcW w:w="3600" w:type="dxa"/>
            <w:tcBorders>
              <w:top w:val="nil"/>
              <w:left w:val="nil"/>
              <w:bottom w:val="nil"/>
              <w:right w:val="nil"/>
            </w:tcBorders>
            <w:shd w:val="clear" w:color="auto" w:fill="auto"/>
            <w:noWrap/>
            <w:vAlign w:val="bottom"/>
            <w:hideMark/>
          </w:tcPr>
          <w:p w14:paraId="0624B597"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9571C3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(0.0621)</w:t>
            </w:r>
          </w:p>
        </w:tc>
        <w:tc>
          <w:tcPr>
            <w:tcW w:w="2620" w:type="dxa"/>
            <w:tcBorders>
              <w:top w:val="nil"/>
              <w:left w:val="nil"/>
              <w:bottom w:val="nil"/>
              <w:right w:val="nil"/>
            </w:tcBorders>
            <w:shd w:val="clear" w:color="auto" w:fill="auto"/>
            <w:noWrap/>
            <w:vAlign w:val="bottom"/>
            <w:hideMark/>
          </w:tcPr>
          <w:p w14:paraId="2DE2A3A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(0.0587)</w:t>
            </w:r>
          </w:p>
        </w:tc>
        <w:tc>
          <w:tcPr>
            <w:tcW w:w="1840" w:type="dxa"/>
            <w:tcBorders>
              <w:top w:val="nil"/>
              <w:left w:val="nil"/>
              <w:bottom w:val="nil"/>
              <w:right w:val="nil"/>
            </w:tcBorders>
            <w:shd w:val="clear" w:color="auto" w:fill="auto"/>
            <w:noWrap/>
            <w:vAlign w:val="bottom"/>
            <w:hideMark/>
          </w:tcPr>
          <w:p w14:paraId="6AAD1B8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(0.0669)</w:t>
            </w:r>
          </w:p>
        </w:tc>
        <w:tc>
          <w:tcPr>
            <w:tcW w:w="2220" w:type="dxa"/>
            <w:tcBorders>
              <w:top w:val="nil"/>
              <w:left w:val="nil"/>
              <w:bottom w:val="nil"/>
              <w:right w:val="nil"/>
            </w:tcBorders>
            <w:shd w:val="clear" w:color="auto" w:fill="auto"/>
            <w:noWrap/>
            <w:vAlign w:val="bottom"/>
            <w:hideMark/>
          </w:tcPr>
          <w:p w14:paraId="0E06E0E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(0.0630)</w:t>
            </w:r>
          </w:p>
        </w:tc>
      </w:tr>
      <w:tr w:rsidR="00DD02B1" w:rsidRPr="00DD02B1" w14:paraId="1E899636" w14:textId="77777777" w:rsidTr="00DD02B1">
        <w:trPr>
          <w:trHeight w:val="336"/>
        </w:trPr>
        <w:tc>
          <w:tcPr>
            <w:tcW w:w="3600" w:type="dxa"/>
            <w:tcBorders>
              <w:top w:val="nil"/>
              <w:left w:val="nil"/>
              <w:bottom w:val="nil"/>
              <w:right w:val="nil"/>
            </w:tcBorders>
            <w:shd w:val="clear" w:color="auto" w:fill="auto"/>
            <w:noWrap/>
            <w:vAlign w:val="bottom"/>
            <w:hideMark/>
          </w:tcPr>
          <w:p w14:paraId="502B2C17"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3</w:t>
            </w:r>
            <w:r w:rsidRPr="00DD02B1">
              <w:rPr>
                <w:rFonts w:ascii="Times New Roman" w:eastAsia="Times New Roman" w:hAnsi="Times New Roman" w:cs="Times New Roman"/>
                <w:color w:val="000000"/>
                <w:vertAlign w:val="superscript"/>
                <w:lang w:eastAsia="zh-CN"/>
              </w:rPr>
              <w:t>rd</w:t>
            </w:r>
            <w:r w:rsidRPr="00DD02B1">
              <w:rPr>
                <w:rFonts w:ascii="Times New Roman" w:eastAsia="Times New Roman" w:hAnsi="Times New Roman" w:cs="Times New Roman"/>
                <w:color w:val="000000"/>
                <w:lang w:eastAsia="zh-CN"/>
              </w:rPr>
              <w:t xml:space="preserve"> tier city districts, South</w:t>
            </w:r>
          </w:p>
        </w:tc>
        <w:tc>
          <w:tcPr>
            <w:tcW w:w="1680" w:type="dxa"/>
            <w:tcBorders>
              <w:top w:val="nil"/>
              <w:left w:val="nil"/>
              <w:bottom w:val="nil"/>
              <w:right w:val="nil"/>
            </w:tcBorders>
            <w:shd w:val="clear" w:color="auto" w:fill="auto"/>
            <w:noWrap/>
            <w:vAlign w:val="bottom"/>
            <w:hideMark/>
          </w:tcPr>
          <w:p w14:paraId="23473BC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-0.0693***</w:t>
            </w:r>
          </w:p>
        </w:tc>
        <w:tc>
          <w:tcPr>
            <w:tcW w:w="2620" w:type="dxa"/>
            <w:tcBorders>
              <w:top w:val="nil"/>
              <w:left w:val="nil"/>
              <w:bottom w:val="nil"/>
              <w:right w:val="nil"/>
            </w:tcBorders>
            <w:shd w:val="clear" w:color="auto" w:fill="auto"/>
            <w:noWrap/>
            <w:vAlign w:val="bottom"/>
            <w:hideMark/>
          </w:tcPr>
          <w:p w14:paraId="7ECC4D4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-0.0404***</w:t>
            </w:r>
          </w:p>
        </w:tc>
        <w:tc>
          <w:tcPr>
            <w:tcW w:w="1840" w:type="dxa"/>
            <w:tcBorders>
              <w:top w:val="nil"/>
              <w:left w:val="nil"/>
              <w:bottom w:val="nil"/>
              <w:right w:val="nil"/>
            </w:tcBorders>
            <w:shd w:val="clear" w:color="auto" w:fill="auto"/>
            <w:noWrap/>
            <w:vAlign w:val="bottom"/>
            <w:hideMark/>
          </w:tcPr>
          <w:p w14:paraId="7EBE7C4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-0.0254</w:t>
            </w:r>
          </w:p>
        </w:tc>
        <w:tc>
          <w:tcPr>
            <w:tcW w:w="2220" w:type="dxa"/>
            <w:tcBorders>
              <w:top w:val="nil"/>
              <w:left w:val="nil"/>
              <w:bottom w:val="nil"/>
              <w:right w:val="nil"/>
            </w:tcBorders>
            <w:shd w:val="clear" w:color="auto" w:fill="auto"/>
            <w:noWrap/>
            <w:vAlign w:val="bottom"/>
            <w:hideMark/>
          </w:tcPr>
          <w:p w14:paraId="6CB2B2F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-0.00712</w:t>
            </w:r>
          </w:p>
        </w:tc>
      </w:tr>
      <w:tr w:rsidR="00DD02B1" w:rsidRPr="00DD02B1" w14:paraId="3D565662" w14:textId="77777777" w:rsidTr="00DD02B1">
        <w:trPr>
          <w:trHeight w:val="276"/>
        </w:trPr>
        <w:tc>
          <w:tcPr>
            <w:tcW w:w="3600" w:type="dxa"/>
            <w:tcBorders>
              <w:top w:val="nil"/>
              <w:left w:val="nil"/>
              <w:bottom w:val="nil"/>
              <w:right w:val="nil"/>
            </w:tcBorders>
            <w:shd w:val="clear" w:color="auto" w:fill="auto"/>
            <w:noWrap/>
            <w:vAlign w:val="bottom"/>
            <w:hideMark/>
          </w:tcPr>
          <w:p w14:paraId="1F546AAA"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048CB57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(0.0156)</w:t>
            </w:r>
          </w:p>
        </w:tc>
        <w:tc>
          <w:tcPr>
            <w:tcW w:w="2620" w:type="dxa"/>
            <w:tcBorders>
              <w:top w:val="nil"/>
              <w:left w:val="nil"/>
              <w:bottom w:val="nil"/>
              <w:right w:val="nil"/>
            </w:tcBorders>
            <w:shd w:val="clear" w:color="auto" w:fill="auto"/>
            <w:noWrap/>
            <w:vAlign w:val="bottom"/>
            <w:hideMark/>
          </w:tcPr>
          <w:p w14:paraId="2519F7B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(0.0150)</w:t>
            </w:r>
          </w:p>
        </w:tc>
        <w:tc>
          <w:tcPr>
            <w:tcW w:w="1840" w:type="dxa"/>
            <w:tcBorders>
              <w:top w:val="nil"/>
              <w:left w:val="nil"/>
              <w:bottom w:val="nil"/>
              <w:right w:val="nil"/>
            </w:tcBorders>
            <w:shd w:val="clear" w:color="auto" w:fill="auto"/>
            <w:noWrap/>
            <w:vAlign w:val="bottom"/>
            <w:hideMark/>
          </w:tcPr>
          <w:p w14:paraId="7041C3E8"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(0.0166)</w:t>
            </w:r>
          </w:p>
        </w:tc>
        <w:tc>
          <w:tcPr>
            <w:tcW w:w="2220" w:type="dxa"/>
            <w:tcBorders>
              <w:top w:val="nil"/>
              <w:left w:val="nil"/>
              <w:bottom w:val="nil"/>
              <w:right w:val="nil"/>
            </w:tcBorders>
            <w:shd w:val="clear" w:color="auto" w:fill="auto"/>
            <w:noWrap/>
            <w:vAlign w:val="bottom"/>
            <w:hideMark/>
          </w:tcPr>
          <w:p w14:paraId="2605889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(0.0140)</w:t>
            </w:r>
          </w:p>
        </w:tc>
      </w:tr>
      <w:tr w:rsidR="00DD02B1" w:rsidRPr="00DD02B1" w14:paraId="6507BA1C" w14:textId="77777777" w:rsidTr="00DD02B1">
        <w:trPr>
          <w:trHeight w:val="276"/>
        </w:trPr>
        <w:tc>
          <w:tcPr>
            <w:tcW w:w="3600" w:type="dxa"/>
            <w:tcBorders>
              <w:top w:val="nil"/>
              <w:left w:val="nil"/>
              <w:bottom w:val="single" w:sz="4" w:space="0" w:color="auto"/>
              <w:right w:val="nil"/>
            </w:tcBorders>
            <w:shd w:val="clear" w:color="auto" w:fill="auto"/>
            <w:noWrap/>
            <w:vAlign w:val="bottom"/>
            <w:hideMark/>
          </w:tcPr>
          <w:p w14:paraId="343CD0A8"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Base is no city districts, South</w:t>
            </w:r>
          </w:p>
        </w:tc>
        <w:tc>
          <w:tcPr>
            <w:tcW w:w="1680" w:type="dxa"/>
            <w:tcBorders>
              <w:top w:val="nil"/>
              <w:left w:val="nil"/>
              <w:bottom w:val="single" w:sz="4" w:space="0" w:color="auto"/>
              <w:right w:val="nil"/>
            </w:tcBorders>
            <w:shd w:val="clear" w:color="auto" w:fill="auto"/>
            <w:noWrap/>
            <w:vAlign w:val="bottom"/>
            <w:hideMark/>
          </w:tcPr>
          <w:p w14:paraId="1C1D9BD1" w14:textId="2544CD54"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nil"/>
              <w:left w:val="nil"/>
              <w:bottom w:val="single" w:sz="4" w:space="0" w:color="auto"/>
              <w:right w:val="nil"/>
            </w:tcBorders>
            <w:shd w:val="clear" w:color="auto" w:fill="auto"/>
            <w:noWrap/>
            <w:vAlign w:val="bottom"/>
            <w:hideMark/>
          </w:tcPr>
          <w:p w14:paraId="36EF7226" w14:textId="5B85E468"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nil"/>
              <w:left w:val="nil"/>
              <w:bottom w:val="single" w:sz="4" w:space="0" w:color="auto"/>
              <w:right w:val="nil"/>
            </w:tcBorders>
            <w:shd w:val="clear" w:color="auto" w:fill="auto"/>
            <w:noWrap/>
            <w:vAlign w:val="bottom"/>
            <w:hideMark/>
          </w:tcPr>
          <w:p w14:paraId="1AFAF1C0" w14:textId="3A986244"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nil"/>
              <w:left w:val="nil"/>
              <w:bottom w:val="single" w:sz="4" w:space="0" w:color="auto"/>
              <w:right w:val="nil"/>
            </w:tcBorders>
            <w:shd w:val="clear" w:color="auto" w:fill="auto"/>
            <w:noWrap/>
            <w:vAlign w:val="bottom"/>
            <w:hideMark/>
          </w:tcPr>
          <w:p w14:paraId="28191357" w14:textId="02FEA78B" w:rsidR="00DD02B1" w:rsidRPr="00DD02B1" w:rsidRDefault="00DD02B1" w:rsidP="00BC6A13">
            <w:pPr>
              <w:spacing w:line="240" w:lineRule="auto"/>
              <w:jc w:val="center"/>
              <w:rPr>
                <w:rFonts w:ascii="Times New Roman" w:eastAsia="Times New Roman" w:hAnsi="Times New Roman" w:cs="Times New Roman"/>
                <w:lang w:eastAsia="zh-CN"/>
              </w:rPr>
            </w:pPr>
          </w:p>
        </w:tc>
      </w:tr>
    </w:tbl>
    <w:p w14:paraId="339779B6" w14:textId="77777777" w:rsidR="00B67D55" w:rsidRPr="00CD704D" w:rsidRDefault="00B67D55" w:rsidP="00EF7FD9">
      <w:pPr>
        <w:spacing w:line="240" w:lineRule="auto"/>
        <w:jc w:val="both"/>
        <w:rPr>
          <w:rFonts w:ascii="Times New Roman" w:eastAsia="Times New Roman" w:hAnsi="Times New Roman" w:cs="Times New Roman"/>
          <w:sz w:val="24"/>
          <w:szCs w:val="24"/>
        </w:rPr>
      </w:pPr>
      <w:r w:rsidRPr="00CD704D">
        <w:rPr>
          <w:rFonts w:ascii="Times New Roman" w:eastAsia="Times New Roman" w:hAnsi="Times New Roman" w:cs="Times New Roman"/>
          <w:sz w:val="24"/>
          <w:szCs w:val="24"/>
        </w:rPr>
        <w:t>* p&lt;0.1, ** p&lt;0.05, *** p&lt;0.01</w:t>
      </w:r>
      <w:r w:rsidRPr="00CD704D">
        <w:rPr>
          <w:rFonts w:ascii="Times New Roman" w:eastAsia="Times New Roman" w:hAnsi="Times New Roman" w:cs="Times New Roman"/>
          <w:sz w:val="24"/>
          <w:szCs w:val="24"/>
        </w:rPr>
        <w:tab/>
      </w:r>
    </w:p>
    <w:p w14:paraId="552518A0" w14:textId="093A6157" w:rsidR="00B67D55" w:rsidRPr="00EC5A2C" w:rsidRDefault="00B67D55" w:rsidP="00EF7FD9">
      <w:pPr>
        <w:spacing w:line="240" w:lineRule="auto"/>
        <w:jc w:val="both"/>
        <w:rPr>
          <w:rFonts w:ascii="Times New Roman" w:eastAsia="Times New Roman" w:hAnsi="Times New Roman" w:cs="Times New Roman"/>
        </w:rPr>
      </w:pPr>
      <w:r w:rsidRPr="00EC5A2C">
        <w:rPr>
          <w:rFonts w:ascii="Times New Roman" w:eastAsia="Times New Roman" w:hAnsi="Times New Roman" w:cs="Times New Roman"/>
        </w:rPr>
        <w:t xml:space="preserve">Notes: Farm size is </w:t>
      </w:r>
      <w:r w:rsidR="00EC5A2C">
        <w:rPr>
          <w:rFonts w:ascii="Times New Roman" w:eastAsia="Times New Roman" w:hAnsi="Times New Roman" w:cs="Times New Roman"/>
        </w:rPr>
        <w:t>based on cultivated area</w:t>
      </w:r>
      <w:r w:rsidRPr="00EC5A2C">
        <w:rPr>
          <w:rFonts w:ascii="Times New Roman" w:eastAsia="Times New Roman" w:hAnsi="Times New Roman" w:cs="Times New Roman"/>
        </w:rPr>
        <w:t xml:space="preserve">. </w:t>
      </w:r>
      <w:r w:rsidR="00BD5B4D">
        <w:rPr>
          <w:rFonts w:ascii="Times New Roman" w:eastAsia="Times New Roman" w:hAnsi="Times New Roman" w:cs="Times New Roman"/>
        </w:rPr>
        <w:t>R</w:t>
      </w:r>
      <w:r w:rsidRPr="00EC5A2C">
        <w:rPr>
          <w:rFonts w:ascii="Times New Roman" w:eastAsia="Times New Roman" w:hAnsi="Times New Roman" w:cs="Times New Roman"/>
        </w:rPr>
        <w:t xml:space="preserve">ural households </w:t>
      </w:r>
      <w:r w:rsidR="00BD5B4D">
        <w:rPr>
          <w:rFonts w:ascii="Times New Roman" w:eastAsia="Times New Roman" w:hAnsi="Times New Roman" w:cs="Times New Roman"/>
        </w:rPr>
        <w:t xml:space="preserve">defined as agricultural only or agricultural and nonagricultural mixed households </w:t>
      </w:r>
      <w:r w:rsidR="00EC5A2C">
        <w:rPr>
          <w:rFonts w:ascii="Times New Roman" w:eastAsia="Times New Roman" w:hAnsi="Times New Roman" w:cs="Times New Roman"/>
        </w:rPr>
        <w:t>in</w:t>
      </w:r>
      <w:r w:rsidRPr="00EC5A2C">
        <w:rPr>
          <w:rFonts w:ascii="Times New Roman" w:eastAsia="Times New Roman" w:hAnsi="Times New Roman" w:cs="Times New Roman"/>
        </w:rPr>
        <w:t xml:space="preserve"> GLSS5 are included in the regressions. </w:t>
      </w:r>
    </w:p>
    <w:p w14:paraId="0B2EA658" w14:textId="5D360F1B" w:rsidR="00B67D55" w:rsidRPr="00CD704D" w:rsidRDefault="00B67D55" w:rsidP="00EF7FD9">
      <w:pPr>
        <w:spacing w:line="240" w:lineRule="auto"/>
        <w:jc w:val="both"/>
        <w:rPr>
          <w:rFonts w:ascii="Times New Roman" w:eastAsia="Times New Roman" w:hAnsi="Times New Roman" w:cs="Times New Roman"/>
          <w:sz w:val="24"/>
          <w:szCs w:val="24"/>
        </w:rPr>
      </w:pPr>
      <w:r w:rsidRPr="00EC5A2C">
        <w:rPr>
          <w:rFonts w:ascii="Times New Roman" w:eastAsia="Times New Roman" w:hAnsi="Times New Roman" w:cs="Times New Roman"/>
        </w:rPr>
        <w:t xml:space="preserve">Source: Authors own estimation using GLSS5 </w:t>
      </w:r>
      <w:r w:rsidR="00BD5B4D">
        <w:rPr>
          <w:rFonts w:ascii="Times New Roman" w:eastAsia="Times New Roman" w:hAnsi="Times New Roman" w:cs="Times New Roman"/>
        </w:rPr>
        <w:t xml:space="preserve">and GLSS6 </w:t>
      </w:r>
      <w:r w:rsidRPr="00EC5A2C">
        <w:rPr>
          <w:rFonts w:ascii="Times New Roman" w:eastAsia="Times New Roman" w:hAnsi="Times New Roman" w:cs="Times New Roman"/>
        </w:rPr>
        <w:t>data</w:t>
      </w:r>
      <w:r w:rsidR="00EC5A2C">
        <w:rPr>
          <w:rFonts w:ascii="Times New Roman" w:eastAsia="Times New Roman" w:hAnsi="Times New Roman" w:cs="Times New Roman"/>
        </w:rPr>
        <w:t>.</w:t>
      </w:r>
    </w:p>
    <w:p w14:paraId="17B026E2" w14:textId="77777777" w:rsidR="00B67D55" w:rsidRPr="00CD704D" w:rsidRDefault="00B67D55" w:rsidP="00EF7FD9">
      <w:pPr>
        <w:jc w:val="both"/>
        <w:rPr>
          <w:rFonts w:ascii="Times New Roman" w:hAnsi="Times New Roman" w:cs="Times New Roman"/>
          <w:sz w:val="24"/>
          <w:szCs w:val="24"/>
        </w:rPr>
      </w:pPr>
      <w:r w:rsidRPr="00CD704D">
        <w:rPr>
          <w:rFonts w:ascii="Times New Roman" w:hAnsi="Times New Roman" w:cs="Times New Roman"/>
          <w:sz w:val="24"/>
          <w:szCs w:val="24"/>
        </w:rPr>
        <w:br w:type="page"/>
      </w:r>
    </w:p>
    <w:p w14:paraId="63ED9275" w14:textId="7D849790" w:rsidR="00DD02B1" w:rsidRDefault="00B67D55" w:rsidP="00EF7FD9">
      <w:pPr>
        <w:spacing w:line="240" w:lineRule="auto"/>
        <w:jc w:val="both"/>
        <w:rPr>
          <w:rFonts w:ascii="Times New Roman" w:eastAsia="Times New Roman" w:hAnsi="Times New Roman" w:cs="Times New Roman"/>
          <w:color w:val="000000"/>
          <w:sz w:val="24"/>
          <w:szCs w:val="24"/>
        </w:rPr>
      </w:pPr>
      <w:r w:rsidRPr="00CD704D">
        <w:rPr>
          <w:rFonts w:ascii="Times New Roman" w:hAnsi="Times New Roman" w:cs="Times New Roman"/>
          <w:sz w:val="24"/>
          <w:szCs w:val="24"/>
        </w:rPr>
        <w:lastRenderedPageBreak/>
        <w:t xml:space="preserve">Table </w:t>
      </w:r>
      <w:r w:rsidR="00D52F18">
        <w:rPr>
          <w:rFonts w:ascii="Times New Roman" w:hAnsi="Times New Roman" w:cs="Times New Roman"/>
          <w:sz w:val="24"/>
          <w:szCs w:val="24"/>
        </w:rPr>
        <w:t>9</w:t>
      </w:r>
      <w:r w:rsidR="00D26F77">
        <w:rPr>
          <w:rFonts w:ascii="Times New Roman" w:hAnsi="Times New Roman" w:cs="Times New Roman"/>
          <w:sz w:val="24"/>
          <w:szCs w:val="24"/>
        </w:rPr>
        <w:t>.8:</w:t>
      </w:r>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Probit</w:t>
      </w:r>
      <w:proofErr w:type="spellEnd"/>
      <w:r w:rsidRPr="00CD704D">
        <w:rPr>
          <w:rFonts w:ascii="Times New Roman" w:hAnsi="Times New Roman" w:cs="Times New Roman"/>
          <w:sz w:val="24"/>
          <w:szCs w:val="24"/>
        </w:rPr>
        <w:t xml:space="preserve"> </w:t>
      </w:r>
      <w:r w:rsidR="00D26F77">
        <w:rPr>
          <w:rFonts w:ascii="Times New Roman" w:hAnsi="Times New Roman" w:cs="Times New Roman"/>
          <w:sz w:val="24"/>
          <w:szCs w:val="24"/>
        </w:rPr>
        <w:t xml:space="preserve">model </w:t>
      </w:r>
      <w:r w:rsidR="00FA0620" w:rsidRPr="00FA0620">
        <w:rPr>
          <w:rFonts w:ascii="Times New Roman" w:hAnsi="Times New Roman" w:cs="Times New Roman"/>
          <w:sz w:val="24"/>
          <w:szCs w:val="24"/>
        </w:rPr>
        <w:t>regressions for input use, pooled data of GLSS5 and GLSS6</w:t>
      </w:r>
      <w:r w:rsidR="00FA0620">
        <w:rPr>
          <w:rFonts w:ascii="Times New Roman" w:hAnsi="Times New Roman" w:cs="Times New Roman"/>
          <w:sz w:val="24"/>
          <w:szCs w:val="24"/>
        </w:rPr>
        <w:t xml:space="preserve"> (cont.)</w:t>
      </w:r>
      <w:r w:rsidR="00F24D3E" w:rsidDel="00FA0620">
        <w:rPr>
          <w:rFonts w:ascii="Times New Roman" w:hAnsi="Times New Roman" w:cs="Times New Roman"/>
          <w:sz w:val="24"/>
          <w:szCs w:val="24"/>
        </w:rPr>
        <w:t xml:space="preserve"> </w:t>
      </w:r>
    </w:p>
    <w:tbl>
      <w:tblPr>
        <w:tblW w:w="11960" w:type="dxa"/>
        <w:tblLook w:val="04A0" w:firstRow="1" w:lastRow="0" w:firstColumn="1" w:lastColumn="0" w:noHBand="0" w:noVBand="1"/>
      </w:tblPr>
      <w:tblGrid>
        <w:gridCol w:w="3600"/>
        <w:gridCol w:w="1680"/>
        <w:gridCol w:w="2620"/>
        <w:gridCol w:w="1840"/>
        <w:gridCol w:w="2220"/>
      </w:tblGrid>
      <w:tr w:rsidR="00EA43D7" w:rsidRPr="00EA43D7" w14:paraId="4C3E5C5B" w14:textId="77777777" w:rsidTr="00EA43D7">
        <w:trPr>
          <w:trHeight w:val="252"/>
        </w:trPr>
        <w:tc>
          <w:tcPr>
            <w:tcW w:w="3600" w:type="dxa"/>
            <w:tcBorders>
              <w:top w:val="single" w:sz="4" w:space="0" w:color="auto"/>
              <w:left w:val="nil"/>
              <w:bottom w:val="nil"/>
              <w:right w:val="nil"/>
            </w:tcBorders>
            <w:shd w:val="clear" w:color="auto" w:fill="auto"/>
            <w:noWrap/>
            <w:vAlign w:val="bottom"/>
            <w:hideMark/>
          </w:tcPr>
          <w:p w14:paraId="002A08D9" w14:textId="77777777" w:rsidR="00EA43D7" w:rsidRPr="00EA43D7" w:rsidRDefault="00EA43D7" w:rsidP="00EF7FD9">
            <w:pPr>
              <w:spacing w:line="240" w:lineRule="auto"/>
              <w:jc w:val="both"/>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 </w:t>
            </w:r>
          </w:p>
        </w:tc>
        <w:tc>
          <w:tcPr>
            <w:tcW w:w="1680" w:type="dxa"/>
            <w:tcBorders>
              <w:top w:val="single" w:sz="4" w:space="0" w:color="auto"/>
              <w:left w:val="nil"/>
              <w:bottom w:val="nil"/>
              <w:right w:val="nil"/>
            </w:tcBorders>
            <w:shd w:val="clear" w:color="auto" w:fill="auto"/>
            <w:noWrap/>
            <w:vAlign w:val="bottom"/>
            <w:hideMark/>
          </w:tcPr>
          <w:p w14:paraId="67A211E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w:t>
            </w:r>
          </w:p>
        </w:tc>
        <w:tc>
          <w:tcPr>
            <w:tcW w:w="2620" w:type="dxa"/>
            <w:tcBorders>
              <w:top w:val="single" w:sz="4" w:space="0" w:color="auto"/>
              <w:left w:val="nil"/>
              <w:bottom w:val="nil"/>
              <w:right w:val="nil"/>
            </w:tcBorders>
            <w:shd w:val="clear" w:color="auto" w:fill="auto"/>
            <w:noWrap/>
            <w:vAlign w:val="bottom"/>
            <w:hideMark/>
          </w:tcPr>
          <w:p w14:paraId="4F96613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(2)</w:t>
            </w:r>
          </w:p>
        </w:tc>
        <w:tc>
          <w:tcPr>
            <w:tcW w:w="1840" w:type="dxa"/>
            <w:tcBorders>
              <w:top w:val="single" w:sz="4" w:space="0" w:color="auto"/>
              <w:left w:val="nil"/>
              <w:bottom w:val="nil"/>
              <w:right w:val="nil"/>
            </w:tcBorders>
            <w:shd w:val="clear" w:color="auto" w:fill="auto"/>
            <w:noWrap/>
            <w:vAlign w:val="bottom"/>
            <w:hideMark/>
          </w:tcPr>
          <w:p w14:paraId="571BE14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(3)</w:t>
            </w:r>
          </w:p>
        </w:tc>
        <w:tc>
          <w:tcPr>
            <w:tcW w:w="2220" w:type="dxa"/>
            <w:tcBorders>
              <w:top w:val="single" w:sz="4" w:space="0" w:color="auto"/>
              <w:left w:val="nil"/>
              <w:bottom w:val="nil"/>
              <w:right w:val="nil"/>
            </w:tcBorders>
            <w:shd w:val="clear" w:color="auto" w:fill="auto"/>
            <w:noWrap/>
            <w:vAlign w:val="bottom"/>
            <w:hideMark/>
          </w:tcPr>
          <w:p w14:paraId="639E556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(4)</w:t>
            </w:r>
          </w:p>
        </w:tc>
      </w:tr>
      <w:tr w:rsidR="00EA43D7" w:rsidRPr="00EA43D7" w14:paraId="49DF203E" w14:textId="77777777" w:rsidTr="00EA43D7">
        <w:trPr>
          <w:trHeight w:val="288"/>
        </w:trPr>
        <w:tc>
          <w:tcPr>
            <w:tcW w:w="3600" w:type="dxa"/>
            <w:tcBorders>
              <w:top w:val="nil"/>
              <w:left w:val="nil"/>
              <w:bottom w:val="single" w:sz="4" w:space="0" w:color="auto"/>
              <w:right w:val="nil"/>
            </w:tcBorders>
            <w:shd w:val="clear" w:color="auto" w:fill="auto"/>
            <w:noWrap/>
            <w:vAlign w:val="bottom"/>
            <w:hideMark/>
          </w:tcPr>
          <w:p w14:paraId="0F69DB0A"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Independent variable</w:t>
            </w:r>
          </w:p>
        </w:tc>
        <w:tc>
          <w:tcPr>
            <w:tcW w:w="1680" w:type="dxa"/>
            <w:tcBorders>
              <w:top w:val="nil"/>
              <w:left w:val="nil"/>
              <w:bottom w:val="single" w:sz="4" w:space="0" w:color="auto"/>
              <w:right w:val="nil"/>
            </w:tcBorders>
            <w:shd w:val="clear" w:color="auto" w:fill="auto"/>
            <w:vAlign w:val="bottom"/>
            <w:hideMark/>
          </w:tcPr>
          <w:p w14:paraId="6B04C92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Fertilizer</w:t>
            </w:r>
          </w:p>
        </w:tc>
        <w:tc>
          <w:tcPr>
            <w:tcW w:w="2620" w:type="dxa"/>
            <w:tcBorders>
              <w:top w:val="nil"/>
              <w:left w:val="nil"/>
              <w:bottom w:val="single" w:sz="4" w:space="0" w:color="auto"/>
              <w:right w:val="nil"/>
            </w:tcBorders>
            <w:shd w:val="clear" w:color="auto" w:fill="auto"/>
            <w:vAlign w:val="bottom"/>
            <w:hideMark/>
          </w:tcPr>
          <w:p w14:paraId="31A5B1B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Herbicides/Insecticides</w:t>
            </w:r>
          </w:p>
        </w:tc>
        <w:tc>
          <w:tcPr>
            <w:tcW w:w="1840" w:type="dxa"/>
            <w:tcBorders>
              <w:top w:val="nil"/>
              <w:left w:val="nil"/>
              <w:bottom w:val="single" w:sz="4" w:space="0" w:color="auto"/>
              <w:right w:val="nil"/>
            </w:tcBorders>
            <w:shd w:val="clear" w:color="auto" w:fill="auto"/>
            <w:vAlign w:val="bottom"/>
            <w:hideMark/>
          </w:tcPr>
          <w:p w14:paraId="3C9E829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Hiring labor</w:t>
            </w:r>
          </w:p>
        </w:tc>
        <w:tc>
          <w:tcPr>
            <w:tcW w:w="2220" w:type="dxa"/>
            <w:tcBorders>
              <w:top w:val="nil"/>
              <w:left w:val="nil"/>
              <w:bottom w:val="single" w:sz="4" w:space="0" w:color="auto"/>
              <w:right w:val="nil"/>
            </w:tcBorders>
            <w:shd w:val="clear" w:color="auto" w:fill="auto"/>
            <w:vAlign w:val="bottom"/>
            <w:hideMark/>
          </w:tcPr>
          <w:p w14:paraId="2804593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Mechanization</w:t>
            </w:r>
          </w:p>
        </w:tc>
      </w:tr>
      <w:tr w:rsidR="00EA43D7" w:rsidRPr="00EA43D7" w14:paraId="6F522AE5" w14:textId="77777777" w:rsidTr="00EA43D7">
        <w:trPr>
          <w:trHeight w:val="276"/>
        </w:trPr>
        <w:tc>
          <w:tcPr>
            <w:tcW w:w="3600" w:type="dxa"/>
            <w:tcBorders>
              <w:top w:val="nil"/>
              <w:left w:val="nil"/>
              <w:bottom w:val="nil"/>
              <w:right w:val="nil"/>
            </w:tcBorders>
            <w:shd w:val="clear" w:color="auto" w:fill="auto"/>
            <w:noWrap/>
            <w:vAlign w:val="bottom"/>
            <w:hideMark/>
          </w:tcPr>
          <w:p w14:paraId="0FE4CA23"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Year dummy for 2013</w:t>
            </w:r>
          </w:p>
        </w:tc>
        <w:tc>
          <w:tcPr>
            <w:tcW w:w="1680" w:type="dxa"/>
            <w:tcBorders>
              <w:top w:val="nil"/>
              <w:left w:val="nil"/>
              <w:bottom w:val="nil"/>
              <w:right w:val="nil"/>
            </w:tcBorders>
            <w:shd w:val="clear" w:color="auto" w:fill="auto"/>
            <w:noWrap/>
            <w:vAlign w:val="bottom"/>
            <w:hideMark/>
          </w:tcPr>
          <w:p w14:paraId="572B4B7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0.156***</w:t>
            </w:r>
          </w:p>
        </w:tc>
        <w:tc>
          <w:tcPr>
            <w:tcW w:w="2620" w:type="dxa"/>
            <w:tcBorders>
              <w:top w:val="nil"/>
              <w:left w:val="nil"/>
              <w:bottom w:val="nil"/>
              <w:right w:val="nil"/>
            </w:tcBorders>
            <w:shd w:val="clear" w:color="auto" w:fill="auto"/>
            <w:noWrap/>
            <w:vAlign w:val="bottom"/>
            <w:hideMark/>
          </w:tcPr>
          <w:p w14:paraId="32FC3C7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0.346***</w:t>
            </w:r>
          </w:p>
        </w:tc>
        <w:tc>
          <w:tcPr>
            <w:tcW w:w="1840" w:type="dxa"/>
            <w:tcBorders>
              <w:top w:val="nil"/>
              <w:left w:val="nil"/>
              <w:bottom w:val="nil"/>
              <w:right w:val="nil"/>
            </w:tcBorders>
            <w:shd w:val="clear" w:color="auto" w:fill="auto"/>
            <w:noWrap/>
            <w:vAlign w:val="bottom"/>
            <w:hideMark/>
          </w:tcPr>
          <w:p w14:paraId="11A8D90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-0.0743***</w:t>
            </w:r>
          </w:p>
        </w:tc>
        <w:tc>
          <w:tcPr>
            <w:tcW w:w="2220" w:type="dxa"/>
            <w:tcBorders>
              <w:top w:val="nil"/>
              <w:left w:val="nil"/>
              <w:bottom w:val="nil"/>
              <w:right w:val="nil"/>
            </w:tcBorders>
            <w:shd w:val="clear" w:color="auto" w:fill="auto"/>
            <w:noWrap/>
            <w:vAlign w:val="bottom"/>
            <w:hideMark/>
          </w:tcPr>
          <w:p w14:paraId="159AD10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0.149***</w:t>
            </w:r>
          </w:p>
        </w:tc>
      </w:tr>
      <w:tr w:rsidR="00EA43D7" w:rsidRPr="00EA43D7" w14:paraId="0C68AFF7"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3E449139"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 </w:t>
            </w:r>
          </w:p>
        </w:tc>
        <w:tc>
          <w:tcPr>
            <w:tcW w:w="1680" w:type="dxa"/>
            <w:tcBorders>
              <w:top w:val="nil"/>
              <w:left w:val="nil"/>
              <w:bottom w:val="single" w:sz="4" w:space="0" w:color="auto"/>
              <w:right w:val="nil"/>
            </w:tcBorders>
            <w:shd w:val="clear" w:color="auto" w:fill="auto"/>
            <w:noWrap/>
            <w:vAlign w:val="bottom"/>
            <w:hideMark/>
          </w:tcPr>
          <w:p w14:paraId="6783FF4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(0.0108)</w:t>
            </w:r>
          </w:p>
        </w:tc>
        <w:tc>
          <w:tcPr>
            <w:tcW w:w="2620" w:type="dxa"/>
            <w:tcBorders>
              <w:top w:val="nil"/>
              <w:left w:val="nil"/>
              <w:bottom w:val="single" w:sz="4" w:space="0" w:color="auto"/>
              <w:right w:val="nil"/>
            </w:tcBorders>
            <w:shd w:val="clear" w:color="auto" w:fill="auto"/>
            <w:noWrap/>
            <w:vAlign w:val="bottom"/>
            <w:hideMark/>
          </w:tcPr>
          <w:p w14:paraId="4DE4991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(0.00876)</w:t>
            </w:r>
          </w:p>
        </w:tc>
        <w:tc>
          <w:tcPr>
            <w:tcW w:w="1840" w:type="dxa"/>
            <w:tcBorders>
              <w:top w:val="nil"/>
              <w:left w:val="nil"/>
              <w:bottom w:val="single" w:sz="4" w:space="0" w:color="auto"/>
              <w:right w:val="nil"/>
            </w:tcBorders>
            <w:shd w:val="clear" w:color="auto" w:fill="auto"/>
            <w:noWrap/>
            <w:vAlign w:val="bottom"/>
            <w:hideMark/>
          </w:tcPr>
          <w:p w14:paraId="55D1C279"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(0.0124)</w:t>
            </w:r>
          </w:p>
        </w:tc>
        <w:tc>
          <w:tcPr>
            <w:tcW w:w="2220" w:type="dxa"/>
            <w:tcBorders>
              <w:top w:val="nil"/>
              <w:left w:val="nil"/>
              <w:bottom w:val="single" w:sz="4" w:space="0" w:color="auto"/>
              <w:right w:val="nil"/>
            </w:tcBorders>
            <w:shd w:val="clear" w:color="auto" w:fill="auto"/>
            <w:noWrap/>
            <w:vAlign w:val="bottom"/>
            <w:hideMark/>
          </w:tcPr>
          <w:p w14:paraId="6B1E81D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(0.00993)</w:t>
            </w:r>
          </w:p>
        </w:tc>
      </w:tr>
      <w:tr w:rsidR="00EA43D7" w:rsidRPr="00EA43D7" w14:paraId="07523890" w14:textId="77777777" w:rsidTr="00EA43D7">
        <w:trPr>
          <w:trHeight w:val="276"/>
        </w:trPr>
        <w:tc>
          <w:tcPr>
            <w:tcW w:w="3600" w:type="dxa"/>
            <w:tcBorders>
              <w:top w:val="nil"/>
              <w:left w:val="nil"/>
              <w:bottom w:val="nil"/>
              <w:right w:val="nil"/>
            </w:tcBorders>
            <w:shd w:val="clear" w:color="auto" w:fill="auto"/>
            <w:noWrap/>
            <w:vAlign w:val="bottom"/>
            <w:hideMark/>
          </w:tcPr>
          <w:p w14:paraId="27333E85" w14:textId="77777777" w:rsidR="00EA43D7" w:rsidRPr="00EA43D7" w:rsidRDefault="00EA43D7" w:rsidP="00FF272D">
            <w:pPr>
              <w:spacing w:line="240" w:lineRule="auto"/>
              <w:rPr>
                <w:rFonts w:ascii="Times New Roman" w:eastAsia="Times New Roman" w:hAnsi="Times New Roman" w:cs="Times New Roman"/>
                <w:color w:val="000000"/>
                <w:lang w:eastAsia="zh-CN"/>
              </w:rPr>
            </w:pPr>
            <w:r w:rsidRPr="00EA43D7">
              <w:rPr>
                <w:rFonts w:ascii="Times New Roman" w:eastAsia="Times New Roman" w:hAnsi="Times New Roman" w:cs="Times New Roman"/>
                <w:color w:val="000000"/>
                <w:lang w:eastAsia="zh-CN"/>
              </w:rPr>
              <w:t>Youth headed household</w:t>
            </w:r>
          </w:p>
        </w:tc>
        <w:tc>
          <w:tcPr>
            <w:tcW w:w="1680" w:type="dxa"/>
            <w:tcBorders>
              <w:top w:val="nil"/>
              <w:left w:val="nil"/>
              <w:bottom w:val="nil"/>
              <w:right w:val="nil"/>
            </w:tcBorders>
            <w:shd w:val="clear" w:color="auto" w:fill="auto"/>
            <w:noWrap/>
            <w:vAlign w:val="bottom"/>
            <w:hideMark/>
          </w:tcPr>
          <w:p w14:paraId="73F23919"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0.00104</w:t>
            </w:r>
          </w:p>
        </w:tc>
        <w:tc>
          <w:tcPr>
            <w:tcW w:w="2620" w:type="dxa"/>
            <w:tcBorders>
              <w:top w:val="nil"/>
              <w:left w:val="nil"/>
              <w:bottom w:val="nil"/>
              <w:right w:val="nil"/>
            </w:tcBorders>
            <w:shd w:val="clear" w:color="auto" w:fill="auto"/>
            <w:noWrap/>
            <w:vAlign w:val="bottom"/>
            <w:hideMark/>
          </w:tcPr>
          <w:p w14:paraId="2E856A8C"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0.0234*</w:t>
            </w:r>
          </w:p>
        </w:tc>
        <w:tc>
          <w:tcPr>
            <w:tcW w:w="1840" w:type="dxa"/>
            <w:tcBorders>
              <w:top w:val="nil"/>
              <w:left w:val="nil"/>
              <w:bottom w:val="nil"/>
              <w:right w:val="nil"/>
            </w:tcBorders>
            <w:shd w:val="clear" w:color="auto" w:fill="auto"/>
            <w:noWrap/>
            <w:vAlign w:val="bottom"/>
            <w:hideMark/>
          </w:tcPr>
          <w:p w14:paraId="4F55371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-0.0433***</w:t>
            </w:r>
          </w:p>
        </w:tc>
        <w:tc>
          <w:tcPr>
            <w:tcW w:w="2220" w:type="dxa"/>
            <w:tcBorders>
              <w:top w:val="nil"/>
              <w:left w:val="nil"/>
              <w:bottom w:val="nil"/>
              <w:right w:val="nil"/>
            </w:tcBorders>
            <w:shd w:val="clear" w:color="auto" w:fill="auto"/>
            <w:noWrap/>
            <w:vAlign w:val="bottom"/>
            <w:hideMark/>
          </w:tcPr>
          <w:p w14:paraId="132ED94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0.00602</w:t>
            </w:r>
          </w:p>
        </w:tc>
      </w:tr>
      <w:tr w:rsidR="00EA43D7" w:rsidRPr="00EA43D7" w14:paraId="7F41EB82" w14:textId="77777777" w:rsidTr="00EA43D7">
        <w:trPr>
          <w:trHeight w:val="276"/>
        </w:trPr>
        <w:tc>
          <w:tcPr>
            <w:tcW w:w="3600" w:type="dxa"/>
            <w:tcBorders>
              <w:top w:val="nil"/>
              <w:left w:val="nil"/>
              <w:bottom w:val="nil"/>
              <w:right w:val="nil"/>
            </w:tcBorders>
            <w:shd w:val="clear" w:color="auto" w:fill="auto"/>
            <w:noWrap/>
            <w:vAlign w:val="bottom"/>
            <w:hideMark/>
          </w:tcPr>
          <w:p w14:paraId="78508F87"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59F161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2620" w:type="dxa"/>
            <w:tcBorders>
              <w:top w:val="nil"/>
              <w:left w:val="nil"/>
              <w:bottom w:val="nil"/>
              <w:right w:val="nil"/>
            </w:tcBorders>
            <w:shd w:val="clear" w:color="auto" w:fill="auto"/>
            <w:noWrap/>
            <w:vAlign w:val="bottom"/>
            <w:hideMark/>
          </w:tcPr>
          <w:p w14:paraId="0320624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1840" w:type="dxa"/>
            <w:tcBorders>
              <w:top w:val="nil"/>
              <w:left w:val="nil"/>
              <w:bottom w:val="nil"/>
              <w:right w:val="nil"/>
            </w:tcBorders>
            <w:shd w:val="clear" w:color="auto" w:fill="auto"/>
            <w:noWrap/>
            <w:vAlign w:val="bottom"/>
            <w:hideMark/>
          </w:tcPr>
          <w:p w14:paraId="0C670E6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(0.0147)</w:t>
            </w:r>
          </w:p>
        </w:tc>
        <w:tc>
          <w:tcPr>
            <w:tcW w:w="2220" w:type="dxa"/>
            <w:tcBorders>
              <w:top w:val="nil"/>
              <w:left w:val="nil"/>
              <w:bottom w:val="nil"/>
              <w:right w:val="nil"/>
            </w:tcBorders>
            <w:shd w:val="clear" w:color="auto" w:fill="auto"/>
            <w:noWrap/>
            <w:vAlign w:val="bottom"/>
            <w:hideMark/>
          </w:tcPr>
          <w:p w14:paraId="68A0E36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(0.0123)</w:t>
            </w:r>
          </w:p>
        </w:tc>
      </w:tr>
      <w:tr w:rsidR="00EA43D7" w:rsidRPr="00EA43D7" w14:paraId="26DD465C" w14:textId="77777777" w:rsidTr="00EA43D7">
        <w:trPr>
          <w:trHeight w:val="276"/>
        </w:trPr>
        <w:tc>
          <w:tcPr>
            <w:tcW w:w="3600" w:type="dxa"/>
            <w:tcBorders>
              <w:top w:val="nil"/>
              <w:left w:val="nil"/>
              <w:bottom w:val="nil"/>
              <w:right w:val="nil"/>
            </w:tcBorders>
            <w:shd w:val="clear" w:color="auto" w:fill="auto"/>
            <w:noWrap/>
            <w:vAlign w:val="bottom"/>
            <w:hideMark/>
          </w:tcPr>
          <w:p w14:paraId="1EF4D51C" w14:textId="77777777" w:rsidR="00EA43D7" w:rsidRPr="00EA43D7" w:rsidRDefault="00EA43D7" w:rsidP="00FF272D">
            <w:pPr>
              <w:spacing w:line="240" w:lineRule="auto"/>
              <w:rPr>
                <w:rFonts w:ascii="Times New Roman" w:eastAsia="Times New Roman" w:hAnsi="Times New Roman" w:cs="Times New Roman"/>
                <w:color w:val="000000"/>
                <w:lang w:eastAsia="zh-CN"/>
              </w:rPr>
            </w:pPr>
            <w:r w:rsidRPr="00EA43D7">
              <w:rPr>
                <w:rFonts w:ascii="Times New Roman" w:eastAsia="Times New Roman" w:hAnsi="Times New Roman" w:cs="Times New Roman"/>
                <w:color w:val="000000"/>
                <w:lang w:eastAsia="zh-CN"/>
              </w:rPr>
              <w:t>Female headed household</w:t>
            </w:r>
          </w:p>
        </w:tc>
        <w:tc>
          <w:tcPr>
            <w:tcW w:w="1680" w:type="dxa"/>
            <w:tcBorders>
              <w:top w:val="nil"/>
              <w:left w:val="nil"/>
              <w:bottom w:val="nil"/>
              <w:right w:val="nil"/>
            </w:tcBorders>
            <w:shd w:val="clear" w:color="auto" w:fill="auto"/>
            <w:noWrap/>
            <w:vAlign w:val="bottom"/>
            <w:hideMark/>
          </w:tcPr>
          <w:p w14:paraId="31A068D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-0.0695***</w:t>
            </w:r>
          </w:p>
        </w:tc>
        <w:tc>
          <w:tcPr>
            <w:tcW w:w="2620" w:type="dxa"/>
            <w:tcBorders>
              <w:top w:val="nil"/>
              <w:left w:val="nil"/>
              <w:bottom w:val="nil"/>
              <w:right w:val="nil"/>
            </w:tcBorders>
            <w:shd w:val="clear" w:color="auto" w:fill="auto"/>
            <w:noWrap/>
            <w:vAlign w:val="bottom"/>
            <w:hideMark/>
          </w:tcPr>
          <w:p w14:paraId="71E1E50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-0.0842***</w:t>
            </w:r>
          </w:p>
        </w:tc>
        <w:tc>
          <w:tcPr>
            <w:tcW w:w="1840" w:type="dxa"/>
            <w:tcBorders>
              <w:top w:val="nil"/>
              <w:left w:val="nil"/>
              <w:bottom w:val="nil"/>
              <w:right w:val="nil"/>
            </w:tcBorders>
            <w:shd w:val="clear" w:color="auto" w:fill="auto"/>
            <w:noWrap/>
            <w:vAlign w:val="bottom"/>
            <w:hideMark/>
          </w:tcPr>
          <w:p w14:paraId="021B315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0.0612***</w:t>
            </w:r>
          </w:p>
        </w:tc>
        <w:tc>
          <w:tcPr>
            <w:tcW w:w="2220" w:type="dxa"/>
            <w:tcBorders>
              <w:top w:val="nil"/>
              <w:left w:val="nil"/>
              <w:bottom w:val="nil"/>
              <w:right w:val="nil"/>
            </w:tcBorders>
            <w:shd w:val="clear" w:color="auto" w:fill="auto"/>
            <w:noWrap/>
            <w:vAlign w:val="bottom"/>
            <w:hideMark/>
          </w:tcPr>
          <w:p w14:paraId="6841296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-0.0385***</w:t>
            </w:r>
          </w:p>
        </w:tc>
      </w:tr>
      <w:tr w:rsidR="00EA43D7" w:rsidRPr="00EA43D7" w14:paraId="68284AEC" w14:textId="77777777" w:rsidTr="00EA43D7">
        <w:trPr>
          <w:trHeight w:val="276"/>
        </w:trPr>
        <w:tc>
          <w:tcPr>
            <w:tcW w:w="3600" w:type="dxa"/>
            <w:tcBorders>
              <w:top w:val="nil"/>
              <w:left w:val="nil"/>
              <w:bottom w:val="nil"/>
              <w:right w:val="nil"/>
            </w:tcBorders>
            <w:shd w:val="clear" w:color="auto" w:fill="auto"/>
            <w:noWrap/>
            <w:vAlign w:val="bottom"/>
            <w:hideMark/>
          </w:tcPr>
          <w:p w14:paraId="11E0F2EB"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7DD3DD6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(0.0159)</w:t>
            </w:r>
          </w:p>
        </w:tc>
        <w:tc>
          <w:tcPr>
            <w:tcW w:w="2620" w:type="dxa"/>
            <w:tcBorders>
              <w:top w:val="nil"/>
              <w:left w:val="nil"/>
              <w:bottom w:val="nil"/>
              <w:right w:val="nil"/>
            </w:tcBorders>
            <w:shd w:val="clear" w:color="auto" w:fill="auto"/>
            <w:noWrap/>
            <w:vAlign w:val="bottom"/>
            <w:hideMark/>
          </w:tcPr>
          <w:p w14:paraId="43E10BC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(0.0155)</w:t>
            </w:r>
          </w:p>
        </w:tc>
        <w:tc>
          <w:tcPr>
            <w:tcW w:w="1840" w:type="dxa"/>
            <w:tcBorders>
              <w:top w:val="nil"/>
              <w:left w:val="nil"/>
              <w:bottom w:val="nil"/>
              <w:right w:val="nil"/>
            </w:tcBorders>
            <w:shd w:val="clear" w:color="auto" w:fill="auto"/>
            <w:noWrap/>
            <w:vAlign w:val="bottom"/>
            <w:hideMark/>
          </w:tcPr>
          <w:p w14:paraId="2B8D07C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(0.0168)</w:t>
            </w:r>
          </w:p>
        </w:tc>
        <w:tc>
          <w:tcPr>
            <w:tcW w:w="2220" w:type="dxa"/>
            <w:tcBorders>
              <w:top w:val="nil"/>
              <w:left w:val="nil"/>
              <w:bottom w:val="nil"/>
              <w:right w:val="nil"/>
            </w:tcBorders>
            <w:shd w:val="clear" w:color="auto" w:fill="auto"/>
            <w:noWrap/>
            <w:vAlign w:val="bottom"/>
            <w:hideMark/>
          </w:tcPr>
          <w:p w14:paraId="5C70A2F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(0.0144)</w:t>
            </w:r>
          </w:p>
        </w:tc>
      </w:tr>
      <w:tr w:rsidR="00EA43D7" w:rsidRPr="00EA43D7" w14:paraId="039185D3" w14:textId="77777777" w:rsidTr="00EA43D7">
        <w:trPr>
          <w:trHeight w:val="276"/>
        </w:trPr>
        <w:tc>
          <w:tcPr>
            <w:tcW w:w="3600" w:type="dxa"/>
            <w:tcBorders>
              <w:top w:val="nil"/>
              <w:left w:val="nil"/>
              <w:bottom w:val="nil"/>
              <w:right w:val="nil"/>
            </w:tcBorders>
            <w:shd w:val="clear" w:color="auto" w:fill="auto"/>
            <w:noWrap/>
            <w:vAlign w:val="bottom"/>
            <w:hideMark/>
          </w:tcPr>
          <w:p w14:paraId="6CCF293B"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Year dummy * Youth</w:t>
            </w:r>
          </w:p>
        </w:tc>
        <w:tc>
          <w:tcPr>
            <w:tcW w:w="1680" w:type="dxa"/>
            <w:tcBorders>
              <w:top w:val="nil"/>
              <w:left w:val="nil"/>
              <w:bottom w:val="nil"/>
              <w:right w:val="nil"/>
            </w:tcBorders>
            <w:shd w:val="clear" w:color="auto" w:fill="auto"/>
            <w:noWrap/>
            <w:vAlign w:val="bottom"/>
            <w:hideMark/>
          </w:tcPr>
          <w:p w14:paraId="626DB30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0.0596**</w:t>
            </w:r>
          </w:p>
        </w:tc>
        <w:tc>
          <w:tcPr>
            <w:tcW w:w="2620" w:type="dxa"/>
            <w:tcBorders>
              <w:top w:val="nil"/>
              <w:left w:val="nil"/>
              <w:bottom w:val="nil"/>
              <w:right w:val="nil"/>
            </w:tcBorders>
            <w:shd w:val="clear" w:color="auto" w:fill="auto"/>
            <w:noWrap/>
            <w:vAlign w:val="bottom"/>
            <w:hideMark/>
          </w:tcPr>
          <w:p w14:paraId="257A9B8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-0.0663**</w:t>
            </w:r>
          </w:p>
        </w:tc>
        <w:tc>
          <w:tcPr>
            <w:tcW w:w="1840" w:type="dxa"/>
            <w:tcBorders>
              <w:top w:val="nil"/>
              <w:left w:val="nil"/>
              <w:bottom w:val="nil"/>
              <w:right w:val="nil"/>
            </w:tcBorders>
            <w:shd w:val="clear" w:color="auto" w:fill="auto"/>
            <w:noWrap/>
            <w:vAlign w:val="bottom"/>
            <w:hideMark/>
          </w:tcPr>
          <w:p w14:paraId="6BACEDB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-0.0200</w:t>
            </w:r>
          </w:p>
        </w:tc>
        <w:tc>
          <w:tcPr>
            <w:tcW w:w="2220" w:type="dxa"/>
            <w:tcBorders>
              <w:top w:val="nil"/>
              <w:left w:val="nil"/>
              <w:bottom w:val="nil"/>
              <w:right w:val="nil"/>
            </w:tcBorders>
            <w:shd w:val="clear" w:color="auto" w:fill="auto"/>
            <w:noWrap/>
            <w:vAlign w:val="bottom"/>
            <w:hideMark/>
          </w:tcPr>
          <w:p w14:paraId="642892B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0.0295</w:t>
            </w:r>
          </w:p>
        </w:tc>
      </w:tr>
      <w:tr w:rsidR="00EA43D7" w:rsidRPr="00EA43D7" w14:paraId="0C86747F" w14:textId="77777777" w:rsidTr="00EA43D7">
        <w:trPr>
          <w:trHeight w:val="276"/>
        </w:trPr>
        <w:tc>
          <w:tcPr>
            <w:tcW w:w="3600" w:type="dxa"/>
            <w:tcBorders>
              <w:top w:val="nil"/>
              <w:left w:val="nil"/>
              <w:bottom w:val="nil"/>
              <w:right w:val="nil"/>
            </w:tcBorders>
            <w:shd w:val="clear" w:color="auto" w:fill="auto"/>
            <w:noWrap/>
            <w:vAlign w:val="bottom"/>
            <w:hideMark/>
          </w:tcPr>
          <w:p w14:paraId="00C78F20"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02CA7D3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(0.0266)</w:t>
            </w:r>
          </w:p>
        </w:tc>
        <w:tc>
          <w:tcPr>
            <w:tcW w:w="2620" w:type="dxa"/>
            <w:tcBorders>
              <w:top w:val="nil"/>
              <w:left w:val="nil"/>
              <w:bottom w:val="nil"/>
              <w:right w:val="nil"/>
            </w:tcBorders>
            <w:shd w:val="clear" w:color="auto" w:fill="auto"/>
            <w:noWrap/>
            <w:vAlign w:val="bottom"/>
            <w:hideMark/>
          </w:tcPr>
          <w:p w14:paraId="2D318DF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(0.0269)</w:t>
            </w:r>
          </w:p>
        </w:tc>
        <w:tc>
          <w:tcPr>
            <w:tcW w:w="1840" w:type="dxa"/>
            <w:tcBorders>
              <w:top w:val="nil"/>
              <w:left w:val="nil"/>
              <w:bottom w:val="nil"/>
              <w:right w:val="nil"/>
            </w:tcBorders>
            <w:shd w:val="clear" w:color="auto" w:fill="auto"/>
            <w:noWrap/>
            <w:vAlign w:val="bottom"/>
            <w:hideMark/>
          </w:tcPr>
          <w:p w14:paraId="6120989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(0.02904)</w:t>
            </w:r>
          </w:p>
        </w:tc>
        <w:tc>
          <w:tcPr>
            <w:tcW w:w="2220" w:type="dxa"/>
            <w:tcBorders>
              <w:top w:val="nil"/>
              <w:left w:val="nil"/>
              <w:bottom w:val="nil"/>
              <w:right w:val="nil"/>
            </w:tcBorders>
            <w:shd w:val="clear" w:color="auto" w:fill="auto"/>
            <w:noWrap/>
            <w:vAlign w:val="bottom"/>
            <w:hideMark/>
          </w:tcPr>
          <w:p w14:paraId="3A8B494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(0.0245)</w:t>
            </w:r>
          </w:p>
        </w:tc>
      </w:tr>
      <w:tr w:rsidR="00EA43D7" w:rsidRPr="00EA43D7" w14:paraId="008C0511" w14:textId="77777777" w:rsidTr="00EA43D7">
        <w:trPr>
          <w:trHeight w:val="276"/>
        </w:trPr>
        <w:tc>
          <w:tcPr>
            <w:tcW w:w="3600" w:type="dxa"/>
            <w:tcBorders>
              <w:top w:val="nil"/>
              <w:left w:val="nil"/>
              <w:bottom w:val="nil"/>
              <w:right w:val="nil"/>
            </w:tcBorders>
            <w:shd w:val="clear" w:color="auto" w:fill="auto"/>
            <w:noWrap/>
            <w:vAlign w:val="bottom"/>
            <w:hideMark/>
          </w:tcPr>
          <w:p w14:paraId="1D2FE7DB"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Year dummy * Female</w:t>
            </w:r>
          </w:p>
        </w:tc>
        <w:tc>
          <w:tcPr>
            <w:tcW w:w="1680" w:type="dxa"/>
            <w:tcBorders>
              <w:top w:val="nil"/>
              <w:left w:val="nil"/>
              <w:bottom w:val="nil"/>
              <w:right w:val="nil"/>
            </w:tcBorders>
            <w:shd w:val="clear" w:color="auto" w:fill="auto"/>
            <w:noWrap/>
            <w:vAlign w:val="bottom"/>
            <w:hideMark/>
          </w:tcPr>
          <w:p w14:paraId="51DE8D7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-0.00362</w:t>
            </w:r>
          </w:p>
        </w:tc>
        <w:tc>
          <w:tcPr>
            <w:tcW w:w="2620" w:type="dxa"/>
            <w:tcBorders>
              <w:top w:val="nil"/>
              <w:left w:val="nil"/>
              <w:bottom w:val="nil"/>
              <w:right w:val="nil"/>
            </w:tcBorders>
            <w:shd w:val="clear" w:color="auto" w:fill="auto"/>
            <w:noWrap/>
            <w:vAlign w:val="bottom"/>
            <w:hideMark/>
          </w:tcPr>
          <w:p w14:paraId="61E6881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-0.0440</w:t>
            </w:r>
          </w:p>
        </w:tc>
        <w:tc>
          <w:tcPr>
            <w:tcW w:w="1840" w:type="dxa"/>
            <w:tcBorders>
              <w:top w:val="nil"/>
              <w:left w:val="nil"/>
              <w:bottom w:val="nil"/>
              <w:right w:val="nil"/>
            </w:tcBorders>
            <w:shd w:val="clear" w:color="auto" w:fill="auto"/>
            <w:noWrap/>
            <w:vAlign w:val="bottom"/>
            <w:hideMark/>
          </w:tcPr>
          <w:p w14:paraId="6400B7F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-0.0184</w:t>
            </w:r>
          </w:p>
        </w:tc>
        <w:tc>
          <w:tcPr>
            <w:tcW w:w="2220" w:type="dxa"/>
            <w:tcBorders>
              <w:top w:val="nil"/>
              <w:left w:val="nil"/>
              <w:bottom w:val="nil"/>
              <w:right w:val="nil"/>
            </w:tcBorders>
            <w:shd w:val="clear" w:color="auto" w:fill="auto"/>
            <w:noWrap/>
            <w:vAlign w:val="bottom"/>
            <w:hideMark/>
          </w:tcPr>
          <w:p w14:paraId="0A9E937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-0.0773**</w:t>
            </w:r>
          </w:p>
        </w:tc>
      </w:tr>
      <w:tr w:rsidR="00EA43D7" w:rsidRPr="00EA43D7" w14:paraId="28C8B903"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16AAFF92"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 </w:t>
            </w:r>
          </w:p>
        </w:tc>
        <w:tc>
          <w:tcPr>
            <w:tcW w:w="1680" w:type="dxa"/>
            <w:tcBorders>
              <w:top w:val="nil"/>
              <w:left w:val="nil"/>
              <w:bottom w:val="single" w:sz="4" w:space="0" w:color="auto"/>
              <w:right w:val="nil"/>
            </w:tcBorders>
            <w:shd w:val="clear" w:color="auto" w:fill="auto"/>
            <w:noWrap/>
            <w:vAlign w:val="bottom"/>
            <w:hideMark/>
          </w:tcPr>
          <w:p w14:paraId="391B45D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0.02845</w:t>
            </w:r>
          </w:p>
        </w:tc>
        <w:tc>
          <w:tcPr>
            <w:tcW w:w="2620" w:type="dxa"/>
            <w:tcBorders>
              <w:top w:val="nil"/>
              <w:left w:val="nil"/>
              <w:bottom w:val="single" w:sz="4" w:space="0" w:color="auto"/>
              <w:right w:val="nil"/>
            </w:tcBorders>
            <w:shd w:val="clear" w:color="auto" w:fill="auto"/>
            <w:noWrap/>
            <w:vAlign w:val="bottom"/>
            <w:hideMark/>
          </w:tcPr>
          <w:p w14:paraId="6652A76C"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(0.0286)</w:t>
            </w:r>
          </w:p>
        </w:tc>
        <w:tc>
          <w:tcPr>
            <w:tcW w:w="1840" w:type="dxa"/>
            <w:tcBorders>
              <w:top w:val="nil"/>
              <w:left w:val="nil"/>
              <w:bottom w:val="single" w:sz="4" w:space="0" w:color="auto"/>
              <w:right w:val="nil"/>
            </w:tcBorders>
            <w:shd w:val="clear" w:color="auto" w:fill="auto"/>
            <w:noWrap/>
            <w:vAlign w:val="bottom"/>
            <w:hideMark/>
          </w:tcPr>
          <w:p w14:paraId="0BEDD4D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(0.0303)</w:t>
            </w:r>
          </w:p>
        </w:tc>
        <w:tc>
          <w:tcPr>
            <w:tcW w:w="2220" w:type="dxa"/>
            <w:tcBorders>
              <w:top w:val="nil"/>
              <w:left w:val="nil"/>
              <w:bottom w:val="single" w:sz="4" w:space="0" w:color="auto"/>
              <w:right w:val="nil"/>
            </w:tcBorders>
            <w:shd w:val="clear" w:color="auto" w:fill="auto"/>
            <w:noWrap/>
            <w:vAlign w:val="bottom"/>
            <w:hideMark/>
          </w:tcPr>
          <w:p w14:paraId="3E0A360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(0.0261)</w:t>
            </w:r>
          </w:p>
        </w:tc>
      </w:tr>
      <w:tr w:rsidR="00EA43D7" w:rsidRPr="00EA43D7" w14:paraId="7CA85205" w14:textId="77777777" w:rsidTr="00EA43D7">
        <w:trPr>
          <w:trHeight w:val="276"/>
        </w:trPr>
        <w:tc>
          <w:tcPr>
            <w:tcW w:w="3600" w:type="dxa"/>
            <w:tcBorders>
              <w:top w:val="nil"/>
              <w:left w:val="nil"/>
              <w:bottom w:val="nil"/>
              <w:right w:val="nil"/>
            </w:tcBorders>
            <w:shd w:val="clear" w:color="auto" w:fill="auto"/>
            <w:noWrap/>
            <w:vAlign w:val="bottom"/>
            <w:hideMark/>
          </w:tcPr>
          <w:p w14:paraId="376E8095" w14:textId="77777777" w:rsidR="00EA43D7" w:rsidRPr="00EA43D7" w:rsidRDefault="00EA43D7" w:rsidP="00FF272D">
            <w:pPr>
              <w:spacing w:line="240" w:lineRule="auto"/>
              <w:rPr>
                <w:rFonts w:ascii="Times New Roman" w:eastAsia="Times New Roman" w:hAnsi="Times New Roman" w:cs="Times New Roman"/>
                <w:i/>
                <w:iCs/>
                <w:lang w:eastAsia="zh-CN"/>
              </w:rPr>
            </w:pPr>
            <w:r w:rsidRPr="00EA43D7">
              <w:rPr>
                <w:rFonts w:ascii="Times New Roman" w:eastAsia="Times New Roman" w:hAnsi="Times New Roman" w:cs="Times New Roman"/>
                <w:i/>
                <w:iCs/>
                <w:lang w:eastAsia="zh-CN"/>
              </w:rPr>
              <w:t>Education level</w:t>
            </w:r>
          </w:p>
        </w:tc>
        <w:tc>
          <w:tcPr>
            <w:tcW w:w="1680" w:type="dxa"/>
            <w:tcBorders>
              <w:top w:val="nil"/>
              <w:left w:val="nil"/>
              <w:bottom w:val="nil"/>
              <w:right w:val="nil"/>
            </w:tcBorders>
            <w:shd w:val="clear" w:color="auto" w:fill="auto"/>
            <w:noWrap/>
            <w:vAlign w:val="bottom"/>
            <w:hideMark/>
          </w:tcPr>
          <w:p w14:paraId="25479B76" w14:textId="77777777" w:rsidR="00EA43D7" w:rsidRPr="00EA43D7" w:rsidRDefault="00EA43D7" w:rsidP="00FF272D">
            <w:pPr>
              <w:spacing w:line="240" w:lineRule="auto"/>
              <w:jc w:val="center"/>
              <w:rPr>
                <w:rFonts w:ascii="Times New Roman" w:eastAsia="Times New Roman" w:hAnsi="Times New Roman" w:cs="Times New Roman"/>
                <w:i/>
                <w:iCs/>
                <w:lang w:eastAsia="zh-CN"/>
              </w:rPr>
            </w:pPr>
          </w:p>
        </w:tc>
        <w:tc>
          <w:tcPr>
            <w:tcW w:w="2620" w:type="dxa"/>
            <w:tcBorders>
              <w:top w:val="nil"/>
              <w:left w:val="nil"/>
              <w:bottom w:val="nil"/>
              <w:right w:val="nil"/>
            </w:tcBorders>
            <w:shd w:val="clear" w:color="auto" w:fill="auto"/>
            <w:noWrap/>
            <w:vAlign w:val="bottom"/>
            <w:hideMark/>
          </w:tcPr>
          <w:p w14:paraId="4723D4B5" w14:textId="77777777" w:rsidR="00EA43D7" w:rsidRPr="00EA43D7" w:rsidRDefault="00EA43D7" w:rsidP="00FF272D">
            <w:pPr>
              <w:spacing w:line="240" w:lineRule="auto"/>
              <w:jc w:val="center"/>
              <w:rPr>
                <w:rFonts w:ascii="Times New Roman" w:eastAsia="Times New Roman" w:hAnsi="Times New Roman" w:cs="Times New Roman"/>
                <w:sz w:val="20"/>
                <w:szCs w:val="20"/>
                <w:lang w:eastAsia="zh-CN"/>
              </w:rPr>
            </w:pPr>
          </w:p>
        </w:tc>
        <w:tc>
          <w:tcPr>
            <w:tcW w:w="1840" w:type="dxa"/>
            <w:tcBorders>
              <w:top w:val="nil"/>
              <w:left w:val="nil"/>
              <w:bottom w:val="nil"/>
              <w:right w:val="nil"/>
            </w:tcBorders>
            <w:shd w:val="clear" w:color="auto" w:fill="auto"/>
            <w:noWrap/>
            <w:vAlign w:val="bottom"/>
            <w:hideMark/>
          </w:tcPr>
          <w:p w14:paraId="44A41199" w14:textId="77777777" w:rsidR="00EA43D7" w:rsidRPr="00EA43D7" w:rsidRDefault="00EA43D7" w:rsidP="00FF272D">
            <w:pPr>
              <w:spacing w:line="240" w:lineRule="auto"/>
              <w:jc w:val="center"/>
              <w:rPr>
                <w:rFonts w:ascii="Times New Roman" w:eastAsia="Times New Roman" w:hAnsi="Times New Roman" w:cs="Times New Roman"/>
                <w:sz w:val="20"/>
                <w:szCs w:val="20"/>
                <w:lang w:eastAsia="zh-CN"/>
              </w:rPr>
            </w:pPr>
          </w:p>
        </w:tc>
        <w:tc>
          <w:tcPr>
            <w:tcW w:w="2220" w:type="dxa"/>
            <w:tcBorders>
              <w:top w:val="nil"/>
              <w:left w:val="nil"/>
              <w:bottom w:val="nil"/>
              <w:right w:val="nil"/>
            </w:tcBorders>
            <w:shd w:val="clear" w:color="auto" w:fill="auto"/>
            <w:noWrap/>
            <w:vAlign w:val="bottom"/>
            <w:hideMark/>
          </w:tcPr>
          <w:p w14:paraId="6543FF5C" w14:textId="77777777" w:rsidR="00EA43D7" w:rsidRPr="00EA43D7" w:rsidRDefault="00EA43D7" w:rsidP="00FF272D">
            <w:pPr>
              <w:spacing w:line="240" w:lineRule="auto"/>
              <w:jc w:val="center"/>
              <w:rPr>
                <w:rFonts w:ascii="Times New Roman" w:eastAsia="Times New Roman" w:hAnsi="Times New Roman" w:cs="Times New Roman"/>
                <w:sz w:val="20"/>
                <w:szCs w:val="20"/>
                <w:lang w:eastAsia="zh-CN"/>
              </w:rPr>
            </w:pPr>
          </w:p>
        </w:tc>
      </w:tr>
      <w:tr w:rsidR="00EA43D7" w:rsidRPr="00EA43D7" w14:paraId="78820467" w14:textId="77777777" w:rsidTr="00EA43D7">
        <w:trPr>
          <w:trHeight w:val="276"/>
        </w:trPr>
        <w:tc>
          <w:tcPr>
            <w:tcW w:w="3600" w:type="dxa"/>
            <w:tcBorders>
              <w:top w:val="nil"/>
              <w:left w:val="nil"/>
              <w:bottom w:val="nil"/>
              <w:right w:val="nil"/>
            </w:tcBorders>
            <w:shd w:val="clear" w:color="auto" w:fill="auto"/>
            <w:noWrap/>
            <w:vAlign w:val="bottom"/>
            <w:hideMark/>
          </w:tcPr>
          <w:p w14:paraId="605F95B5"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Primary completed</w:t>
            </w:r>
          </w:p>
        </w:tc>
        <w:tc>
          <w:tcPr>
            <w:tcW w:w="1680" w:type="dxa"/>
            <w:tcBorders>
              <w:top w:val="nil"/>
              <w:left w:val="nil"/>
              <w:bottom w:val="nil"/>
              <w:right w:val="nil"/>
            </w:tcBorders>
            <w:shd w:val="clear" w:color="auto" w:fill="auto"/>
            <w:noWrap/>
            <w:vAlign w:val="bottom"/>
            <w:hideMark/>
          </w:tcPr>
          <w:p w14:paraId="4DFF1F6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0.0265**</w:t>
            </w:r>
          </w:p>
        </w:tc>
        <w:tc>
          <w:tcPr>
            <w:tcW w:w="2620" w:type="dxa"/>
            <w:tcBorders>
              <w:top w:val="nil"/>
              <w:left w:val="nil"/>
              <w:bottom w:val="nil"/>
              <w:right w:val="nil"/>
            </w:tcBorders>
            <w:shd w:val="clear" w:color="auto" w:fill="auto"/>
            <w:noWrap/>
            <w:vAlign w:val="bottom"/>
            <w:hideMark/>
          </w:tcPr>
          <w:p w14:paraId="4F64029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0.0647***</w:t>
            </w:r>
          </w:p>
        </w:tc>
        <w:tc>
          <w:tcPr>
            <w:tcW w:w="1840" w:type="dxa"/>
            <w:tcBorders>
              <w:top w:val="nil"/>
              <w:left w:val="nil"/>
              <w:bottom w:val="nil"/>
              <w:right w:val="nil"/>
            </w:tcBorders>
            <w:shd w:val="clear" w:color="auto" w:fill="auto"/>
            <w:noWrap/>
            <w:vAlign w:val="bottom"/>
            <w:hideMark/>
          </w:tcPr>
          <w:p w14:paraId="4AC51F3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0.0609***</w:t>
            </w:r>
          </w:p>
        </w:tc>
        <w:tc>
          <w:tcPr>
            <w:tcW w:w="2220" w:type="dxa"/>
            <w:tcBorders>
              <w:top w:val="nil"/>
              <w:left w:val="nil"/>
              <w:bottom w:val="nil"/>
              <w:right w:val="nil"/>
            </w:tcBorders>
            <w:shd w:val="clear" w:color="auto" w:fill="auto"/>
            <w:noWrap/>
            <w:vAlign w:val="bottom"/>
            <w:hideMark/>
          </w:tcPr>
          <w:p w14:paraId="074B8D8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0.0601***</w:t>
            </w:r>
          </w:p>
        </w:tc>
      </w:tr>
      <w:tr w:rsidR="00EA43D7" w:rsidRPr="00EA43D7" w14:paraId="4CDB6A50" w14:textId="77777777" w:rsidTr="00EA43D7">
        <w:trPr>
          <w:trHeight w:val="276"/>
        </w:trPr>
        <w:tc>
          <w:tcPr>
            <w:tcW w:w="3600" w:type="dxa"/>
            <w:tcBorders>
              <w:top w:val="nil"/>
              <w:left w:val="nil"/>
              <w:bottom w:val="nil"/>
              <w:right w:val="nil"/>
            </w:tcBorders>
            <w:shd w:val="clear" w:color="auto" w:fill="auto"/>
            <w:noWrap/>
            <w:vAlign w:val="bottom"/>
            <w:hideMark/>
          </w:tcPr>
          <w:p w14:paraId="2EEFEDBD"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5802B2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2620" w:type="dxa"/>
            <w:tcBorders>
              <w:top w:val="nil"/>
              <w:left w:val="nil"/>
              <w:bottom w:val="nil"/>
              <w:right w:val="nil"/>
            </w:tcBorders>
            <w:shd w:val="clear" w:color="auto" w:fill="auto"/>
            <w:noWrap/>
            <w:vAlign w:val="bottom"/>
            <w:hideMark/>
          </w:tcPr>
          <w:p w14:paraId="61033EB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(0.0131)</w:t>
            </w:r>
          </w:p>
        </w:tc>
        <w:tc>
          <w:tcPr>
            <w:tcW w:w="1840" w:type="dxa"/>
            <w:tcBorders>
              <w:top w:val="nil"/>
              <w:left w:val="nil"/>
              <w:bottom w:val="nil"/>
              <w:right w:val="nil"/>
            </w:tcBorders>
            <w:shd w:val="clear" w:color="auto" w:fill="auto"/>
            <w:noWrap/>
            <w:vAlign w:val="bottom"/>
            <w:hideMark/>
          </w:tcPr>
          <w:p w14:paraId="548904DC"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(0.0144)</w:t>
            </w:r>
          </w:p>
        </w:tc>
        <w:tc>
          <w:tcPr>
            <w:tcW w:w="2220" w:type="dxa"/>
            <w:tcBorders>
              <w:top w:val="nil"/>
              <w:left w:val="nil"/>
              <w:bottom w:val="nil"/>
              <w:right w:val="nil"/>
            </w:tcBorders>
            <w:shd w:val="clear" w:color="auto" w:fill="auto"/>
            <w:noWrap/>
            <w:vAlign w:val="bottom"/>
            <w:hideMark/>
          </w:tcPr>
          <w:p w14:paraId="278C4FB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(0.0121)</w:t>
            </w:r>
          </w:p>
        </w:tc>
      </w:tr>
      <w:tr w:rsidR="00EA43D7" w:rsidRPr="00EA43D7" w14:paraId="7D9DEA2C" w14:textId="77777777" w:rsidTr="00EA43D7">
        <w:trPr>
          <w:trHeight w:val="276"/>
        </w:trPr>
        <w:tc>
          <w:tcPr>
            <w:tcW w:w="3600" w:type="dxa"/>
            <w:tcBorders>
              <w:top w:val="nil"/>
              <w:left w:val="nil"/>
              <w:bottom w:val="nil"/>
              <w:right w:val="nil"/>
            </w:tcBorders>
            <w:shd w:val="clear" w:color="auto" w:fill="auto"/>
            <w:noWrap/>
            <w:vAlign w:val="bottom"/>
            <w:hideMark/>
          </w:tcPr>
          <w:p w14:paraId="188A4D71"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Secondary completed</w:t>
            </w:r>
          </w:p>
        </w:tc>
        <w:tc>
          <w:tcPr>
            <w:tcW w:w="1680" w:type="dxa"/>
            <w:tcBorders>
              <w:top w:val="nil"/>
              <w:left w:val="nil"/>
              <w:bottom w:val="nil"/>
              <w:right w:val="nil"/>
            </w:tcBorders>
            <w:shd w:val="clear" w:color="auto" w:fill="auto"/>
            <w:noWrap/>
            <w:vAlign w:val="bottom"/>
            <w:hideMark/>
          </w:tcPr>
          <w:p w14:paraId="0CC99B6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0.0828***</w:t>
            </w:r>
          </w:p>
        </w:tc>
        <w:tc>
          <w:tcPr>
            <w:tcW w:w="2620" w:type="dxa"/>
            <w:tcBorders>
              <w:top w:val="nil"/>
              <w:left w:val="nil"/>
              <w:bottom w:val="nil"/>
              <w:right w:val="nil"/>
            </w:tcBorders>
            <w:shd w:val="clear" w:color="auto" w:fill="auto"/>
            <w:noWrap/>
            <w:vAlign w:val="bottom"/>
            <w:hideMark/>
          </w:tcPr>
          <w:p w14:paraId="2D5A9BF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0.0961***</w:t>
            </w:r>
          </w:p>
        </w:tc>
        <w:tc>
          <w:tcPr>
            <w:tcW w:w="1840" w:type="dxa"/>
            <w:tcBorders>
              <w:top w:val="nil"/>
              <w:left w:val="nil"/>
              <w:bottom w:val="nil"/>
              <w:right w:val="nil"/>
            </w:tcBorders>
            <w:shd w:val="clear" w:color="auto" w:fill="auto"/>
            <w:noWrap/>
            <w:vAlign w:val="bottom"/>
            <w:hideMark/>
          </w:tcPr>
          <w:p w14:paraId="081E811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0.0833***</w:t>
            </w:r>
          </w:p>
        </w:tc>
        <w:tc>
          <w:tcPr>
            <w:tcW w:w="2220" w:type="dxa"/>
            <w:tcBorders>
              <w:top w:val="nil"/>
              <w:left w:val="nil"/>
              <w:bottom w:val="nil"/>
              <w:right w:val="nil"/>
            </w:tcBorders>
            <w:shd w:val="clear" w:color="auto" w:fill="auto"/>
            <w:noWrap/>
            <w:vAlign w:val="bottom"/>
            <w:hideMark/>
          </w:tcPr>
          <w:p w14:paraId="154B1CD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0.0863***</w:t>
            </w:r>
          </w:p>
        </w:tc>
      </w:tr>
      <w:tr w:rsidR="00EA43D7" w:rsidRPr="00EA43D7" w14:paraId="04B68833" w14:textId="77777777" w:rsidTr="00EA43D7">
        <w:trPr>
          <w:trHeight w:val="276"/>
        </w:trPr>
        <w:tc>
          <w:tcPr>
            <w:tcW w:w="3600" w:type="dxa"/>
            <w:tcBorders>
              <w:top w:val="nil"/>
              <w:left w:val="nil"/>
              <w:bottom w:val="nil"/>
              <w:right w:val="nil"/>
            </w:tcBorders>
            <w:shd w:val="clear" w:color="auto" w:fill="auto"/>
            <w:noWrap/>
            <w:vAlign w:val="bottom"/>
            <w:hideMark/>
          </w:tcPr>
          <w:p w14:paraId="2E2D8F2C"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24DA681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(0.0267)</w:t>
            </w:r>
          </w:p>
        </w:tc>
        <w:tc>
          <w:tcPr>
            <w:tcW w:w="2620" w:type="dxa"/>
            <w:tcBorders>
              <w:top w:val="nil"/>
              <w:left w:val="nil"/>
              <w:bottom w:val="nil"/>
              <w:right w:val="nil"/>
            </w:tcBorders>
            <w:shd w:val="clear" w:color="auto" w:fill="auto"/>
            <w:noWrap/>
            <w:vAlign w:val="bottom"/>
            <w:hideMark/>
          </w:tcPr>
          <w:p w14:paraId="69D93EA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(0.0276)</w:t>
            </w:r>
          </w:p>
        </w:tc>
        <w:tc>
          <w:tcPr>
            <w:tcW w:w="1840" w:type="dxa"/>
            <w:tcBorders>
              <w:top w:val="nil"/>
              <w:left w:val="nil"/>
              <w:bottom w:val="nil"/>
              <w:right w:val="nil"/>
            </w:tcBorders>
            <w:shd w:val="clear" w:color="auto" w:fill="auto"/>
            <w:noWrap/>
            <w:vAlign w:val="bottom"/>
            <w:hideMark/>
          </w:tcPr>
          <w:p w14:paraId="4E44B0B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(0.0303)</w:t>
            </w:r>
          </w:p>
        </w:tc>
        <w:tc>
          <w:tcPr>
            <w:tcW w:w="2220" w:type="dxa"/>
            <w:tcBorders>
              <w:top w:val="nil"/>
              <w:left w:val="nil"/>
              <w:bottom w:val="nil"/>
              <w:right w:val="nil"/>
            </w:tcBorders>
            <w:shd w:val="clear" w:color="auto" w:fill="auto"/>
            <w:noWrap/>
            <w:vAlign w:val="bottom"/>
            <w:hideMark/>
          </w:tcPr>
          <w:p w14:paraId="3C3CD4A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(0.0241)</w:t>
            </w:r>
          </w:p>
        </w:tc>
      </w:tr>
      <w:tr w:rsidR="00EA43D7" w:rsidRPr="00EA43D7" w14:paraId="37063AA7" w14:textId="77777777" w:rsidTr="00EA43D7">
        <w:trPr>
          <w:trHeight w:val="276"/>
        </w:trPr>
        <w:tc>
          <w:tcPr>
            <w:tcW w:w="3600" w:type="dxa"/>
            <w:tcBorders>
              <w:top w:val="nil"/>
              <w:left w:val="nil"/>
              <w:bottom w:val="nil"/>
              <w:right w:val="nil"/>
            </w:tcBorders>
            <w:shd w:val="clear" w:color="auto" w:fill="auto"/>
            <w:noWrap/>
            <w:vAlign w:val="bottom"/>
            <w:hideMark/>
          </w:tcPr>
          <w:p w14:paraId="6993C03A"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University and above</w:t>
            </w:r>
          </w:p>
        </w:tc>
        <w:tc>
          <w:tcPr>
            <w:tcW w:w="1680" w:type="dxa"/>
            <w:tcBorders>
              <w:top w:val="nil"/>
              <w:left w:val="nil"/>
              <w:bottom w:val="nil"/>
              <w:right w:val="nil"/>
            </w:tcBorders>
            <w:shd w:val="clear" w:color="auto" w:fill="auto"/>
            <w:noWrap/>
            <w:vAlign w:val="bottom"/>
            <w:hideMark/>
          </w:tcPr>
          <w:p w14:paraId="644257A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0.0130</w:t>
            </w:r>
          </w:p>
        </w:tc>
        <w:tc>
          <w:tcPr>
            <w:tcW w:w="2620" w:type="dxa"/>
            <w:tcBorders>
              <w:top w:val="nil"/>
              <w:left w:val="nil"/>
              <w:bottom w:val="nil"/>
              <w:right w:val="nil"/>
            </w:tcBorders>
            <w:shd w:val="clear" w:color="auto" w:fill="auto"/>
            <w:noWrap/>
            <w:vAlign w:val="bottom"/>
            <w:hideMark/>
          </w:tcPr>
          <w:p w14:paraId="6029485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0.352**</w:t>
            </w:r>
          </w:p>
        </w:tc>
        <w:tc>
          <w:tcPr>
            <w:tcW w:w="1840" w:type="dxa"/>
            <w:tcBorders>
              <w:top w:val="nil"/>
              <w:left w:val="nil"/>
              <w:bottom w:val="nil"/>
              <w:right w:val="nil"/>
            </w:tcBorders>
            <w:shd w:val="clear" w:color="auto" w:fill="auto"/>
            <w:noWrap/>
            <w:vAlign w:val="bottom"/>
            <w:hideMark/>
          </w:tcPr>
          <w:p w14:paraId="2AC8B43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0.184</w:t>
            </w:r>
          </w:p>
        </w:tc>
        <w:tc>
          <w:tcPr>
            <w:tcW w:w="2220" w:type="dxa"/>
            <w:tcBorders>
              <w:top w:val="nil"/>
              <w:left w:val="nil"/>
              <w:bottom w:val="nil"/>
              <w:right w:val="nil"/>
            </w:tcBorders>
            <w:shd w:val="clear" w:color="auto" w:fill="auto"/>
            <w:noWrap/>
            <w:vAlign w:val="bottom"/>
            <w:hideMark/>
          </w:tcPr>
          <w:p w14:paraId="70B6FC9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0.136</w:t>
            </w:r>
          </w:p>
        </w:tc>
      </w:tr>
      <w:tr w:rsidR="00EA43D7" w:rsidRPr="00EA43D7" w14:paraId="42C68D5B" w14:textId="77777777" w:rsidTr="00EA43D7">
        <w:trPr>
          <w:trHeight w:val="276"/>
        </w:trPr>
        <w:tc>
          <w:tcPr>
            <w:tcW w:w="3600" w:type="dxa"/>
            <w:tcBorders>
              <w:top w:val="nil"/>
              <w:left w:val="nil"/>
              <w:bottom w:val="nil"/>
              <w:right w:val="nil"/>
            </w:tcBorders>
            <w:shd w:val="clear" w:color="auto" w:fill="auto"/>
            <w:noWrap/>
            <w:vAlign w:val="bottom"/>
            <w:hideMark/>
          </w:tcPr>
          <w:p w14:paraId="0504D8E3"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2601232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(0.0894)</w:t>
            </w:r>
          </w:p>
        </w:tc>
        <w:tc>
          <w:tcPr>
            <w:tcW w:w="2620" w:type="dxa"/>
            <w:tcBorders>
              <w:top w:val="nil"/>
              <w:left w:val="nil"/>
              <w:bottom w:val="nil"/>
              <w:right w:val="nil"/>
            </w:tcBorders>
            <w:shd w:val="clear" w:color="auto" w:fill="auto"/>
            <w:noWrap/>
            <w:vAlign w:val="bottom"/>
            <w:hideMark/>
          </w:tcPr>
          <w:p w14:paraId="14AD785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(0.148)</w:t>
            </w:r>
          </w:p>
        </w:tc>
        <w:tc>
          <w:tcPr>
            <w:tcW w:w="1840" w:type="dxa"/>
            <w:tcBorders>
              <w:top w:val="nil"/>
              <w:left w:val="nil"/>
              <w:bottom w:val="nil"/>
              <w:right w:val="nil"/>
            </w:tcBorders>
            <w:shd w:val="clear" w:color="auto" w:fill="auto"/>
            <w:noWrap/>
            <w:vAlign w:val="bottom"/>
            <w:hideMark/>
          </w:tcPr>
          <w:p w14:paraId="5DEE62C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(0.142)</w:t>
            </w:r>
          </w:p>
        </w:tc>
        <w:tc>
          <w:tcPr>
            <w:tcW w:w="2220" w:type="dxa"/>
            <w:tcBorders>
              <w:top w:val="nil"/>
              <w:left w:val="nil"/>
              <w:bottom w:val="nil"/>
              <w:right w:val="nil"/>
            </w:tcBorders>
            <w:shd w:val="clear" w:color="auto" w:fill="auto"/>
            <w:noWrap/>
            <w:vAlign w:val="bottom"/>
            <w:hideMark/>
          </w:tcPr>
          <w:p w14:paraId="1D50E0A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(0.143)</w:t>
            </w:r>
          </w:p>
        </w:tc>
      </w:tr>
      <w:tr w:rsidR="00EA43D7" w:rsidRPr="00EA43D7" w14:paraId="226D43A3"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5629A21E"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Base is no education</w:t>
            </w:r>
          </w:p>
        </w:tc>
        <w:tc>
          <w:tcPr>
            <w:tcW w:w="1680" w:type="dxa"/>
            <w:tcBorders>
              <w:top w:val="nil"/>
              <w:left w:val="nil"/>
              <w:bottom w:val="single" w:sz="4" w:space="0" w:color="auto"/>
              <w:right w:val="nil"/>
            </w:tcBorders>
            <w:shd w:val="clear" w:color="auto" w:fill="auto"/>
            <w:noWrap/>
            <w:vAlign w:val="bottom"/>
            <w:hideMark/>
          </w:tcPr>
          <w:p w14:paraId="163D2C5F" w14:textId="2D08A429" w:rsidR="00EA43D7" w:rsidRPr="00EA43D7" w:rsidRDefault="00EA43D7" w:rsidP="00FF272D">
            <w:pPr>
              <w:spacing w:line="240" w:lineRule="auto"/>
              <w:jc w:val="center"/>
              <w:rPr>
                <w:rFonts w:ascii="Times New Roman" w:eastAsia="Times New Roman" w:hAnsi="Times New Roman" w:cs="Times New Roman"/>
                <w:lang w:eastAsia="zh-CN"/>
              </w:rPr>
            </w:pPr>
          </w:p>
        </w:tc>
        <w:tc>
          <w:tcPr>
            <w:tcW w:w="2620" w:type="dxa"/>
            <w:tcBorders>
              <w:top w:val="nil"/>
              <w:left w:val="nil"/>
              <w:bottom w:val="single" w:sz="4" w:space="0" w:color="auto"/>
              <w:right w:val="nil"/>
            </w:tcBorders>
            <w:shd w:val="clear" w:color="auto" w:fill="auto"/>
            <w:noWrap/>
            <w:vAlign w:val="bottom"/>
            <w:hideMark/>
          </w:tcPr>
          <w:p w14:paraId="43DBF953" w14:textId="3F8E93EF" w:rsidR="00EA43D7" w:rsidRPr="00EA43D7" w:rsidRDefault="00EA43D7" w:rsidP="00FF272D">
            <w:pPr>
              <w:spacing w:line="240" w:lineRule="auto"/>
              <w:jc w:val="center"/>
              <w:rPr>
                <w:rFonts w:ascii="Times New Roman" w:eastAsia="Times New Roman" w:hAnsi="Times New Roman" w:cs="Times New Roman"/>
                <w:lang w:eastAsia="zh-CN"/>
              </w:rPr>
            </w:pPr>
          </w:p>
        </w:tc>
        <w:tc>
          <w:tcPr>
            <w:tcW w:w="1840" w:type="dxa"/>
            <w:tcBorders>
              <w:top w:val="nil"/>
              <w:left w:val="nil"/>
              <w:bottom w:val="single" w:sz="4" w:space="0" w:color="auto"/>
              <w:right w:val="nil"/>
            </w:tcBorders>
            <w:shd w:val="clear" w:color="auto" w:fill="auto"/>
            <w:noWrap/>
            <w:vAlign w:val="bottom"/>
            <w:hideMark/>
          </w:tcPr>
          <w:p w14:paraId="68F8C38F" w14:textId="5BCE05E6" w:rsidR="00EA43D7" w:rsidRPr="00EA43D7" w:rsidRDefault="00EA43D7" w:rsidP="00FF272D">
            <w:pPr>
              <w:spacing w:line="240" w:lineRule="auto"/>
              <w:jc w:val="center"/>
              <w:rPr>
                <w:rFonts w:ascii="Times New Roman" w:eastAsia="Times New Roman" w:hAnsi="Times New Roman" w:cs="Times New Roman"/>
                <w:lang w:eastAsia="zh-CN"/>
              </w:rPr>
            </w:pPr>
          </w:p>
        </w:tc>
        <w:tc>
          <w:tcPr>
            <w:tcW w:w="2220" w:type="dxa"/>
            <w:tcBorders>
              <w:top w:val="nil"/>
              <w:left w:val="nil"/>
              <w:bottom w:val="single" w:sz="4" w:space="0" w:color="auto"/>
              <w:right w:val="nil"/>
            </w:tcBorders>
            <w:shd w:val="clear" w:color="auto" w:fill="auto"/>
            <w:noWrap/>
            <w:vAlign w:val="bottom"/>
            <w:hideMark/>
          </w:tcPr>
          <w:p w14:paraId="2A73400F" w14:textId="09C52CBD" w:rsidR="00EA43D7" w:rsidRPr="00EA43D7" w:rsidRDefault="00EA43D7" w:rsidP="00FF272D">
            <w:pPr>
              <w:spacing w:line="240" w:lineRule="auto"/>
              <w:jc w:val="center"/>
              <w:rPr>
                <w:rFonts w:ascii="Times New Roman" w:eastAsia="Times New Roman" w:hAnsi="Times New Roman" w:cs="Times New Roman"/>
                <w:lang w:eastAsia="zh-CN"/>
              </w:rPr>
            </w:pPr>
          </w:p>
        </w:tc>
      </w:tr>
      <w:tr w:rsidR="00EA43D7" w:rsidRPr="00EA43D7" w14:paraId="4A11F3E9" w14:textId="77777777" w:rsidTr="00EA43D7">
        <w:trPr>
          <w:trHeight w:val="276"/>
        </w:trPr>
        <w:tc>
          <w:tcPr>
            <w:tcW w:w="3600" w:type="dxa"/>
            <w:tcBorders>
              <w:top w:val="nil"/>
              <w:left w:val="nil"/>
              <w:bottom w:val="nil"/>
              <w:right w:val="nil"/>
            </w:tcBorders>
            <w:shd w:val="clear" w:color="auto" w:fill="auto"/>
            <w:noWrap/>
            <w:vAlign w:val="bottom"/>
            <w:hideMark/>
          </w:tcPr>
          <w:p w14:paraId="54C882EE"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Access to markets</w:t>
            </w:r>
          </w:p>
        </w:tc>
        <w:tc>
          <w:tcPr>
            <w:tcW w:w="1680" w:type="dxa"/>
            <w:tcBorders>
              <w:top w:val="nil"/>
              <w:left w:val="nil"/>
              <w:bottom w:val="nil"/>
              <w:right w:val="nil"/>
            </w:tcBorders>
            <w:shd w:val="clear" w:color="auto" w:fill="auto"/>
            <w:noWrap/>
            <w:vAlign w:val="bottom"/>
            <w:hideMark/>
          </w:tcPr>
          <w:p w14:paraId="2B53BF9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-0.0335**</w:t>
            </w:r>
          </w:p>
        </w:tc>
        <w:tc>
          <w:tcPr>
            <w:tcW w:w="2620" w:type="dxa"/>
            <w:tcBorders>
              <w:top w:val="nil"/>
              <w:left w:val="nil"/>
              <w:bottom w:val="nil"/>
              <w:right w:val="nil"/>
            </w:tcBorders>
            <w:shd w:val="clear" w:color="auto" w:fill="auto"/>
            <w:noWrap/>
            <w:vAlign w:val="bottom"/>
            <w:hideMark/>
          </w:tcPr>
          <w:p w14:paraId="46E93F7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-0.0276*</w:t>
            </w:r>
          </w:p>
        </w:tc>
        <w:tc>
          <w:tcPr>
            <w:tcW w:w="1840" w:type="dxa"/>
            <w:tcBorders>
              <w:top w:val="nil"/>
              <w:left w:val="nil"/>
              <w:bottom w:val="nil"/>
              <w:right w:val="nil"/>
            </w:tcBorders>
            <w:shd w:val="clear" w:color="auto" w:fill="auto"/>
            <w:noWrap/>
            <w:vAlign w:val="bottom"/>
            <w:hideMark/>
          </w:tcPr>
          <w:p w14:paraId="7D33D87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0.0314*</w:t>
            </w:r>
          </w:p>
        </w:tc>
        <w:tc>
          <w:tcPr>
            <w:tcW w:w="2220" w:type="dxa"/>
            <w:tcBorders>
              <w:top w:val="nil"/>
              <w:left w:val="nil"/>
              <w:bottom w:val="nil"/>
              <w:right w:val="nil"/>
            </w:tcBorders>
            <w:shd w:val="clear" w:color="auto" w:fill="auto"/>
            <w:noWrap/>
            <w:vAlign w:val="bottom"/>
            <w:hideMark/>
          </w:tcPr>
          <w:p w14:paraId="49046E8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-0.0278**</w:t>
            </w:r>
          </w:p>
        </w:tc>
      </w:tr>
      <w:tr w:rsidR="00EA43D7" w:rsidRPr="00EA43D7" w14:paraId="3DD518AE" w14:textId="77777777" w:rsidTr="00EA43D7">
        <w:trPr>
          <w:trHeight w:val="276"/>
        </w:trPr>
        <w:tc>
          <w:tcPr>
            <w:tcW w:w="3600" w:type="dxa"/>
            <w:tcBorders>
              <w:top w:val="nil"/>
              <w:left w:val="nil"/>
              <w:bottom w:val="nil"/>
              <w:right w:val="nil"/>
            </w:tcBorders>
            <w:shd w:val="clear" w:color="auto" w:fill="auto"/>
            <w:noWrap/>
            <w:vAlign w:val="bottom"/>
            <w:hideMark/>
          </w:tcPr>
          <w:p w14:paraId="2DC6FF92"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6475A4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(0.0145)</w:t>
            </w:r>
          </w:p>
        </w:tc>
        <w:tc>
          <w:tcPr>
            <w:tcW w:w="2620" w:type="dxa"/>
            <w:tcBorders>
              <w:top w:val="nil"/>
              <w:left w:val="nil"/>
              <w:bottom w:val="nil"/>
              <w:right w:val="nil"/>
            </w:tcBorders>
            <w:shd w:val="clear" w:color="auto" w:fill="auto"/>
            <w:noWrap/>
            <w:vAlign w:val="bottom"/>
            <w:hideMark/>
          </w:tcPr>
          <w:p w14:paraId="3A5F589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(0.0143)</w:t>
            </w:r>
          </w:p>
        </w:tc>
        <w:tc>
          <w:tcPr>
            <w:tcW w:w="1840" w:type="dxa"/>
            <w:tcBorders>
              <w:top w:val="nil"/>
              <w:left w:val="nil"/>
              <w:bottom w:val="nil"/>
              <w:right w:val="nil"/>
            </w:tcBorders>
            <w:shd w:val="clear" w:color="auto" w:fill="auto"/>
            <w:noWrap/>
            <w:vAlign w:val="bottom"/>
            <w:hideMark/>
          </w:tcPr>
          <w:p w14:paraId="76D784C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(0.0161)</w:t>
            </w:r>
          </w:p>
        </w:tc>
        <w:tc>
          <w:tcPr>
            <w:tcW w:w="2220" w:type="dxa"/>
            <w:tcBorders>
              <w:top w:val="nil"/>
              <w:left w:val="nil"/>
              <w:bottom w:val="nil"/>
              <w:right w:val="nil"/>
            </w:tcBorders>
            <w:shd w:val="clear" w:color="auto" w:fill="auto"/>
            <w:noWrap/>
            <w:vAlign w:val="bottom"/>
            <w:hideMark/>
          </w:tcPr>
          <w:p w14:paraId="450DCF4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(0.0126)</w:t>
            </w:r>
          </w:p>
        </w:tc>
      </w:tr>
      <w:tr w:rsidR="00EA43D7" w:rsidRPr="00EA43D7" w14:paraId="2C6ECB27" w14:textId="77777777" w:rsidTr="00EA43D7">
        <w:trPr>
          <w:trHeight w:val="276"/>
        </w:trPr>
        <w:tc>
          <w:tcPr>
            <w:tcW w:w="3600" w:type="dxa"/>
            <w:tcBorders>
              <w:top w:val="nil"/>
              <w:left w:val="nil"/>
              <w:bottom w:val="nil"/>
              <w:right w:val="nil"/>
            </w:tcBorders>
            <w:shd w:val="clear" w:color="auto" w:fill="auto"/>
            <w:noWrap/>
            <w:vAlign w:val="bottom"/>
            <w:hideMark/>
          </w:tcPr>
          <w:p w14:paraId="33208ECC"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Access to public transportation</w:t>
            </w:r>
          </w:p>
        </w:tc>
        <w:tc>
          <w:tcPr>
            <w:tcW w:w="1680" w:type="dxa"/>
            <w:tcBorders>
              <w:top w:val="nil"/>
              <w:left w:val="nil"/>
              <w:bottom w:val="nil"/>
              <w:right w:val="nil"/>
            </w:tcBorders>
            <w:shd w:val="clear" w:color="auto" w:fill="auto"/>
            <w:noWrap/>
            <w:vAlign w:val="bottom"/>
            <w:hideMark/>
          </w:tcPr>
          <w:p w14:paraId="0312FBC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0.0418***</w:t>
            </w:r>
          </w:p>
        </w:tc>
        <w:tc>
          <w:tcPr>
            <w:tcW w:w="2620" w:type="dxa"/>
            <w:tcBorders>
              <w:top w:val="nil"/>
              <w:left w:val="nil"/>
              <w:bottom w:val="nil"/>
              <w:right w:val="nil"/>
            </w:tcBorders>
            <w:shd w:val="clear" w:color="auto" w:fill="auto"/>
            <w:noWrap/>
            <w:vAlign w:val="bottom"/>
            <w:hideMark/>
          </w:tcPr>
          <w:p w14:paraId="0A52E38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0.103***</w:t>
            </w:r>
          </w:p>
        </w:tc>
        <w:tc>
          <w:tcPr>
            <w:tcW w:w="1840" w:type="dxa"/>
            <w:tcBorders>
              <w:top w:val="nil"/>
              <w:left w:val="nil"/>
              <w:bottom w:val="nil"/>
              <w:right w:val="nil"/>
            </w:tcBorders>
            <w:shd w:val="clear" w:color="auto" w:fill="auto"/>
            <w:noWrap/>
            <w:vAlign w:val="bottom"/>
            <w:hideMark/>
          </w:tcPr>
          <w:p w14:paraId="28F090A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0.0769***</w:t>
            </w:r>
          </w:p>
        </w:tc>
        <w:tc>
          <w:tcPr>
            <w:tcW w:w="2220" w:type="dxa"/>
            <w:tcBorders>
              <w:top w:val="nil"/>
              <w:left w:val="nil"/>
              <w:bottom w:val="nil"/>
              <w:right w:val="nil"/>
            </w:tcBorders>
            <w:shd w:val="clear" w:color="auto" w:fill="auto"/>
            <w:noWrap/>
            <w:vAlign w:val="bottom"/>
            <w:hideMark/>
          </w:tcPr>
          <w:p w14:paraId="2FE983B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0.0904***</w:t>
            </w:r>
          </w:p>
        </w:tc>
      </w:tr>
      <w:tr w:rsidR="00EA43D7" w:rsidRPr="00EA43D7" w14:paraId="1BC80ADB" w14:textId="77777777" w:rsidTr="00EA43D7">
        <w:trPr>
          <w:trHeight w:val="276"/>
        </w:trPr>
        <w:tc>
          <w:tcPr>
            <w:tcW w:w="3600" w:type="dxa"/>
            <w:tcBorders>
              <w:top w:val="nil"/>
              <w:left w:val="nil"/>
              <w:bottom w:val="nil"/>
              <w:right w:val="nil"/>
            </w:tcBorders>
            <w:shd w:val="clear" w:color="auto" w:fill="auto"/>
            <w:noWrap/>
            <w:vAlign w:val="bottom"/>
            <w:hideMark/>
          </w:tcPr>
          <w:p w14:paraId="317453D3"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6C08DC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(0.0125)</w:t>
            </w:r>
          </w:p>
        </w:tc>
        <w:tc>
          <w:tcPr>
            <w:tcW w:w="2620" w:type="dxa"/>
            <w:tcBorders>
              <w:top w:val="nil"/>
              <w:left w:val="nil"/>
              <w:bottom w:val="nil"/>
              <w:right w:val="nil"/>
            </w:tcBorders>
            <w:shd w:val="clear" w:color="auto" w:fill="auto"/>
            <w:noWrap/>
            <w:vAlign w:val="bottom"/>
            <w:hideMark/>
          </w:tcPr>
          <w:p w14:paraId="340BA50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(0.0124)</w:t>
            </w:r>
          </w:p>
        </w:tc>
        <w:tc>
          <w:tcPr>
            <w:tcW w:w="1840" w:type="dxa"/>
            <w:tcBorders>
              <w:top w:val="nil"/>
              <w:left w:val="nil"/>
              <w:bottom w:val="nil"/>
              <w:right w:val="nil"/>
            </w:tcBorders>
            <w:shd w:val="clear" w:color="auto" w:fill="auto"/>
            <w:noWrap/>
            <w:vAlign w:val="bottom"/>
            <w:hideMark/>
          </w:tcPr>
          <w:p w14:paraId="3DC6F9A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(0.0138)</w:t>
            </w:r>
          </w:p>
        </w:tc>
        <w:tc>
          <w:tcPr>
            <w:tcW w:w="2220" w:type="dxa"/>
            <w:tcBorders>
              <w:top w:val="nil"/>
              <w:left w:val="nil"/>
              <w:bottom w:val="nil"/>
              <w:right w:val="nil"/>
            </w:tcBorders>
            <w:shd w:val="clear" w:color="auto" w:fill="auto"/>
            <w:noWrap/>
            <w:vAlign w:val="bottom"/>
            <w:hideMark/>
          </w:tcPr>
          <w:p w14:paraId="1563412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(0.0116)</w:t>
            </w:r>
          </w:p>
        </w:tc>
      </w:tr>
      <w:tr w:rsidR="00EA43D7" w:rsidRPr="00EA43D7" w14:paraId="4ABB22BD" w14:textId="77777777" w:rsidTr="00EA43D7">
        <w:trPr>
          <w:trHeight w:val="276"/>
        </w:trPr>
        <w:tc>
          <w:tcPr>
            <w:tcW w:w="3600" w:type="dxa"/>
            <w:tcBorders>
              <w:top w:val="nil"/>
              <w:left w:val="nil"/>
              <w:bottom w:val="nil"/>
              <w:right w:val="nil"/>
            </w:tcBorders>
            <w:shd w:val="clear" w:color="auto" w:fill="auto"/>
            <w:noWrap/>
            <w:vAlign w:val="bottom"/>
            <w:hideMark/>
          </w:tcPr>
          <w:p w14:paraId="64552D2D"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Access to electricity</w:t>
            </w:r>
          </w:p>
        </w:tc>
        <w:tc>
          <w:tcPr>
            <w:tcW w:w="1680" w:type="dxa"/>
            <w:tcBorders>
              <w:top w:val="nil"/>
              <w:left w:val="nil"/>
              <w:bottom w:val="nil"/>
              <w:right w:val="nil"/>
            </w:tcBorders>
            <w:shd w:val="clear" w:color="auto" w:fill="auto"/>
            <w:noWrap/>
            <w:vAlign w:val="bottom"/>
            <w:hideMark/>
          </w:tcPr>
          <w:p w14:paraId="32B30B5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-0.00848</w:t>
            </w:r>
          </w:p>
        </w:tc>
        <w:tc>
          <w:tcPr>
            <w:tcW w:w="2620" w:type="dxa"/>
            <w:tcBorders>
              <w:top w:val="nil"/>
              <w:left w:val="nil"/>
              <w:bottom w:val="nil"/>
              <w:right w:val="nil"/>
            </w:tcBorders>
            <w:shd w:val="clear" w:color="auto" w:fill="auto"/>
            <w:noWrap/>
            <w:vAlign w:val="bottom"/>
            <w:hideMark/>
          </w:tcPr>
          <w:p w14:paraId="19C6C2F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-0.0381***</w:t>
            </w:r>
          </w:p>
        </w:tc>
        <w:tc>
          <w:tcPr>
            <w:tcW w:w="1840" w:type="dxa"/>
            <w:tcBorders>
              <w:top w:val="nil"/>
              <w:left w:val="nil"/>
              <w:bottom w:val="nil"/>
              <w:right w:val="nil"/>
            </w:tcBorders>
            <w:shd w:val="clear" w:color="auto" w:fill="auto"/>
            <w:noWrap/>
            <w:vAlign w:val="bottom"/>
            <w:hideMark/>
          </w:tcPr>
          <w:p w14:paraId="7932B76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0.0284**</w:t>
            </w:r>
          </w:p>
        </w:tc>
        <w:tc>
          <w:tcPr>
            <w:tcW w:w="2220" w:type="dxa"/>
            <w:tcBorders>
              <w:top w:val="nil"/>
              <w:left w:val="nil"/>
              <w:bottom w:val="nil"/>
              <w:right w:val="nil"/>
            </w:tcBorders>
            <w:shd w:val="clear" w:color="auto" w:fill="auto"/>
            <w:noWrap/>
            <w:vAlign w:val="bottom"/>
            <w:hideMark/>
          </w:tcPr>
          <w:p w14:paraId="29B2C84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-0.00746</w:t>
            </w:r>
          </w:p>
        </w:tc>
      </w:tr>
      <w:tr w:rsidR="00EA43D7" w:rsidRPr="00EA43D7" w14:paraId="738DDED2" w14:textId="77777777" w:rsidTr="00EA43D7">
        <w:trPr>
          <w:trHeight w:val="276"/>
        </w:trPr>
        <w:tc>
          <w:tcPr>
            <w:tcW w:w="3600" w:type="dxa"/>
            <w:tcBorders>
              <w:top w:val="nil"/>
              <w:left w:val="nil"/>
              <w:bottom w:val="nil"/>
              <w:right w:val="nil"/>
            </w:tcBorders>
            <w:shd w:val="clear" w:color="auto" w:fill="auto"/>
            <w:noWrap/>
            <w:vAlign w:val="bottom"/>
            <w:hideMark/>
          </w:tcPr>
          <w:p w14:paraId="083094AA"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AC3F5B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(0.0124)</w:t>
            </w:r>
          </w:p>
        </w:tc>
        <w:tc>
          <w:tcPr>
            <w:tcW w:w="2620" w:type="dxa"/>
            <w:tcBorders>
              <w:top w:val="nil"/>
              <w:left w:val="nil"/>
              <w:bottom w:val="nil"/>
              <w:right w:val="nil"/>
            </w:tcBorders>
            <w:shd w:val="clear" w:color="auto" w:fill="auto"/>
            <w:noWrap/>
            <w:vAlign w:val="bottom"/>
            <w:hideMark/>
          </w:tcPr>
          <w:p w14:paraId="5AB6D4B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(0.0122)</w:t>
            </w:r>
          </w:p>
        </w:tc>
        <w:tc>
          <w:tcPr>
            <w:tcW w:w="1840" w:type="dxa"/>
            <w:tcBorders>
              <w:top w:val="nil"/>
              <w:left w:val="nil"/>
              <w:bottom w:val="nil"/>
              <w:right w:val="nil"/>
            </w:tcBorders>
            <w:shd w:val="clear" w:color="auto" w:fill="auto"/>
            <w:noWrap/>
            <w:vAlign w:val="bottom"/>
            <w:hideMark/>
          </w:tcPr>
          <w:p w14:paraId="330B126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2220" w:type="dxa"/>
            <w:tcBorders>
              <w:top w:val="nil"/>
              <w:left w:val="nil"/>
              <w:bottom w:val="nil"/>
              <w:right w:val="nil"/>
            </w:tcBorders>
            <w:shd w:val="clear" w:color="auto" w:fill="auto"/>
            <w:noWrap/>
            <w:vAlign w:val="bottom"/>
            <w:hideMark/>
          </w:tcPr>
          <w:p w14:paraId="4ACE9DF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(0.0116)</w:t>
            </w:r>
          </w:p>
        </w:tc>
      </w:tr>
      <w:tr w:rsidR="00EA43D7" w:rsidRPr="00EA43D7" w14:paraId="61E7BB8D"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24AA07F1"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Observations</w:t>
            </w:r>
          </w:p>
        </w:tc>
        <w:tc>
          <w:tcPr>
            <w:tcW w:w="1680" w:type="dxa"/>
            <w:tcBorders>
              <w:top w:val="nil"/>
              <w:left w:val="nil"/>
              <w:bottom w:val="single" w:sz="4" w:space="0" w:color="auto"/>
              <w:right w:val="nil"/>
            </w:tcBorders>
            <w:shd w:val="clear" w:color="auto" w:fill="auto"/>
            <w:noWrap/>
            <w:vAlign w:val="bottom"/>
            <w:hideMark/>
          </w:tcPr>
          <w:p w14:paraId="29FF608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13,388</w:t>
            </w:r>
          </w:p>
        </w:tc>
        <w:tc>
          <w:tcPr>
            <w:tcW w:w="2620" w:type="dxa"/>
            <w:tcBorders>
              <w:top w:val="nil"/>
              <w:left w:val="nil"/>
              <w:bottom w:val="single" w:sz="4" w:space="0" w:color="auto"/>
              <w:right w:val="nil"/>
            </w:tcBorders>
            <w:shd w:val="clear" w:color="auto" w:fill="auto"/>
            <w:noWrap/>
            <w:vAlign w:val="bottom"/>
            <w:hideMark/>
          </w:tcPr>
          <w:p w14:paraId="4526C27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13,340</w:t>
            </w:r>
          </w:p>
        </w:tc>
        <w:tc>
          <w:tcPr>
            <w:tcW w:w="1840" w:type="dxa"/>
            <w:tcBorders>
              <w:top w:val="nil"/>
              <w:left w:val="nil"/>
              <w:bottom w:val="single" w:sz="4" w:space="0" w:color="auto"/>
              <w:right w:val="nil"/>
            </w:tcBorders>
            <w:shd w:val="clear" w:color="auto" w:fill="auto"/>
            <w:noWrap/>
            <w:vAlign w:val="bottom"/>
            <w:hideMark/>
          </w:tcPr>
          <w:p w14:paraId="7AFECAC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13,340</w:t>
            </w:r>
          </w:p>
        </w:tc>
        <w:tc>
          <w:tcPr>
            <w:tcW w:w="2220" w:type="dxa"/>
            <w:tcBorders>
              <w:top w:val="nil"/>
              <w:left w:val="nil"/>
              <w:bottom w:val="single" w:sz="4" w:space="0" w:color="auto"/>
              <w:right w:val="nil"/>
            </w:tcBorders>
            <w:shd w:val="clear" w:color="auto" w:fill="auto"/>
            <w:noWrap/>
            <w:vAlign w:val="bottom"/>
            <w:hideMark/>
          </w:tcPr>
          <w:p w14:paraId="1BB74BE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13,340</w:t>
            </w:r>
          </w:p>
        </w:tc>
      </w:tr>
    </w:tbl>
    <w:p w14:paraId="3A2DB187" w14:textId="77777777" w:rsidR="00B67D55" w:rsidRPr="00573642" w:rsidRDefault="00B67D55" w:rsidP="00EF7FD9">
      <w:pPr>
        <w:spacing w:line="240" w:lineRule="auto"/>
        <w:jc w:val="both"/>
        <w:rPr>
          <w:rFonts w:ascii="Times New Roman" w:eastAsia="Times New Roman" w:hAnsi="Times New Roman" w:cs="Times New Roman"/>
        </w:rPr>
      </w:pPr>
      <w:r w:rsidRPr="00573642">
        <w:rPr>
          <w:rFonts w:ascii="Times New Roman" w:eastAsia="Times New Roman" w:hAnsi="Times New Roman" w:cs="Times New Roman"/>
        </w:rPr>
        <w:t>* p&lt;0.1, ** p&lt;0.05, *** p&lt;0.01</w:t>
      </w:r>
    </w:p>
    <w:p w14:paraId="102689EA" w14:textId="005A488B" w:rsidR="00FA0620" w:rsidRPr="00EC5A2C" w:rsidRDefault="00573642" w:rsidP="00EF7FD9">
      <w:pPr>
        <w:spacing w:line="240" w:lineRule="auto"/>
        <w:jc w:val="both"/>
        <w:rPr>
          <w:rFonts w:ascii="Times New Roman" w:eastAsia="Times New Roman" w:hAnsi="Times New Roman" w:cs="Times New Roman"/>
        </w:rPr>
      </w:pPr>
      <w:r w:rsidRPr="00EC5A2C">
        <w:rPr>
          <w:rFonts w:ascii="Times New Roman" w:eastAsia="Times New Roman" w:hAnsi="Times New Roman" w:cs="Times New Roman"/>
        </w:rPr>
        <w:t xml:space="preserve">Notes: </w:t>
      </w:r>
      <w:r w:rsidR="00FA0620">
        <w:rPr>
          <w:rFonts w:ascii="Times New Roman" w:eastAsia="Times New Roman" w:hAnsi="Times New Roman" w:cs="Times New Roman"/>
        </w:rPr>
        <w:t>Agricultural only or agricultural and nonagricultural mixed rural households in</w:t>
      </w:r>
      <w:r w:rsidR="00FA0620" w:rsidRPr="00EC5A2C">
        <w:rPr>
          <w:rFonts w:ascii="Times New Roman" w:eastAsia="Times New Roman" w:hAnsi="Times New Roman" w:cs="Times New Roman"/>
        </w:rPr>
        <w:t xml:space="preserve"> GLSS5 are included in the regressions. </w:t>
      </w:r>
    </w:p>
    <w:p w14:paraId="5439F4FE" w14:textId="15F939BD" w:rsidR="00B67D55" w:rsidRPr="00573642" w:rsidRDefault="00FA0620" w:rsidP="00EF7FD9">
      <w:pPr>
        <w:spacing w:line="240" w:lineRule="auto"/>
        <w:jc w:val="both"/>
        <w:rPr>
          <w:rFonts w:ascii="Times New Roman" w:hAnsi="Times New Roman" w:cs="Times New Roman"/>
        </w:rPr>
      </w:pPr>
      <w:r w:rsidRPr="00EC5A2C">
        <w:rPr>
          <w:rFonts w:ascii="Times New Roman" w:eastAsia="Times New Roman" w:hAnsi="Times New Roman" w:cs="Times New Roman"/>
        </w:rPr>
        <w:t xml:space="preserve">Source: Authors own estimation using GLSS5 </w:t>
      </w:r>
      <w:r>
        <w:rPr>
          <w:rFonts w:ascii="Times New Roman" w:eastAsia="Times New Roman" w:hAnsi="Times New Roman" w:cs="Times New Roman"/>
        </w:rPr>
        <w:t xml:space="preserve">and GLSS6 </w:t>
      </w:r>
      <w:r w:rsidRPr="00EC5A2C">
        <w:rPr>
          <w:rFonts w:ascii="Times New Roman" w:eastAsia="Times New Roman" w:hAnsi="Times New Roman" w:cs="Times New Roman"/>
        </w:rPr>
        <w:t>data</w:t>
      </w:r>
      <w:r>
        <w:rPr>
          <w:rFonts w:ascii="Times New Roman" w:eastAsia="Times New Roman" w:hAnsi="Times New Roman" w:cs="Times New Roman"/>
        </w:rPr>
        <w:t>.</w:t>
      </w:r>
      <w:r w:rsidR="00B67D55" w:rsidRPr="00573642">
        <w:rPr>
          <w:rFonts w:ascii="Times New Roman" w:eastAsia="Times New Roman" w:hAnsi="Times New Roman" w:cs="Times New Roman"/>
        </w:rPr>
        <w:t xml:space="preserve"> </w:t>
      </w:r>
    </w:p>
    <w:p w14:paraId="4E789D53" w14:textId="77777777" w:rsidR="00B67D55" w:rsidRPr="00CD704D" w:rsidRDefault="00B67D55" w:rsidP="00EF7FD9">
      <w:pPr>
        <w:jc w:val="both"/>
        <w:rPr>
          <w:rFonts w:ascii="Times New Roman" w:hAnsi="Times New Roman" w:cs="Times New Roman"/>
          <w:sz w:val="24"/>
          <w:szCs w:val="24"/>
        </w:rPr>
        <w:sectPr w:rsidR="00B67D55" w:rsidRPr="00CD704D" w:rsidSect="00EF7FD9">
          <w:type w:val="continuous"/>
          <w:pgSz w:w="15840" w:h="12240" w:orient="landscape"/>
          <w:pgMar w:top="1440" w:right="1800" w:bottom="1440" w:left="1800" w:header="720" w:footer="720" w:gutter="0"/>
          <w:cols w:space="720"/>
          <w:docGrid w:linePitch="360"/>
        </w:sectPr>
      </w:pPr>
    </w:p>
    <w:p w14:paraId="6ABFE6A1" w14:textId="77777777" w:rsidR="00CD6216" w:rsidRPr="00CD704D" w:rsidRDefault="00CD6216" w:rsidP="00EF7FD9">
      <w:pPr>
        <w:ind w:firstLine="360"/>
        <w:jc w:val="both"/>
        <w:rPr>
          <w:rFonts w:ascii="Times New Roman" w:hAnsi="Times New Roman" w:cs="Times New Roman"/>
          <w:sz w:val="24"/>
          <w:szCs w:val="24"/>
        </w:rPr>
      </w:pPr>
    </w:p>
    <w:p w14:paraId="2753C222" w14:textId="4969857D" w:rsidR="007418AC" w:rsidRPr="000C2FA0" w:rsidRDefault="00F80150" w:rsidP="000C2FA0">
      <w:pPr>
        <w:pStyle w:val="ListParagraph"/>
        <w:numPr>
          <w:ilvl w:val="1"/>
          <w:numId w:val="9"/>
        </w:numPr>
        <w:jc w:val="both"/>
        <w:rPr>
          <w:rFonts w:ascii="Times New Roman" w:hAnsi="Times New Roman" w:cs="Times New Roman"/>
          <w:sz w:val="24"/>
          <w:szCs w:val="24"/>
        </w:rPr>
      </w:pPr>
      <w:r w:rsidRPr="000C2FA0">
        <w:rPr>
          <w:rFonts w:ascii="Times New Roman" w:hAnsi="Times New Roman" w:cs="Times New Roman"/>
          <w:sz w:val="24"/>
          <w:szCs w:val="24"/>
        </w:rPr>
        <w:t>CONCLUSION</w:t>
      </w:r>
      <w:r w:rsidR="007B056A" w:rsidRPr="000C2FA0">
        <w:rPr>
          <w:rFonts w:ascii="Times New Roman" w:hAnsi="Times New Roman" w:cs="Times New Roman"/>
          <w:sz w:val="24"/>
          <w:szCs w:val="24"/>
        </w:rPr>
        <w:t>S</w:t>
      </w:r>
    </w:p>
    <w:p w14:paraId="7B9B92AB" w14:textId="4E37B9BC" w:rsidR="007418AC" w:rsidRDefault="007418AC" w:rsidP="00FF272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Ghana has</w:t>
      </w:r>
      <w:r w:rsidR="00B04EBD">
        <w:rPr>
          <w:rFonts w:ascii="Times New Roman" w:hAnsi="Times New Roman" w:cs="Times New Roman"/>
          <w:sz w:val="24"/>
          <w:szCs w:val="24"/>
        </w:rPr>
        <w:t xml:space="preserve"> rapidly</w:t>
      </w:r>
      <w:r>
        <w:rPr>
          <w:rFonts w:ascii="Times New Roman" w:hAnsi="Times New Roman" w:cs="Times New Roman"/>
          <w:sz w:val="24"/>
          <w:szCs w:val="24"/>
        </w:rPr>
        <w:t xml:space="preserve"> urbanized</w:t>
      </w:r>
      <w:r w:rsidR="00B04EBD">
        <w:rPr>
          <w:rFonts w:ascii="Times New Roman" w:hAnsi="Times New Roman" w:cs="Times New Roman"/>
          <w:sz w:val="24"/>
          <w:szCs w:val="24"/>
        </w:rPr>
        <w:t xml:space="preserve"> </w:t>
      </w:r>
      <w:r>
        <w:rPr>
          <w:rFonts w:ascii="Times New Roman" w:hAnsi="Times New Roman" w:cs="Times New Roman"/>
          <w:sz w:val="24"/>
          <w:szCs w:val="24"/>
        </w:rPr>
        <w:t xml:space="preserve">in recent decades, </w:t>
      </w:r>
      <w:r w:rsidR="00B04EBD">
        <w:rPr>
          <w:rFonts w:ascii="Times New Roman" w:hAnsi="Times New Roman" w:cs="Times New Roman"/>
          <w:sz w:val="24"/>
          <w:szCs w:val="24"/>
        </w:rPr>
        <w:t>through the development of many secondary and small cities</w:t>
      </w:r>
      <w:r w:rsidR="00CE7E32" w:rsidRPr="00CE7E32">
        <w:rPr>
          <w:rFonts w:ascii="Times New Roman" w:hAnsi="Times New Roman" w:cs="Times New Roman"/>
          <w:sz w:val="24"/>
          <w:szCs w:val="24"/>
        </w:rPr>
        <w:t xml:space="preserve"> </w:t>
      </w:r>
      <w:r w:rsidR="00CE7E32">
        <w:rPr>
          <w:rFonts w:ascii="Times New Roman" w:hAnsi="Times New Roman" w:cs="Times New Roman"/>
          <w:sz w:val="24"/>
          <w:szCs w:val="24"/>
        </w:rPr>
        <w:t>as well as th</w:t>
      </w:r>
      <w:r w:rsidR="00D56BA6">
        <w:rPr>
          <w:rFonts w:ascii="Times New Roman" w:hAnsi="Times New Roman" w:cs="Times New Roman"/>
          <w:sz w:val="24"/>
          <w:szCs w:val="24"/>
        </w:rPr>
        <w:t>rough</w:t>
      </w:r>
      <w:r w:rsidR="00CE7E32">
        <w:rPr>
          <w:rFonts w:ascii="Times New Roman" w:hAnsi="Times New Roman" w:cs="Times New Roman"/>
          <w:sz w:val="24"/>
          <w:szCs w:val="24"/>
        </w:rPr>
        <w:t xml:space="preserve"> growth of large cities</w:t>
      </w:r>
      <w:r w:rsidR="00B04EBD">
        <w:rPr>
          <w:rFonts w:ascii="Times New Roman" w:hAnsi="Times New Roman" w:cs="Times New Roman"/>
          <w:sz w:val="24"/>
          <w:szCs w:val="24"/>
        </w:rPr>
        <w:t>, particularly in the South of the country</w:t>
      </w:r>
      <w:r>
        <w:rPr>
          <w:rFonts w:ascii="Times New Roman" w:hAnsi="Times New Roman" w:cs="Times New Roman"/>
          <w:sz w:val="24"/>
          <w:szCs w:val="24"/>
        </w:rPr>
        <w:t xml:space="preserve">. </w:t>
      </w:r>
      <w:r w:rsidRPr="00CD704D">
        <w:rPr>
          <w:rFonts w:ascii="Times New Roman" w:hAnsi="Times New Roman" w:cs="Times New Roman"/>
          <w:sz w:val="24"/>
          <w:szCs w:val="24"/>
        </w:rPr>
        <w:t xml:space="preserve">Urbanization has </w:t>
      </w:r>
      <w:r w:rsidR="004531B5">
        <w:rPr>
          <w:rFonts w:ascii="Times New Roman" w:hAnsi="Times New Roman" w:cs="Times New Roman"/>
          <w:sz w:val="24"/>
          <w:szCs w:val="24"/>
        </w:rPr>
        <w:t xml:space="preserve">diversified rural </w:t>
      </w:r>
      <w:r>
        <w:rPr>
          <w:rFonts w:ascii="Times New Roman" w:hAnsi="Times New Roman" w:cs="Times New Roman"/>
          <w:sz w:val="24"/>
          <w:szCs w:val="24"/>
        </w:rPr>
        <w:t xml:space="preserve">livelihood opportunities, leading to significant growth in the </w:t>
      </w:r>
      <w:r w:rsidRPr="00CD704D">
        <w:rPr>
          <w:rFonts w:ascii="Times New Roman" w:hAnsi="Times New Roman" w:cs="Times New Roman"/>
          <w:sz w:val="24"/>
          <w:szCs w:val="24"/>
        </w:rPr>
        <w:t xml:space="preserve">share of rural </w:t>
      </w:r>
      <w:r>
        <w:rPr>
          <w:rFonts w:ascii="Times New Roman" w:hAnsi="Times New Roman" w:cs="Times New Roman"/>
          <w:sz w:val="24"/>
          <w:szCs w:val="24"/>
        </w:rPr>
        <w:t xml:space="preserve">households engaged </w:t>
      </w:r>
      <w:r w:rsidR="00D56BA6">
        <w:rPr>
          <w:rFonts w:ascii="Times New Roman" w:hAnsi="Times New Roman" w:cs="Times New Roman"/>
          <w:sz w:val="24"/>
          <w:szCs w:val="24"/>
        </w:rPr>
        <w:t xml:space="preserve">primarily </w:t>
      </w:r>
      <w:r>
        <w:rPr>
          <w:rFonts w:ascii="Times New Roman" w:hAnsi="Times New Roman" w:cs="Times New Roman"/>
          <w:sz w:val="24"/>
          <w:szCs w:val="24"/>
        </w:rPr>
        <w:t>in the nonfarm economy</w:t>
      </w:r>
      <w:r w:rsidRPr="00CD704D">
        <w:rPr>
          <w:rFonts w:ascii="Times New Roman" w:hAnsi="Times New Roman" w:cs="Times New Roman"/>
          <w:sz w:val="24"/>
          <w:szCs w:val="24"/>
        </w:rPr>
        <w:t>.</w:t>
      </w:r>
      <w:r>
        <w:rPr>
          <w:rFonts w:ascii="Times New Roman" w:hAnsi="Times New Roman" w:cs="Times New Roman"/>
          <w:sz w:val="24"/>
          <w:szCs w:val="24"/>
        </w:rPr>
        <w:t xml:space="preserve"> </w:t>
      </w:r>
      <w:r w:rsidR="00B04EBD">
        <w:rPr>
          <w:rFonts w:ascii="Times New Roman" w:hAnsi="Times New Roman" w:cs="Times New Roman"/>
          <w:sz w:val="24"/>
          <w:szCs w:val="24"/>
        </w:rPr>
        <w:t>In addition to migration to urban areas,</w:t>
      </w:r>
      <w:r>
        <w:rPr>
          <w:rFonts w:ascii="Times New Roman" w:hAnsi="Times New Roman" w:cs="Times New Roman"/>
          <w:sz w:val="24"/>
          <w:szCs w:val="24"/>
        </w:rPr>
        <w:t xml:space="preserve"> </w:t>
      </w:r>
      <w:r w:rsidR="00B04EBD">
        <w:rPr>
          <w:rFonts w:ascii="Times New Roman" w:hAnsi="Times New Roman" w:cs="Times New Roman"/>
          <w:sz w:val="24"/>
          <w:szCs w:val="24"/>
        </w:rPr>
        <w:t>there has been widespread diversification of rural households</w:t>
      </w:r>
      <w:r>
        <w:rPr>
          <w:rFonts w:ascii="Times New Roman" w:hAnsi="Times New Roman" w:cs="Times New Roman"/>
          <w:sz w:val="24"/>
          <w:szCs w:val="24"/>
        </w:rPr>
        <w:t xml:space="preserve"> into the rural nonfarm economy on a full or part time basis. </w:t>
      </w:r>
      <w:r w:rsidR="00B04EBD">
        <w:rPr>
          <w:rFonts w:ascii="Times New Roman" w:hAnsi="Times New Roman" w:cs="Times New Roman"/>
          <w:sz w:val="24"/>
          <w:szCs w:val="24"/>
        </w:rPr>
        <w:t>The result</w:t>
      </w:r>
      <w:r>
        <w:rPr>
          <w:rFonts w:ascii="Times New Roman" w:hAnsi="Times New Roman" w:cs="Times New Roman"/>
          <w:sz w:val="24"/>
          <w:szCs w:val="24"/>
        </w:rPr>
        <w:t xml:space="preserve"> has been a substantial decline in the share of households who depend primarily on agriculture. Urbanization </w:t>
      </w:r>
      <w:r w:rsidRPr="00CD704D">
        <w:rPr>
          <w:rFonts w:ascii="Times New Roman" w:hAnsi="Times New Roman" w:cs="Times New Roman"/>
          <w:sz w:val="24"/>
          <w:szCs w:val="24"/>
        </w:rPr>
        <w:t>has also contributed to an increase in the share of small</w:t>
      </w:r>
      <w:r>
        <w:rPr>
          <w:rFonts w:ascii="Times New Roman" w:hAnsi="Times New Roman" w:cs="Times New Roman"/>
          <w:sz w:val="24"/>
          <w:szCs w:val="24"/>
        </w:rPr>
        <w:t>,</w:t>
      </w:r>
      <w:r w:rsidRPr="00CD704D">
        <w:rPr>
          <w:rFonts w:ascii="Times New Roman" w:hAnsi="Times New Roman" w:cs="Times New Roman"/>
          <w:sz w:val="24"/>
          <w:szCs w:val="24"/>
        </w:rPr>
        <w:t xml:space="preserve"> part-time farms in </w:t>
      </w:r>
      <w:r w:rsidR="004531B5">
        <w:rPr>
          <w:rFonts w:ascii="Times New Roman" w:hAnsi="Times New Roman" w:cs="Times New Roman"/>
          <w:sz w:val="24"/>
          <w:szCs w:val="24"/>
        </w:rPr>
        <w:t xml:space="preserve">the more </w:t>
      </w:r>
      <w:r w:rsidRPr="00CD704D">
        <w:rPr>
          <w:rFonts w:ascii="Times New Roman" w:hAnsi="Times New Roman" w:cs="Times New Roman"/>
          <w:sz w:val="24"/>
          <w:szCs w:val="24"/>
        </w:rPr>
        <w:t xml:space="preserve">urbanized areas, </w:t>
      </w:r>
      <w:r>
        <w:rPr>
          <w:rFonts w:ascii="Times New Roman" w:hAnsi="Times New Roman" w:cs="Times New Roman"/>
          <w:sz w:val="24"/>
          <w:szCs w:val="24"/>
        </w:rPr>
        <w:t xml:space="preserve">and </w:t>
      </w:r>
      <w:r w:rsidRPr="00CD704D">
        <w:rPr>
          <w:rFonts w:ascii="Times New Roman" w:hAnsi="Times New Roman" w:cs="Times New Roman"/>
          <w:sz w:val="24"/>
          <w:szCs w:val="24"/>
        </w:rPr>
        <w:t xml:space="preserve">a shift towards </w:t>
      </w:r>
      <w:r>
        <w:rPr>
          <w:rFonts w:ascii="Times New Roman" w:hAnsi="Times New Roman" w:cs="Times New Roman"/>
          <w:sz w:val="24"/>
          <w:szCs w:val="24"/>
        </w:rPr>
        <w:t xml:space="preserve">more </w:t>
      </w:r>
      <w:r w:rsidR="00B04EBD">
        <w:rPr>
          <w:rFonts w:ascii="Times New Roman" w:hAnsi="Times New Roman" w:cs="Times New Roman"/>
          <w:sz w:val="24"/>
          <w:szCs w:val="24"/>
        </w:rPr>
        <w:t xml:space="preserve">medium </w:t>
      </w:r>
      <w:r>
        <w:rPr>
          <w:rFonts w:ascii="Times New Roman" w:hAnsi="Times New Roman" w:cs="Times New Roman"/>
          <w:sz w:val="24"/>
          <w:szCs w:val="24"/>
        </w:rPr>
        <w:t xml:space="preserve">sized farms </w:t>
      </w:r>
      <w:r w:rsidRPr="00CD704D">
        <w:rPr>
          <w:rFonts w:ascii="Times New Roman" w:hAnsi="Times New Roman" w:cs="Times New Roman"/>
          <w:sz w:val="24"/>
          <w:szCs w:val="24"/>
        </w:rPr>
        <w:t>in the agricultur</w:t>
      </w:r>
      <w:r>
        <w:rPr>
          <w:rFonts w:ascii="Times New Roman" w:hAnsi="Times New Roman" w:cs="Times New Roman"/>
          <w:sz w:val="24"/>
          <w:szCs w:val="24"/>
        </w:rPr>
        <w:t>ally important areas of</w:t>
      </w:r>
      <w:r w:rsidR="00B04EB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531B5">
        <w:rPr>
          <w:rFonts w:ascii="Times New Roman" w:hAnsi="Times New Roman" w:cs="Times New Roman"/>
          <w:sz w:val="24"/>
          <w:szCs w:val="24"/>
        </w:rPr>
        <w:t>N</w:t>
      </w:r>
      <w:r>
        <w:rPr>
          <w:rFonts w:ascii="Times New Roman" w:hAnsi="Times New Roman" w:cs="Times New Roman"/>
          <w:sz w:val="24"/>
          <w:szCs w:val="24"/>
        </w:rPr>
        <w:t>orth</w:t>
      </w:r>
      <w:r w:rsidRPr="00CD704D">
        <w:rPr>
          <w:rFonts w:ascii="Times New Roman" w:hAnsi="Times New Roman" w:cs="Times New Roman"/>
          <w:sz w:val="24"/>
          <w:szCs w:val="24"/>
        </w:rPr>
        <w:t xml:space="preserve">. </w:t>
      </w:r>
    </w:p>
    <w:p w14:paraId="24D333DC" w14:textId="62B767B8" w:rsidR="00C10DD6" w:rsidRDefault="007418AC" w:rsidP="00FF272D">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induced innovation hypothesis</w:t>
      </w:r>
      <w:r w:rsidRPr="00CD704D">
        <w:rPr>
          <w:rFonts w:ascii="Times New Roman" w:hAnsi="Times New Roman" w:cs="Times New Roman"/>
          <w:sz w:val="24"/>
          <w:szCs w:val="24"/>
        </w:rPr>
        <w:t xml:space="preserve"> </w:t>
      </w:r>
      <w:r>
        <w:rPr>
          <w:rFonts w:ascii="Times New Roman" w:hAnsi="Times New Roman" w:cs="Times New Roman"/>
          <w:sz w:val="24"/>
          <w:szCs w:val="24"/>
        </w:rPr>
        <w:t xml:space="preserve">predicts that urbanization and associated increases in population density and market access should lead to more intensive farming practices, both in terms of the land use patterns and the choice of </w:t>
      </w:r>
      <w:r w:rsidRPr="00CD704D">
        <w:rPr>
          <w:rFonts w:ascii="Times New Roman" w:hAnsi="Times New Roman" w:cs="Times New Roman"/>
          <w:sz w:val="24"/>
          <w:szCs w:val="24"/>
        </w:rPr>
        <w:t>technologies</w:t>
      </w:r>
      <w:r>
        <w:rPr>
          <w:rFonts w:ascii="Times New Roman" w:hAnsi="Times New Roman" w:cs="Times New Roman"/>
          <w:sz w:val="24"/>
          <w:szCs w:val="24"/>
        </w:rPr>
        <w:t>.</w:t>
      </w:r>
      <w:r w:rsidR="00B04EBD">
        <w:rPr>
          <w:rFonts w:ascii="Times New Roman" w:hAnsi="Times New Roman" w:cs="Times New Roman"/>
          <w:sz w:val="24"/>
          <w:szCs w:val="24"/>
        </w:rPr>
        <w:t xml:space="preserve"> </w:t>
      </w:r>
      <w:r w:rsidR="00CE7E32">
        <w:rPr>
          <w:rFonts w:ascii="Times New Roman" w:hAnsi="Times New Roman" w:cs="Times New Roman"/>
          <w:sz w:val="24"/>
          <w:szCs w:val="24"/>
        </w:rPr>
        <w:t xml:space="preserve">Although there </w:t>
      </w:r>
      <w:r w:rsidR="00B04EBD">
        <w:rPr>
          <w:rFonts w:ascii="Times New Roman" w:hAnsi="Times New Roman" w:cs="Times New Roman"/>
          <w:sz w:val="24"/>
          <w:szCs w:val="24"/>
        </w:rPr>
        <w:t xml:space="preserve">has been substantial uptake of fertilizers, </w:t>
      </w:r>
      <w:r w:rsidR="007D1E9B">
        <w:rPr>
          <w:rFonts w:ascii="Times New Roman" w:hAnsi="Times New Roman" w:cs="Times New Roman"/>
          <w:sz w:val="24"/>
          <w:szCs w:val="24"/>
        </w:rPr>
        <w:t>herbicides</w:t>
      </w:r>
      <w:r w:rsidR="00B04EBD">
        <w:rPr>
          <w:rFonts w:ascii="Times New Roman" w:hAnsi="Times New Roman" w:cs="Times New Roman"/>
          <w:sz w:val="24"/>
          <w:szCs w:val="24"/>
        </w:rPr>
        <w:t>, and mechanization</w:t>
      </w:r>
      <w:r w:rsidR="00CE7E32">
        <w:rPr>
          <w:rFonts w:ascii="Times New Roman" w:hAnsi="Times New Roman" w:cs="Times New Roman"/>
          <w:sz w:val="24"/>
          <w:szCs w:val="24"/>
        </w:rPr>
        <w:t xml:space="preserve"> </w:t>
      </w:r>
      <w:r w:rsidR="00B04EBD">
        <w:rPr>
          <w:rFonts w:ascii="Times New Roman" w:hAnsi="Times New Roman" w:cs="Times New Roman"/>
          <w:sz w:val="24"/>
          <w:szCs w:val="24"/>
        </w:rPr>
        <w:t>in recent years</w:t>
      </w:r>
      <w:r w:rsidR="007D1E9B">
        <w:rPr>
          <w:rFonts w:ascii="Times New Roman" w:hAnsi="Times New Roman" w:cs="Times New Roman"/>
          <w:sz w:val="24"/>
          <w:szCs w:val="24"/>
        </w:rPr>
        <w:t>,</w:t>
      </w:r>
      <w:r w:rsidR="00CE7E32">
        <w:rPr>
          <w:rFonts w:ascii="Times New Roman" w:hAnsi="Times New Roman" w:cs="Times New Roman"/>
          <w:sz w:val="24"/>
          <w:szCs w:val="24"/>
        </w:rPr>
        <w:t xml:space="preserve"> we find only limited support </w:t>
      </w:r>
      <w:r w:rsidR="00D56BA6">
        <w:rPr>
          <w:rFonts w:ascii="Times New Roman" w:hAnsi="Times New Roman" w:cs="Times New Roman"/>
          <w:sz w:val="24"/>
          <w:szCs w:val="24"/>
        </w:rPr>
        <w:t xml:space="preserve">for the hypothesis </w:t>
      </w:r>
      <w:r w:rsidR="00CE7E32">
        <w:rPr>
          <w:rFonts w:ascii="Times New Roman" w:hAnsi="Times New Roman" w:cs="Times New Roman"/>
          <w:sz w:val="24"/>
          <w:szCs w:val="24"/>
        </w:rPr>
        <w:t>that this has been driven by urbanization</w:t>
      </w:r>
      <w:r w:rsidR="00276D77">
        <w:rPr>
          <w:rFonts w:ascii="Times New Roman" w:hAnsi="Times New Roman" w:cs="Times New Roman"/>
          <w:sz w:val="24"/>
          <w:szCs w:val="24"/>
        </w:rPr>
        <w:t xml:space="preserve">, and this </w:t>
      </w:r>
      <w:r w:rsidR="00D56BA6">
        <w:rPr>
          <w:rFonts w:ascii="Times New Roman" w:hAnsi="Times New Roman" w:cs="Times New Roman"/>
          <w:sz w:val="24"/>
          <w:szCs w:val="24"/>
        </w:rPr>
        <w:t xml:space="preserve">support is </w:t>
      </w:r>
      <w:r w:rsidR="00276D77">
        <w:rPr>
          <w:rFonts w:ascii="Times New Roman" w:hAnsi="Times New Roman" w:cs="Times New Roman"/>
          <w:sz w:val="24"/>
          <w:szCs w:val="24"/>
        </w:rPr>
        <w:t xml:space="preserve">mainly </w:t>
      </w:r>
      <w:r w:rsidR="004531B5">
        <w:rPr>
          <w:rFonts w:ascii="Times New Roman" w:hAnsi="Times New Roman" w:cs="Times New Roman"/>
          <w:sz w:val="24"/>
          <w:szCs w:val="24"/>
        </w:rPr>
        <w:t xml:space="preserve">in </w:t>
      </w:r>
      <w:r w:rsidR="00C10DD6">
        <w:rPr>
          <w:rFonts w:ascii="Times New Roman" w:hAnsi="Times New Roman" w:cs="Times New Roman"/>
          <w:sz w:val="24"/>
          <w:szCs w:val="24"/>
        </w:rPr>
        <w:t xml:space="preserve">the North </w:t>
      </w:r>
      <w:r w:rsidR="00B04EBD">
        <w:rPr>
          <w:rFonts w:ascii="Times New Roman" w:hAnsi="Times New Roman" w:cs="Times New Roman"/>
          <w:sz w:val="24"/>
          <w:szCs w:val="24"/>
        </w:rPr>
        <w:t xml:space="preserve">and </w:t>
      </w:r>
      <w:r w:rsidR="0082571F">
        <w:rPr>
          <w:rFonts w:ascii="Times New Roman" w:hAnsi="Times New Roman" w:cs="Times New Roman"/>
          <w:sz w:val="24"/>
          <w:szCs w:val="24"/>
        </w:rPr>
        <w:t xml:space="preserve">in some </w:t>
      </w:r>
      <w:r w:rsidR="003E41A1">
        <w:rPr>
          <w:rFonts w:ascii="Times New Roman" w:hAnsi="Times New Roman" w:cs="Times New Roman"/>
          <w:sz w:val="24"/>
          <w:szCs w:val="24"/>
        </w:rPr>
        <w:t>districts with big cities in the South</w:t>
      </w:r>
      <w:r>
        <w:rPr>
          <w:rFonts w:ascii="Times New Roman" w:hAnsi="Times New Roman" w:cs="Times New Roman"/>
          <w:sz w:val="24"/>
          <w:szCs w:val="24"/>
        </w:rPr>
        <w:t xml:space="preserve">. </w:t>
      </w:r>
      <w:r w:rsidR="00276D77">
        <w:rPr>
          <w:rFonts w:ascii="Times New Roman" w:hAnsi="Times New Roman" w:cs="Times New Roman"/>
          <w:sz w:val="24"/>
          <w:szCs w:val="24"/>
        </w:rPr>
        <w:t xml:space="preserve">More generally, </w:t>
      </w:r>
      <w:r w:rsidR="003E41A1">
        <w:rPr>
          <w:rFonts w:ascii="Times New Roman" w:hAnsi="Times New Roman" w:cs="Times New Roman"/>
          <w:sz w:val="24"/>
          <w:szCs w:val="24"/>
        </w:rPr>
        <w:t xml:space="preserve">fertilizer </w:t>
      </w:r>
      <w:r w:rsidR="00B04EBD">
        <w:rPr>
          <w:rFonts w:ascii="Times New Roman" w:hAnsi="Times New Roman" w:cs="Times New Roman"/>
          <w:sz w:val="24"/>
          <w:szCs w:val="24"/>
        </w:rPr>
        <w:t xml:space="preserve">appears to be </w:t>
      </w:r>
      <w:r w:rsidR="00D56BA6">
        <w:rPr>
          <w:rFonts w:ascii="Times New Roman" w:hAnsi="Times New Roman" w:cs="Times New Roman"/>
          <w:sz w:val="24"/>
          <w:szCs w:val="24"/>
        </w:rPr>
        <w:t xml:space="preserve">used </w:t>
      </w:r>
      <w:r w:rsidR="00B04EBD">
        <w:rPr>
          <w:rFonts w:ascii="Times New Roman" w:hAnsi="Times New Roman" w:cs="Times New Roman"/>
          <w:sz w:val="24"/>
          <w:szCs w:val="24"/>
        </w:rPr>
        <w:t>mainly for offsetting declining soil fertility rather than intensification</w:t>
      </w:r>
      <w:r w:rsidR="00C10DD6">
        <w:rPr>
          <w:rFonts w:ascii="Times New Roman" w:hAnsi="Times New Roman" w:cs="Times New Roman"/>
          <w:sz w:val="24"/>
          <w:szCs w:val="24"/>
        </w:rPr>
        <w:t xml:space="preserve">. Consistent </w:t>
      </w:r>
      <w:r w:rsidR="00B04EBD">
        <w:rPr>
          <w:rFonts w:ascii="Times New Roman" w:hAnsi="Times New Roman" w:cs="Times New Roman"/>
          <w:sz w:val="24"/>
          <w:szCs w:val="24"/>
        </w:rPr>
        <w:t>with patterns of soil fertility decline, the</w:t>
      </w:r>
      <w:r w:rsidR="00C10DD6">
        <w:rPr>
          <w:rFonts w:ascii="Times New Roman" w:hAnsi="Times New Roman" w:cs="Times New Roman"/>
          <w:sz w:val="24"/>
          <w:szCs w:val="24"/>
        </w:rPr>
        <w:t xml:space="preserve"> </w:t>
      </w:r>
      <w:proofErr w:type="spellStart"/>
      <w:r w:rsidR="00C10DD6">
        <w:rPr>
          <w:rFonts w:ascii="Times New Roman" w:hAnsi="Times New Roman" w:cs="Times New Roman"/>
          <w:sz w:val="24"/>
          <w:szCs w:val="24"/>
        </w:rPr>
        <w:t>probit</w:t>
      </w:r>
      <w:proofErr w:type="spellEnd"/>
      <w:r w:rsidR="00C10DD6">
        <w:rPr>
          <w:rFonts w:ascii="Times New Roman" w:hAnsi="Times New Roman" w:cs="Times New Roman"/>
          <w:sz w:val="24"/>
          <w:szCs w:val="24"/>
        </w:rPr>
        <w:t xml:space="preserve"> regression shows that </w:t>
      </w:r>
      <w:r w:rsidR="00B04EBD">
        <w:rPr>
          <w:rFonts w:ascii="Times New Roman" w:hAnsi="Times New Roman" w:cs="Times New Roman"/>
          <w:sz w:val="24"/>
          <w:szCs w:val="24"/>
        </w:rPr>
        <w:t>effect of urbanization on fertilizer use is only significant in the North</w:t>
      </w:r>
      <w:r w:rsidR="00C10DD6">
        <w:rPr>
          <w:rFonts w:ascii="Times New Roman" w:hAnsi="Times New Roman" w:cs="Times New Roman"/>
          <w:sz w:val="24"/>
          <w:szCs w:val="24"/>
        </w:rPr>
        <w:t>.</w:t>
      </w:r>
      <w:r w:rsidR="003E41A1">
        <w:rPr>
          <w:rFonts w:ascii="Times New Roman" w:hAnsi="Times New Roman" w:cs="Times New Roman"/>
          <w:sz w:val="24"/>
          <w:szCs w:val="24"/>
        </w:rPr>
        <w:t xml:space="preserve"> This is </w:t>
      </w:r>
      <w:r w:rsidR="00C10DD6">
        <w:rPr>
          <w:rFonts w:ascii="Times New Roman" w:hAnsi="Times New Roman" w:cs="Times New Roman"/>
          <w:sz w:val="24"/>
          <w:szCs w:val="24"/>
        </w:rPr>
        <w:t xml:space="preserve">also </w:t>
      </w:r>
      <w:r w:rsidR="003E41A1">
        <w:rPr>
          <w:rFonts w:ascii="Times New Roman" w:hAnsi="Times New Roman" w:cs="Times New Roman"/>
          <w:sz w:val="24"/>
          <w:szCs w:val="24"/>
        </w:rPr>
        <w:t xml:space="preserve">consistent with findings in Chapter </w:t>
      </w:r>
      <w:r w:rsidR="00847C6B">
        <w:rPr>
          <w:rFonts w:ascii="Times New Roman" w:hAnsi="Times New Roman" w:cs="Times New Roman"/>
          <w:sz w:val="24"/>
          <w:szCs w:val="24"/>
        </w:rPr>
        <w:t>7</w:t>
      </w:r>
      <w:r w:rsidR="003E41A1">
        <w:rPr>
          <w:rFonts w:ascii="Times New Roman" w:hAnsi="Times New Roman" w:cs="Times New Roman"/>
          <w:sz w:val="24"/>
          <w:szCs w:val="24"/>
        </w:rPr>
        <w:t xml:space="preserve">. </w:t>
      </w:r>
    </w:p>
    <w:p w14:paraId="5D592058" w14:textId="40136AC2" w:rsidR="00110214" w:rsidRDefault="003E41A1" w:rsidP="00B04E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regression analysis is also consistent with the narratives of Chapter </w:t>
      </w:r>
      <w:r w:rsidR="00847C6B">
        <w:rPr>
          <w:rFonts w:ascii="Times New Roman" w:hAnsi="Times New Roman" w:cs="Times New Roman"/>
          <w:sz w:val="24"/>
          <w:szCs w:val="24"/>
        </w:rPr>
        <w:t xml:space="preserve">7 </w:t>
      </w:r>
      <w:r>
        <w:rPr>
          <w:rFonts w:ascii="Times New Roman" w:hAnsi="Times New Roman" w:cs="Times New Roman"/>
          <w:sz w:val="24"/>
          <w:szCs w:val="24"/>
        </w:rPr>
        <w:t xml:space="preserve">in terms of the relationship between farm size and use of modern inputs. Chapter </w:t>
      </w:r>
      <w:r w:rsidR="00847C6B">
        <w:rPr>
          <w:rFonts w:ascii="Times New Roman" w:hAnsi="Times New Roman" w:cs="Times New Roman"/>
          <w:sz w:val="24"/>
          <w:szCs w:val="24"/>
        </w:rPr>
        <w:t xml:space="preserve">7 </w:t>
      </w:r>
      <w:r w:rsidR="00B04EBD">
        <w:rPr>
          <w:rFonts w:ascii="Times New Roman" w:hAnsi="Times New Roman" w:cs="Times New Roman"/>
          <w:sz w:val="24"/>
          <w:szCs w:val="24"/>
        </w:rPr>
        <w:t xml:space="preserve">describes how </w:t>
      </w:r>
      <w:r w:rsidR="007418AC">
        <w:rPr>
          <w:rFonts w:ascii="Times New Roman" w:hAnsi="Times New Roman" w:cs="Times New Roman"/>
          <w:sz w:val="24"/>
          <w:szCs w:val="24"/>
        </w:rPr>
        <w:t>f</w:t>
      </w:r>
      <w:r w:rsidR="007418AC" w:rsidRPr="00CD704D">
        <w:rPr>
          <w:rFonts w:ascii="Times New Roman" w:hAnsi="Times New Roman" w:cs="Times New Roman"/>
          <w:sz w:val="24"/>
          <w:szCs w:val="24"/>
        </w:rPr>
        <w:t>arm</w:t>
      </w:r>
      <w:r w:rsidR="007418AC">
        <w:rPr>
          <w:rFonts w:ascii="Times New Roman" w:hAnsi="Times New Roman" w:cs="Times New Roman"/>
          <w:sz w:val="24"/>
          <w:szCs w:val="24"/>
        </w:rPr>
        <w:t>er</w:t>
      </w:r>
      <w:r w:rsidR="007418AC" w:rsidRPr="00CD704D">
        <w:rPr>
          <w:rFonts w:ascii="Times New Roman" w:hAnsi="Times New Roman" w:cs="Times New Roman"/>
          <w:sz w:val="24"/>
          <w:szCs w:val="24"/>
        </w:rPr>
        <w:t>s in the</w:t>
      </w:r>
      <w:r w:rsidR="007418AC">
        <w:rPr>
          <w:rFonts w:ascii="Times New Roman" w:hAnsi="Times New Roman" w:cs="Times New Roman"/>
          <w:sz w:val="24"/>
          <w:szCs w:val="24"/>
        </w:rPr>
        <w:t xml:space="preserve"> </w:t>
      </w:r>
      <w:r>
        <w:rPr>
          <w:rFonts w:ascii="Times New Roman" w:hAnsi="Times New Roman" w:cs="Times New Roman"/>
          <w:sz w:val="24"/>
          <w:szCs w:val="24"/>
        </w:rPr>
        <w:t>savanna and transition</w:t>
      </w:r>
      <w:r w:rsidR="007418AC">
        <w:rPr>
          <w:rFonts w:ascii="Times New Roman" w:hAnsi="Times New Roman" w:cs="Times New Roman"/>
          <w:sz w:val="24"/>
          <w:szCs w:val="24"/>
        </w:rPr>
        <w:t xml:space="preserve"> zones</w:t>
      </w:r>
      <w:r w:rsidR="007418AC" w:rsidRPr="00CD704D">
        <w:rPr>
          <w:rFonts w:ascii="Times New Roman" w:hAnsi="Times New Roman" w:cs="Times New Roman"/>
          <w:sz w:val="24"/>
          <w:szCs w:val="24"/>
        </w:rPr>
        <w:t xml:space="preserve"> are </w:t>
      </w:r>
      <w:r w:rsidR="007418AC">
        <w:rPr>
          <w:rFonts w:ascii="Times New Roman" w:hAnsi="Times New Roman" w:cs="Times New Roman"/>
          <w:sz w:val="24"/>
          <w:szCs w:val="24"/>
        </w:rPr>
        <w:t xml:space="preserve">cropping </w:t>
      </w:r>
      <w:r w:rsidR="007418AC" w:rsidRPr="00CD704D">
        <w:rPr>
          <w:rFonts w:ascii="Times New Roman" w:hAnsi="Times New Roman" w:cs="Times New Roman"/>
          <w:sz w:val="24"/>
          <w:szCs w:val="24"/>
        </w:rPr>
        <w:t xml:space="preserve">larger </w:t>
      </w:r>
      <w:r w:rsidR="007418AC">
        <w:rPr>
          <w:rFonts w:ascii="Times New Roman" w:hAnsi="Times New Roman" w:cs="Times New Roman"/>
          <w:sz w:val="24"/>
          <w:szCs w:val="24"/>
        </w:rPr>
        <w:t xml:space="preserve">areas </w:t>
      </w:r>
      <w:r w:rsidR="007418AC" w:rsidRPr="00CD704D">
        <w:rPr>
          <w:rFonts w:ascii="Times New Roman" w:hAnsi="Times New Roman" w:cs="Times New Roman"/>
          <w:sz w:val="24"/>
          <w:szCs w:val="24"/>
        </w:rPr>
        <w:t xml:space="preserve">and </w:t>
      </w:r>
      <w:r w:rsidR="007418AC">
        <w:rPr>
          <w:rFonts w:ascii="Times New Roman" w:hAnsi="Times New Roman" w:cs="Times New Roman"/>
          <w:sz w:val="24"/>
          <w:szCs w:val="24"/>
        </w:rPr>
        <w:t>using mechanization to reduce labor requirements in the face of increasing wages</w:t>
      </w:r>
      <w:r w:rsidR="00B04EBD">
        <w:rPr>
          <w:rFonts w:ascii="Times New Roman" w:hAnsi="Times New Roman" w:cs="Times New Roman"/>
          <w:sz w:val="24"/>
          <w:szCs w:val="24"/>
        </w:rPr>
        <w:t>.</w:t>
      </w:r>
      <w:r>
        <w:rPr>
          <w:rFonts w:ascii="Times New Roman" w:hAnsi="Times New Roman" w:cs="Times New Roman"/>
          <w:sz w:val="24"/>
          <w:szCs w:val="24"/>
        </w:rPr>
        <w:t xml:space="preserve"> </w:t>
      </w:r>
      <w:r w:rsidR="00B04EBD">
        <w:rPr>
          <w:rFonts w:ascii="Times New Roman" w:hAnsi="Times New Roman" w:cs="Times New Roman"/>
          <w:sz w:val="24"/>
          <w:szCs w:val="24"/>
        </w:rPr>
        <w:t>I</w:t>
      </w:r>
      <w:r w:rsidR="00C10DD6">
        <w:rPr>
          <w:rFonts w:ascii="Times New Roman" w:hAnsi="Times New Roman" w:cs="Times New Roman"/>
          <w:sz w:val="24"/>
          <w:szCs w:val="24"/>
        </w:rPr>
        <w:t xml:space="preserve">n the </w:t>
      </w:r>
      <w:proofErr w:type="spellStart"/>
      <w:r w:rsidR="00C10DD6">
        <w:rPr>
          <w:rFonts w:ascii="Times New Roman" w:hAnsi="Times New Roman" w:cs="Times New Roman"/>
          <w:sz w:val="24"/>
          <w:szCs w:val="24"/>
        </w:rPr>
        <w:t>probit</w:t>
      </w:r>
      <w:proofErr w:type="spellEnd"/>
      <w:r w:rsidR="00C10DD6">
        <w:rPr>
          <w:rFonts w:ascii="Times New Roman" w:hAnsi="Times New Roman" w:cs="Times New Roman"/>
          <w:sz w:val="24"/>
          <w:szCs w:val="24"/>
        </w:rPr>
        <w:t xml:space="preserve"> regression</w:t>
      </w:r>
      <w:r w:rsidR="00276D77">
        <w:rPr>
          <w:rFonts w:ascii="Times New Roman" w:hAnsi="Times New Roman" w:cs="Times New Roman"/>
          <w:sz w:val="24"/>
          <w:szCs w:val="24"/>
        </w:rPr>
        <w:t>s</w:t>
      </w:r>
      <w:r w:rsidR="00B04EBD">
        <w:rPr>
          <w:rFonts w:ascii="Times New Roman" w:hAnsi="Times New Roman" w:cs="Times New Roman"/>
          <w:sz w:val="24"/>
          <w:szCs w:val="24"/>
        </w:rPr>
        <w:t xml:space="preserve"> here</w:t>
      </w:r>
      <w:r w:rsidR="00C10DD6">
        <w:rPr>
          <w:rFonts w:ascii="Times New Roman" w:hAnsi="Times New Roman" w:cs="Times New Roman"/>
          <w:sz w:val="24"/>
          <w:szCs w:val="24"/>
        </w:rPr>
        <w:t xml:space="preserve">, </w:t>
      </w:r>
      <w:r>
        <w:rPr>
          <w:rFonts w:ascii="Times New Roman" w:hAnsi="Times New Roman" w:cs="Times New Roman"/>
          <w:sz w:val="24"/>
          <w:szCs w:val="24"/>
        </w:rPr>
        <w:t xml:space="preserve">the probability of fertilizer </w:t>
      </w:r>
      <w:r w:rsidR="0014485A">
        <w:rPr>
          <w:rFonts w:ascii="Times New Roman" w:hAnsi="Times New Roman" w:cs="Times New Roman"/>
          <w:sz w:val="24"/>
          <w:szCs w:val="24"/>
        </w:rPr>
        <w:t xml:space="preserve">use </w:t>
      </w:r>
      <w:r>
        <w:rPr>
          <w:rFonts w:ascii="Times New Roman" w:hAnsi="Times New Roman" w:cs="Times New Roman"/>
          <w:sz w:val="24"/>
          <w:szCs w:val="24"/>
        </w:rPr>
        <w:t xml:space="preserve">and </w:t>
      </w:r>
      <w:r w:rsidR="0014485A">
        <w:rPr>
          <w:rFonts w:ascii="Times New Roman" w:hAnsi="Times New Roman" w:cs="Times New Roman"/>
          <w:sz w:val="24"/>
          <w:szCs w:val="24"/>
        </w:rPr>
        <w:t xml:space="preserve">using </w:t>
      </w:r>
      <w:r>
        <w:rPr>
          <w:rFonts w:ascii="Times New Roman" w:hAnsi="Times New Roman" w:cs="Times New Roman"/>
          <w:sz w:val="24"/>
          <w:szCs w:val="24"/>
        </w:rPr>
        <w:t>other inputs and mechanization and hiring labor increases significantly</w:t>
      </w:r>
      <w:r w:rsidR="00C10DD6">
        <w:rPr>
          <w:rFonts w:ascii="Times New Roman" w:hAnsi="Times New Roman" w:cs="Times New Roman"/>
          <w:sz w:val="24"/>
          <w:szCs w:val="24"/>
        </w:rPr>
        <w:t xml:space="preserve"> with farm size</w:t>
      </w:r>
      <w:r w:rsidR="007418AC">
        <w:rPr>
          <w:rFonts w:ascii="Times New Roman" w:hAnsi="Times New Roman" w:cs="Times New Roman"/>
          <w:sz w:val="24"/>
          <w:szCs w:val="24"/>
        </w:rPr>
        <w:t xml:space="preserve">. </w:t>
      </w:r>
    </w:p>
    <w:p w14:paraId="4C9C2451" w14:textId="77777777" w:rsidR="00110214" w:rsidRDefault="00110214" w:rsidP="00B04EBD">
      <w:pPr>
        <w:spacing w:line="360" w:lineRule="auto"/>
        <w:ind w:firstLine="720"/>
        <w:jc w:val="both"/>
        <w:rPr>
          <w:rFonts w:ascii="Times New Roman" w:hAnsi="Times New Roman" w:cs="Times New Roman"/>
          <w:sz w:val="24"/>
          <w:szCs w:val="24"/>
        </w:rPr>
      </w:pPr>
    </w:p>
    <w:p w14:paraId="640A0AFA" w14:textId="16E70116" w:rsidR="00B04EBD" w:rsidRPr="00CD704D" w:rsidRDefault="00EE0ED0" w:rsidP="00B04E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Overall, the evidence of urbanization’s effects on agricultural inputs use in Ghana suggests that intensification is only taking place to a limited extent, even </w:t>
      </w:r>
      <w:r w:rsidR="00276D77">
        <w:rPr>
          <w:rFonts w:ascii="Times New Roman" w:hAnsi="Times New Roman" w:cs="Times New Roman"/>
          <w:sz w:val="24"/>
          <w:szCs w:val="24"/>
        </w:rPr>
        <w:t xml:space="preserve">in areas </w:t>
      </w:r>
      <w:r>
        <w:rPr>
          <w:rFonts w:ascii="Times New Roman" w:hAnsi="Times New Roman" w:cs="Times New Roman"/>
          <w:sz w:val="24"/>
          <w:szCs w:val="24"/>
        </w:rPr>
        <w:t xml:space="preserve">near urban </w:t>
      </w:r>
      <w:r w:rsidR="00276D77">
        <w:rPr>
          <w:rFonts w:ascii="Times New Roman" w:hAnsi="Times New Roman" w:cs="Times New Roman"/>
          <w:sz w:val="24"/>
          <w:szCs w:val="24"/>
        </w:rPr>
        <w:t>centers. I</w:t>
      </w:r>
      <w:r>
        <w:rPr>
          <w:rFonts w:ascii="Times New Roman" w:hAnsi="Times New Roman" w:cs="Times New Roman"/>
          <w:sz w:val="24"/>
          <w:szCs w:val="24"/>
        </w:rPr>
        <w:t xml:space="preserve">nput use patterns appear </w:t>
      </w:r>
      <w:r w:rsidR="00276D77">
        <w:rPr>
          <w:rFonts w:ascii="Times New Roman" w:hAnsi="Times New Roman" w:cs="Times New Roman"/>
          <w:sz w:val="24"/>
          <w:szCs w:val="24"/>
        </w:rPr>
        <w:t xml:space="preserve">to be more strongly </w:t>
      </w:r>
      <w:r>
        <w:rPr>
          <w:rFonts w:ascii="Times New Roman" w:hAnsi="Times New Roman" w:cs="Times New Roman"/>
          <w:sz w:val="24"/>
          <w:szCs w:val="24"/>
        </w:rPr>
        <w:t xml:space="preserve">associated with </w:t>
      </w:r>
      <w:r w:rsidR="00276D77">
        <w:rPr>
          <w:rFonts w:ascii="Times New Roman" w:hAnsi="Times New Roman" w:cs="Times New Roman"/>
          <w:sz w:val="24"/>
          <w:szCs w:val="24"/>
        </w:rPr>
        <w:t xml:space="preserve">the need to save labor because of rising wages and by </w:t>
      </w:r>
      <w:r w:rsidR="00110214">
        <w:rPr>
          <w:rFonts w:ascii="Times New Roman" w:hAnsi="Times New Roman" w:cs="Times New Roman"/>
          <w:sz w:val="24"/>
          <w:szCs w:val="24"/>
        </w:rPr>
        <w:t>the growth of medium sized farms</w:t>
      </w:r>
      <w:r>
        <w:rPr>
          <w:rFonts w:ascii="Times New Roman" w:hAnsi="Times New Roman" w:cs="Times New Roman"/>
          <w:sz w:val="24"/>
          <w:szCs w:val="24"/>
        </w:rPr>
        <w:t xml:space="preserve">. </w:t>
      </w:r>
    </w:p>
    <w:p w14:paraId="243A903B" w14:textId="31F7195F" w:rsidR="00EF7FD9" w:rsidRDefault="00EF7FD9" w:rsidP="00EF7FD9">
      <w:pPr>
        <w:jc w:val="both"/>
        <w:rPr>
          <w:rFonts w:ascii="Times New Roman" w:hAnsi="Times New Roman" w:cs="Times New Roman"/>
          <w:sz w:val="24"/>
          <w:szCs w:val="24"/>
        </w:rPr>
      </w:pPr>
    </w:p>
    <w:p w14:paraId="5EB37CFB" w14:textId="77777777" w:rsidR="005776ED" w:rsidRDefault="005776ED" w:rsidP="00EF7FD9">
      <w:pPr>
        <w:jc w:val="both"/>
        <w:rPr>
          <w:rFonts w:ascii="Times New Roman" w:hAnsi="Times New Roman" w:cs="Times New Roman"/>
          <w:b/>
          <w:sz w:val="24"/>
          <w:szCs w:val="24"/>
        </w:rPr>
      </w:pPr>
    </w:p>
    <w:p w14:paraId="3035BA31" w14:textId="1834A48C" w:rsidR="008476A8" w:rsidRPr="00B15888" w:rsidRDefault="008476A8" w:rsidP="00EF7FD9">
      <w:pPr>
        <w:jc w:val="both"/>
        <w:rPr>
          <w:rFonts w:ascii="Times New Roman" w:hAnsi="Times New Roman" w:cs="Times New Roman"/>
          <w:b/>
          <w:sz w:val="24"/>
          <w:szCs w:val="24"/>
        </w:rPr>
      </w:pPr>
      <w:r w:rsidRPr="00B15888">
        <w:rPr>
          <w:rFonts w:ascii="Times New Roman" w:hAnsi="Times New Roman" w:cs="Times New Roman"/>
          <w:b/>
          <w:sz w:val="24"/>
          <w:szCs w:val="24"/>
        </w:rPr>
        <w:t>References</w:t>
      </w:r>
    </w:p>
    <w:p w14:paraId="412C61DF" w14:textId="77777777" w:rsidR="005776ED" w:rsidRDefault="005776ED" w:rsidP="00EF7FD9">
      <w:pPr>
        <w:pStyle w:val="Bibliography"/>
        <w:ind w:left="720" w:hanging="720"/>
        <w:jc w:val="both"/>
        <w:rPr>
          <w:rFonts w:ascii="Times New Roman" w:hAnsi="Times New Roman" w:cs="Times New Roman"/>
          <w:noProof/>
          <w:sz w:val="24"/>
          <w:szCs w:val="24"/>
        </w:rPr>
      </w:pPr>
    </w:p>
    <w:p w14:paraId="705B7504" w14:textId="4AE18963"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Ackah, C., Adjasi, C., &amp;</w:t>
      </w:r>
      <w:r w:rsidR="0063240E" w:rsidRPr="00721AB8">
        <w:rPr>
          <w:rFonts w:ascii="Times New Roman" w:hAnsi="Times New Roman" w:cs="Times New Roman"/>
          <w:noProof/>
          <w:sz w:val="24"/>
          <w:szCs w:val="24"/>
        </w:rPr>
        <w:t xml:space="preserve"> Turkson, F. 2014</w:t>
      </w:r>
      <w:r w:rsidRPr="00550946">
        <w:rPr>
          <w:rFonts w:ascii="Times New Roman" w:hAnsi="Times New Roman" w:cs="Times New Roman"/>
          <w:noProof/>
          <w:sz w:val="24"/>
          <w:szCs w:val="24"/>
        </w:rPr>
        <w:t xml:space="preserve">. </w:t>
      </w:r>
      <w:r w:rsidRPr="00550946">
        <w:rPr>
          <w:rFonts w:ascii="Times New Roman" w:hAnsi="Times New Roman" w:cs="Times New Roman"/>
          <w:iCs/>
          <w:noProof/>
          <w:sz w:val="24"/>
          <w:szCs w:val="24"/>
        </w:rPr>
        <w:t>Scoping Study on the Evolution of Industry in Ghana</w:t>
      </w:r>
      <w:r w:rsidRPr="00550946">
        <w:rPr>
          <w:rFonts w:ascii="Times New Roman" w:hAnsi="Times New Roman" w:cs="Times New Roman"/>
          <w:i/>
          <w:iCs/>
          <w:noProof/>
          <w:sz w:val="24"/>
          <w:szCs w:val="24"/>
        </w:rPr>
        <w:t>.</w:t>
      </w:r>
      <w:r w:rsidRPr="00550946">
        <w:rPr>
          <w:rFonts w:ascii="Times New Roman" w:hAnsi="Times New Roman" w:cs="Times New Roman"/>
          <w:noProof/>
          <w:sz w:val="24"/>
          <w:szCs w:val="24"/>
        </w:rPr>
        <w:t xml:space="preserve"> Washington: Learning to Compete Working Paper No. 18 Africa Growth Initiative (AGI) at Brookings.</w:t>
      </w:r>
    </w:p>
    <w:p w14:paraId="50C8548E" w14:textId="333AC2E4" w:rsidR="00744A9A"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 xml:space="preserve">Aryeetey, E. and Baah-Boateng, W. 2015. </w:t>
      </w:r>
      <w:r w:rsidRPr="00550946">
        <w:rPr>
          <w:rFonts w:ascii="Times New Roman" w:hAnsi="Times New Roman" w:cs="Times New Roman"/>
          <w:iCs/>
          <w:noProof/>
          <w:sz w:val="24"/>
          <w:szCs w:val="24"/>
        </w:rPr>
        <w:t>Understanding Ghana's growth success story and job creation challenges</w:t>
      </w:r>
      <w:r w:rsidRPr="00550946">
        <w:rPr>
          <w:rFonts w:ascii="Times New Roman" w:hAnsi="Times New Roman" w:cs="Times New Roman"/>
          <w:i/>
          <w:iCs/>
          <w:noProof/>
          <w:sz w:val="24"/>
          <w:szCs w:val="24"/>
        </w:rPr>
        <w:t>.</w:t>
      </w:r>
      <w:r w:rsidRPr="00550946">
        <w:rPr>
          <w:rFonts w:ascii="Times New Roman" w:hAnsi="Times New Roman" w:cs="Times New Roman"/>
          <w:noProof/>
          <w:sz w:val="24"/>
          <w:szCs w:val="24"/>
        </w:rPr>
        <w:t xml:space="preserve"> WIDER Working Paper 2015/140.</w:t>
      </w:r>
    </w:p>
    <w:p w14:paraId="741B18F9" w14:textId="20F6E7CB"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 xml:space="preserve">Berdegue, J., Carriazo, F., Jara, </w:t>
      </w:r>
      <w:r w:rsidR="0063240E" w:rsidRPr="00550946">
        <w:rPr>
          <w:rFonts w:ascii="Times New Roman" w:hAnsi="Times New Roman" w:cs="Times New Roman"/>
          <w:noProof/>
          <w:sz w:val="24"/>
          <w:szCs w:val="24"/>
        </w:rPr>
        <w:t>B., Modrego, F., &amp; Soloaga, I. 2015</w:t>
      </w:r>
      <w:r w:rsidRPr="00550946">
        <w:rPr>
          <w:rFonts w:ascii="Times New Roman" w:hAnsi="Times New Roman" w:cs="Times New Roman"/>
          <w:noProof/>
          <w:sz w:val="24"/>
          <w:szCs w:val="24"/>
        </w:rPr>
        <w:t xml:space="preserve">. Cities, territories and inclusive growth; Unraveling urban-rural linkages in Chile, Colombia and Mexico. </w:t>
      </w:r>
      <w:r w:rsidRPr="00550946">
        <w:rPr>
          <w:rFonts w:ascii="Times New Roman" w:hAnsi="Times New Roman" w:cs="Times New Roman"/>
          <w:i/>
          <w:iCs/>
          <w:noProof/>
          <w:sz w:val="24"/>
          <w:szCs w:val="24"/>
        </w:rPr>
        <w:t xml:space="preserve">World Development </w:t>
      </w:r>
      <w:r w:rsidRPr="00550946">
        <w:rPr>
          <w:rFonts w:ascii="Times New Roman" w:hAnsi="Times New Roman" w:cs="Times New Roman"/>
          <w:noProof/>
          <w:sz w:val="24"/>
          <w:szCs w:val="24"/>
        </w:rPr>
        <w:t>, 73: 56-71.</w:t>
      </w:r>
    </w:p>
    <w:p w14:paraId="0C7E584F" w14:textId="35BEEE1B" w:rsidR="005527D4" w:rsidRPr="00B15888" w:rsidRDefault="005527D4" w:rsidP="00EF7FD9">
      <w:pPr>
        <w:pStyle w:val="Ref"/>
        <w:ind w:left="720" w:hanging="720"/>
        <w:jc w:val="both"/>
        <w:rPr>
          <w:sz w:val="24"/>
          <w:szCs w:val="24"/>
        </w:rPr>
      </w:pPr>
      <w:r w:rsidRPr="00B15888">
        <w:rPr>
          <w:sz w:val="24"/>
          <w:szCs w:val="24"/>
        </w:rPr>
        <w:t>Binswanger, Hans P., and McIntire</w:t>
      </w:r>
      <w:r w:rsidR="0063240E">
        <w:rPr>
          <w:sz w:val="24"/>
          <w:szCs w:val="24"/>
        </w:rPr>
        <w:t>, John</w:t>
      </w:r>
      <w:r w:rsidRPr="00B15888">
        <w:rPr>
          <w:sz w:val="24"/>
          <w:szCs w:val="24"/>
        </w:rPr>
        <w:t xml:space="preserve">. 1987. Behavioral and material determinants of production relations in land abundant tropical agriculture. </w:t>
      </w:r>
      <w:r w:rsidRPr="00B15888">
        <w:rPr>
          <w:i/>
          <w:sz w:val="24"/>
          <w:szCs w:val="24"/>
        </w:rPr>
        <w:t>Economic Development and Cultural Change</w:t>
      </w:r>
      <w:r w:rsidR="00DE26E1" w:rsidRPr="00B15888">
        <w:rPr>
          <w:sz w:val="24"/>
          <w:szCs w:val="24"/>
        </w:rPr>
        <w:t>,</w:t>
      </w:r>
      <w:r w:rsidRPr="00B15888">
        <w:rPr>
          <w:sz w:val="24"/>
          <w:szCs w:val="24"/>
        </w:rPr>
        <w:t xml:space="preserve"> 36</w:t>
      </w:r>
      <w:r w:rsidR="00DE26E1" w:rsidRPr="00B15888">
        <w:rPr>
          <w:sz w:val="24"/>
          <w:szCs w:val="24"/>
        </w:rPr>
        <w:t>:</w:t>
      </w:r>
      <w:r w:rsidRPr="00B15888">
        <w:rPr>
          <w:sz w:val="24"/>
          <w:szCs w:val="24"/>
        </w:rPr>
        <w:t xml:space="preserve"> 1: 73-99</w:t>
      </w:r>
      <w:r w:rsidR="00DE26E1" w:rsidRPr="00B15888">
        <w:rPr>
          <w:sz w:val="24"/>
          <w:szCs w:val="24"/>
        </w:rPr>
        <w:t xml:space="preserve">, </w:t>
      </w:r>
      <w:r w:rsidRPr="00B15888">
        <w:rPr>
          <w:sz w:val="24"/>
          <w:szCs w:val="24"/>
        </w:rPr>
        <w:t>October.</w:t>
      </w:r>
    </w:p>
    <w:p w14:paraId="1C326C4E" w14:textId="2BE6F670" w:rsidR="006D0DC6" w:rsidRPr="00550946" w:rsidRDefault="006D0DC6" w:rsidP="00EF7FD9">
      <w:pPr>
        <w:pStyle w:val="Bibliography"/>
        <w:ind w:left="720" w:hanging="720"/>
        <w:jc w:val="both"/>
        <w:rPr>
          <w:noProof/>
          <w:sz w:val="24"/>
          <w:szCs w:val="24"/>
        </w:rPr>
      </w:pPr>
      <w:r w:rsidRPr="00550946">
        <w:rPr>
          <w:rFonts w:ascii="Times New Roman" w:hAnsi="Times New Roman" w:cs="Times New Roman"/>
          <w:noProof/>
          <w:sz w:val="24"/>
          <w:szCs w:val="24"/>
        </w:rPr>
        <w:t>Binswanger-Mkhize, H., Johnson, T., Sa</w:t>
      </w:r>
      <w:r w:rsidR="0063240E" w:rsidRPr="00550946">
        <w:rPr>
          <w:rFonts w:ascii="Times New Roman" w:hAnsi="Times New Roman" w:cs="Times New Roman"/>
          <w:noProof/>
          <w:sz w:val="24"/>
          <w:szCs w:val="24"/>
        </w:rPr>
        <w:t>mboko, P., &amp; You, L. 2016</w:t>
      </w:r>
      <w:r w:rsidRPr="00550946">
        <w:rPr>
          <w:rFonts w:ascii="Times New Roman" w:hAnsi="Times New Roman" w:cs="Times New Roman"/>
          <w:noProof/>
          <w:sz w:val="24"/>
          <w:szCs w:val="24"/>
        </w:rPr>
        <w:t xml:space="preserve">. </w:t>
      </w:r>
      <w:r w:rsidRPr="00550946">
        <w:rPr>
          <w:rFonts w:ascii="Times New Roman" w:hAnsi="Times New Roman" w:cs="Times New Roman"/>
          <w:i/>
          <w:iCs/>
          <w:noProof/>
          <w:sz w:val="24"/>
          <w:szCs w:val="24"/>
        </w:rPr>
        <w:t>The impact of urban growth on agricultural and rural nonfarm growth in Kenya.</w:t>
      </w:r>
      <w:r w:rsidRPr="00550946">
        <w:rPr>
          <w:rFonts w:ascii="Times New Roman" w:hAnsi="Times New Roman" w:cs="Times New Roman"/>
          <w:noProof/>
          <w:sz w:val="24"/>
          <w:szCs w:val="24"/>
        </w:rPr>
        <w:t xml:space="preserve"> International Fund for Agricultural Development .</w:t>
      </w:r>
    </w:p>
    <w:p w14:paraId="3F817435" w14:textId="364FFE72" w:rsidR="005527D4" w:rsidRPr="00B15888" w:rsidRDefault="00DE26E1" w:rsidP="00EF7FD9">
      <w:pPr>
        <w:pStyle w:val="Ref"/>
        <w:ind w:left="720" w:hanging="720"/>
        <w:jc w:val="both"/>
        <w:rPr>
          <w:sz w:val="24"/>
          <w:szCs w:val="24"/>
        </w:rPr>
      </w:pPr>
      <w:proofErr w:type="spellStart"/>
      <w:r w:rsidRPr="00B15888">
        <w:rPr>
          <w:sz w:val="24"/>
          <w:szCs w:val="24"/>
        </w:rPr>
        <w:t>Boserup</w:t>
      </w:r>
      <w:proofErr w:type="spellEnd"/>
      <w:r w:rsidRPr="00B15888">
        <w:rPr>
          <w:sz w:val="24"/>
          <w:szCs w:val="24"/>
        </w:rPr>
        <w:t xml:space="preserve">, E. 1965. </w:t>
      </w:r>
      <w:r w:rsidR="00744A9A" w:rsidRPr="00B15888">
        <w:rPr>
          <w:i/>
          <w:sz w:val="24"/>
          <w:szCs w:val="24"/>
        </w:rPr>
        <w:t xml:space="preserve">The </w:t>
      </w:r>
      <w:r w:rsidRPr="00B15888">
        <w:rPr>
          <w:i/>
          <w:sz w:val="24"/>
          <w:szCs w:val="24"/>
        </w:rPr>
        <w:t>C</w:t>
      </w:r>
      <w:r w:rsidR="00744A9A" w:rsidRPr="00B15888">
        <w:rPr>
          <w:i/>
          <w:sz w:val="24"/>
          <w:szCs w:val="24"/>
        </w:rPr>
        <w:t xml:space="preserve">onditions of </w:t>
      </w:r>
      <w:r w:rsidRPr="00B15888">
        <w:rPr>
          <w:i/>
          <w:sz w:val="24"/>
          <w:szCs w:val="24"/>
        </w:rPr>
        <w:t>A</w:t>
      </w:r>
      <w:r w:rsidR="00744A9A" w:rsidRPr="00B15888">
        <w:rPr>
          <w:i/>
          <w:sz w:val="24"/>
          <w:szCs w:val="24"/>
        </w:rPr>
        <w:t xml:space="preserve">gricultural </w:t>
      </w:r>
      <w:r w:rsidRPr="00B15888">
        <w:rPr>
          <w:i/>
          <w:sz w:val="24"/>
          <w:szCs w:val="24"/>
        </w:rPr>
        <w:t>G</w:t>
      </w:r>
      <w:r w:rsidR="00744A9A" w:rsidRPr="00B15888">
        <w:rPr>
          <w:i/>
          <w:sz w:val="24"/>
          <w:szCs w:val="24"/>
        </w:rPr>
        <w:t>rowth.</w:t>
      </w:r>
      <w:r w:rsidR="00744A9A" w:rsidRPr="00B15888">
        <w:rPr>
          <w:sz w:val="24"/>
          <w:szCs w:val="24"/>
        </w:rPr>
        <w:t xml:space="preserve">  New York: Aldine Publishing Company.</w:t>
      </w:r>
    </w:p>
    <w:p w14:paraId="53ECB306" w14:textId="1DFBD68D"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 xml:space="preserve">Deichmann, U., Shilpi, F. and Vakis, R. 2008. Urban proximity, agricultural potential and rural non-farm employment: Evidence from Bangladesh. </w:t>
      </w:r>
      <w:r w:rsidRPr="00550946">
        <w:rPr>
          <w:rFonts w:ascii="Times New Roman" w:hAnsi="Times New Roman" w:cs="Times New Roman"/>
          <w:i/>
          <w:iCs/>
          <w:noProof/>
          <w:sz w:val="24"/>
          <w:szCs w:val="24"/>
        </w:rPr>
        <w:t>World Development</w:t>
      </w:r>
      <w:r w:rsidRPr="00550946">
        <w:rPr>
          <w:rFonts w:ascii="Times New Roman" w:hAnsi="Times New Roman" w:cs="Times New Roman"/>
          <w:noProof/>
          <w:sz w:val="24"/>
          <w:szCs w:val="24"/>
        </w:rPr>
        <w:t>, 37 (3): 645-660.</w:t>
      </w:r>
    </w:p>
    <w:p w14:paraId="3A9CD0C3" w14:textId="6F901F45"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2003. Population and Housing Census 2000. Census data. Accra, Ghana.</w:t>
      </w:r>
    </w:p>
    <w:p w14:paraId="2D018BAD" w14:textId="7FCB328F"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2008. Ghana Living Standards Survey Round 5 (GLSS 5). Survey Data. Accra, Ghana.</w:t>
      </w:r>
    </w:p>
    <w:p w14:paraId="2F584696" w14:textId="3F4784AD"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2013. Population and Housing Census 2010. Accra, Ghana.</w:t>
      </w:r>
    </w:p>
    <w:p w14:paraId="6898C10E" w14:textId="3EBE6374"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2014. Ghana Living Standards Survey Round 6 (GLSS 6). Survey data. Accra, Ghana.</w:t>
      </w:r>
    </w:p>
    <w:p w14:paraId="54E1FF21" w14:textId="0B7006E7" w:rsidR="006D0DC6" w:rsidRPr="00550946" w:rsidRDefault="006D0DC6" w:rsidP="00EF7FD9">
      <w:pPr>
        <w:pStyle w:val="Bibliography"/>
        <w:ind w:left="720" w:hanging="720"/>
        <w:jc w:val="both"/>
        <w:rPr>
          <w:noProof/>
          <w:sz w:val="24"/>
          <w:szCs w:val="24"/>
        </w:rPr>
      </w:pPr>
      <w:r w:rsidRPr="00550946">
        <w:rPr>
          <w:rFonts w:ascii="Times New Roman" w:hAnsi="Times New Roman" w:cs="Times New Roman"/>
          <w:noProof/>
          <w:sz w:val="24"/>
          <w:szCs w:val="24"/>
        </w:rPr>
        <w:t xml:space="preserve">Gollin, </w:t>
      </w:r>
      <w:r w:rsidR="0063240E" w:rsidRPr="00550946">
        <w:rPr>
          <w:rFonts w:ascii="Times New Roman" w:hAnsi="Times New Roman" w:cs="Times New Roman"/>
          <w:noProof/>
          <w:sz w:val="24"/>
          <w:szCs w:val="24"/>
        </w:rPr>
        <w:t>D., Jedwab, R., &amp; Vollrath, D. 2013</w:t>
      </w:r>
      <w:r w:rsidRPr="00550946">
        <w:rPr>
          <w:rFonts w:ascii="Times New Roman" w:hAnsi="Times New Roman" w:cs="Times New Roman"/>
          <w:noProof/>
          <w:sz w:val="24"/>
          <w:szCs w:val="24"/>
        </w:rPr>
        <w:t>. Urbanization with and without industrialization. Unpublished Paper. &lt;http://dept.econ.yorku.ca/seminars/&gt;.</w:t>
      </w:r>
    </w:p>
    <w:p w14:paraId="2D1CD2BD" w14:textId="47D5FF5B"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lastRenderedPageBreak/>
        <w:t>Haggblad</w:t>
      </w:r>
      <w:r w:rsidR="0063240E" w:rsidRPr="00721AB8">
        <w:rPr>
          <w:rFonts w:ascii="Times New Roman" w:hAnsi="Times New Roman" w:cs="Times New Roman"/>
          <w:noProof/>
          <w:sz w:val="24"/>
          <w:szCs w:val="24"/>
        </w:rPr>
        <w:t>e, S., Hazell, P., &amp; Brown, J. 1989</w:t>
      </w:r>
      <w:r w:rsidRPr="00550946">
        <w:rPr>
          <w:rFonts w:ascii="Times New Roman" w:hAnsi="Times New Roman" w:cs="Times New Roman"/>
          <w:noProof/>
          <w:sz w:val="24"/>
          <w:szCs w:val="24"/>
        </w:rPr>
        <w:t xml:space="preserve">. Farm-nonfarm linkages in rural Sub-Saharan Africa. </w:t>
      </w:r>
      <w:r w:rsidRPr="00550946">
        <w:rPr>
          <w:rFonts w:ascii="Times New Roman" w:hAnsi="Times New Roman" w:cs="Times New Roman"/>
          <w:i/>
          <w:iCs/>
          <w:noProof/>
          <w:sz w:val="24"/>
          <w:szCs w:val="24"/>
        </w:rPr>
        <w:t xml:space="preserve">World Development </w:t>
      </w:r>
      <w:r w:rsidRPr="00550946">
        <w:rPr>
          <w:rFonts w:ascii="Times New Roman" w:hAnsi="Times New Roman" w:cs="Times New Roman"/>
          <w:noProof/>
          <w:sz w:val="24"/>
          <w:szCs w:val="24"/>
        </w:rPr>
        <w:t>, 17 (8): 1173-1201.</w:t>
      </w:r>
    </w:p>
    <w:p w14:paraId="2932390B" w14:textId="0875C11C" w:rsidR="004B4D29" w:rsidRPr="00B15888" w:rsidRDefault="008476A8" w:rsidP="00EF7FD9">
      <w:pPr>
        <w:pStyle w:val="Ref"/>
        <w:ind w:left="720" w:hanging="720"/>
        <w:jc w:val="both"/>
        <w:rPr>
          <w:sz w:val="24"/>
          <w:szCs w:val="24"/>
        </w:rPr>
      </w:pPr>
      <w:r w:rsidRPr="00B15888">
        <w:rPr>
          <w:rFonts w:eastAsia="MS Mincho"/>
          <w:sz w:val="24"/>
          <w:szCs w:val="24"/>
          <w:lang w:eastAsia="ja-JP"/>
        </w:rPr>
        <w:t>Headey, D.</w:t>
      </w:r>
      <w:r w:rsidR="0063240E">
        <w:rPr>
          <w:rFonts w:eastAsia="MS Mincho"/>
          <w:sz w:val="24"/>
          <w:szCs w:val="24"/>
          <w:lang w:eastAsia="ja-JP"/>
        </w:rPr>
        <w:t>;</w:t>
      </w:r>
      <w:r w:rsidRPr="00B15888">
        <w:rPr>
          <w:rFonts w:eastAsia="MS Mincho"/>
          <w:sz w:val="24"/>
          <w:szCs w:val="24"/>
          <w:lang w:eastAsia="ja-JP"/>
        </w:rPr>
        <w:t xml:space="preserve"> </w:t>
      </w:r>
      <w:proofErr w:type="spellStart"/>
      <w:r w:rsidRPr="00B15888">
        <w:rPr>
          <w:rFonts w:eastAsia="MS Mincho"/>
          <w:sz w:val="24"/>
          <w:szCs w:val="24"/>
          <w:lang w:eastAsia="ja-JP"/>
        </w:rPr>
        <w:t>Bezemer</w:t>
      </w:r>
      <w:proofErr w:type="spellEnd"/>
      <w:r w:rsidR="0063240E">
        <w:rPr>
          <w:rFonts w:eastAsia="MS Mincho"/>
          <w:sz w:val="24"/>
          <w:szCs w:val="24"/>
          <w:lang w:eastAsia="ja-JP"/>
        </w:rPr>
        <w:t>, D.</w:t>
      </w:r>
      <w:r w:rsidRPr="00B15888">
        <w:rPr>
          <w:rFonts w:eastAsia="MS Mincho"/>
          <w:sz w:val="24"/>
          <w:szCs w:val="24"/>
          <w:lang w:eastAsia="ja-JP"/>
        </w:rPr>
        <w:t xml:space="preserve"> and Hazell</w:t>
      </w:r>
      <w:r w:rsidR="0063240E">
        <w:rPr>
          <w:rFonts w:eastAsia="MS Mincho"/>
          <w:sz w:val="24"/>
          <w:szCs w:val="24"/>
          <w:lang w:eastAsia="ja-JP"/>
        </w:rPr>
        <w:t>, P</w:t>
      </w:r>
      <w:r w:rsidRPr="00B15888">
        <w:rPr>
          <w:rFonts w:eastAsia="MS Mincho"/>
          <w:sz w:val="24"/>
          <w:szCs w:val="24"/>
          <w:lang w:eastAsia="ja-JP"/>
        </w:rPr>
        <w:t xml:space="preserve">. 2010. Agricultural employment trends in Asia and Africa: Too fast or too slow. </w:t>
      </w:r>
      <w:r w:rsidRPr="00B15888">
        <w:rPr>
          <w:rFonts w:eastAsia="MS Mincho"/>
          <w:i/>
          <w:sz w:val="24"/>
          <w:szCs w:val="24"/>
          <w:lang w:eastAsia="ja-JP"/>
        </w:rPr>
        <w:t>The World Bank Research Observer</w:t>
      </w:r>
      <w:r w:rsidR="00DE26E1" w:rsidRPr="00B15888">
        <w:rPr>
          <w:rFonts w:eastAsia="MS Mincho"/>
          <w:i/>
          <w:sz w:val="24"/>
          <w:szCs w:val="24"/>
          <w:lang w:eastAsia="ja-JP"/>
        </w:rPr>
        <w:t>,</w:t>
      </w:r>
      <w:r w:rsidRPr="00B15888">
        <w:rPr>
          <w:rFonts w:eastAsia="MS Mincho"/>
          <w:sz w:val="24"/>
          <w:szCs w:val="24"/>
          <w:lang w:eastAsia="ja-JP"/>
        </w:rPr>
        <w:t xml:space="preserve"> </w:t>
      </w:r>
      <w:r w:rsidRPr="00B15888">
        <w:rPr>
          <w:sz w:val="24"/>
          <w:szCs w:val="24"/>
        </w:rPr>
        <w:t>25</w:t>
      </w:r>
      <w:r w:rsidR="00DE26E1" w:rsidRPr="00B15888">
        <w:rPr>
          <w:sz w:val="24"/>
          <w:szCs w:val="24"/>
        </w:rPr>
        <w:t>:</w:t>
      </w:r>
      <w:r w:rsidRPr="00B15888">
        <w:rPr>
          <w:sz w:val="24"/>
          <w:szCs w:val="24"/>
        </w:rPr>
        <w:t xml:space="preserve"> 57-89.</w:t>
      </w:r>
    </w:p>
    <w:p w14:paraId="111DE24E" w14:textId="03C87C89" w:rsidR="00DE26E1" w:rsidRPr="00B15888" w:rsidRDefault="005527D4" w:rsidP="00EF7FD9">
      <w:pPr>
        <w:pStyle w:val="Ref"/>
        <w:ind w:left="720" w:hanging="720"/>
        <w:jc w:val="both"/>
        <w:rPr>
          <w:sz w:val="24"/>
          <w:szCs w:val="24"/>
        </w:rPr>
      </w:pPr>
      <w:r w:rsidRPr="00B15888">
        <w:rPr>
          <w:sz w:val="24"/>
          <w:szCs w:val="24"/>
        </w:rPr>
        <w:t xml:space="preserve">McIntire, John, </w:t>
      </w:r>
      <w:proofErr w:type="spellStart"/>
      <w:r w:rsidRPr="00B15888">
        <w:rPr>
          <w:sz w:val="24"/>
          <w:szCs w:val="24"/>
        </w:rPr>
        <w:t>Bourzat</w:t>
      </w:r>
      <w:proofErr w:type="spellEnd"/>
      <w:r w:rsidR="0063240E">
        <w:rPr>
          <w:sz w:val="24"/>
          <w:szCs w:val="24"/>
        </w:rPr>
        <w:t>, Daniel</w:t>
      </w:r>
      <w:r w:rsidRPr="00B15888">
        <w:rPr>
          <w:sz w:val="24"/>
          <w:szCs w:val="24"/>
        </w:rPr>
        <w:t xml:space="preserve"> and </w:t>
      </w:r>
      <w:proofErr w:type="spellStart"/>
      <w:r w:rsidRPr="00B15888">
        <w:rPr>
          <w:sz w:val="24"/>
          <w:szCs w:val="24"/>
        </w:rPr>
        <w:t>P</w:t>
      </w:r>
      <w:r w:rsidR="0063240E">
        <w:rPr>
          <w:sz w:val="24"/>
          <w:szCs w:val="24"/>
        </w:rPr>
        <w:t>ingali</w:t>
      </w:r>
      <w:proofErr w:type="spellEnd"/>
      <w:r w:rsidR="0063240E">
        <w:rPr>
          <w:sz w:val="24"/>
          <w:szCs w:val="24"/>
        </w:rPr>
        <w:t xml:space="preserve">, </w:t>
      </w:r>
      <w:proofErr w:type="spellStart"/>
      <w:r w:rsidR="0063240E">
        <w:rPr>
          <w:sz w:val="24"/>
          <w:szCs w:val="24"/>
        </w:rPr>
        <w:t>P</w:t>
      </w:r>
      <w:r w:rsidRPr="00B15888">
        <w:rPr>
          <w:sz w:val="24"/>
          <w:szCs w:val="24"/>
        </w:rPr>
        <w:t>rabhu</w:t>
      </w:r>
      <w:proofErr w:type="spellEnd"/>
      <w:r w:rsidRPr="00B15888">
        <w:rPr>
          <w:sz w:val="24"/>
          <w:szCs w:val="24"/>
        </w:rPr>
        <w:t>.</w:t>
      </w:r>
      <w:r w:rsidR="00DE26E1" w:rsidRPr="00B15888">
        <w:rPr>
          <w:sz w:val="24"/>
          <w:szCs w:val="24"/>
        </w:rPr>
        <w:t xml:space="preserve"> 1992. </w:t>
      </w:r>
      <w:r w:rsidRPr="00B15888">
        <w:rPr>
          <w:sz w:val="24"/>
          <w:szCs w:val="24"/>
        </w:rPr>
        <w:t>Crop Livestock Interaction in sub-Saharan Africa. World Bank.</w:t>
      </w:r>
    </w:p>
    <w:p w14:paraId="6E0EFDED" w14:textId="046373CC" w:rsidR="006D0DC6" w:rsidRPr="00550946" w:rsidRDefault="006D0DC6" w:rsidP="00EF7FD9">
      <w:pPr>
        <w:pStyle w:val="Bibliography"/>
        <w:ind w:left="720" w:hanging="720"/>
        <w:jc w:val="both"/>
        <w:rPr>
          <w:noProof/>
          <w:sz w:val="24"/>
          <w:szCs w:val="24"/>
        </w:rPr>
      </w:pPr>
      <w:r w:rsidRPr="00550946">
        <w:rPr>
          <w:rFonts w:ascii="Times New Roman" w:hAnsi="Times New Roman" w:cs="Times New Roman"/>
          <w:noProof/>
          <w:sz w:val="24"/>
          <w:szCs w:val="24"/>
        </w:rPr>
        <w:t>McMillan, M., and Rodrik, D</w:t>
      </w:r>
      <w:r w:rsidR="005D1555" w:rsidRPr="00550946">
        <w:rPr>
          <w:rFonts w:ascii="Times New Roman" w:hAnsi="Times New Roman" w:cs="Times New Roman"/>
          <w:noProof/>
          <w:sz w:val="24"/>
          <w:szCs w:val="24"/>
        </w:rPr>
        <w:t>. 2011</w:t>
      </w:r>
      <w:r w:rsidRPr="00550946">
        <w:rPr>
          <w:rFonts w:ascii="Times New Roman" w:hAnsi="Times New Roman" w:cs="Times New Roman"/>
          <w:noProof/>
          <w:sz w:val="24"/>
          <w:szCs w:val="24"/>
        </w:rPr>
        <w:t xml:space="preserve">. </w:t>
      </w:r>
      <w:r w:rsidRPr="00550946">
        <w:rPr>
          <w:rFonts w:ascii="Times New Roman" w:hAnsi="Times New Roman" w:cs="Times New Roman"/>
          <w:iCs/>
          <w:noProof/>
          <w:sz w:val="24"/>
          <w:szCs w:val="24"/>
        </w:rPr>
        <w:t>Globalization, structural change and productivity growth.</w:t>
      </w:r>
      <w:r w:rsidRPr="00550946">
        <w:rPr>
          <w:rFonts w:ascii="Times New Roman" w:hAnsi="Times New Roman" w:cs="Times New Roman"/>
          <w:noProof/>
          <w:sz w:val="24"/>
          <w:szCs w:val="24"/>
        </w:rPr>
        <w:t xml:space="preserve"> Washington: IFPRI Discussion Paper 01160. International Food Policy Research Institute.</w:t>
      </w:r>
    </w:p>
    <w:p w14:paraId="0D09AB0C" w14:textId="58327388" w:rsidR="005D1555" w:rsidRPr="00550946" w:rsidRDefault="005D1555" w:rsidP="005776ED">
      <w:pPr>
        <w:ind w:left="720" w:hanging="720"/>
        <w:jc w:val="both"/>
        <w:rPr>
          <w:sz w:val="24"/>
          <w:szCs w:val="24"/>
          <w:lang w:eastAsia="zh-CN"/>
        </w:rPr>
      </w:pPr>
      <w:r w:rsidRPr="00550946">
        <w:rPr>
          <w:rFonts w:ascii="Times New Roman" w:hAnsi="Times New Roman" w:cs="Times New Roman"/>
          <w:sz w:val="24"/>
          <w:szCs w:val="24"/>
          <w:lang w:eastAsia="zh-CN"/>
        </w:rPr>
        <w:t xml:space="preserve">Mellor, J.W. 1976. </w:t>
      </w:r>
      <w:r w:rsidRPr="00550946">
        <w:rPr>
          <w:rFonts w:ascii="Times New Roman" w:hAnsi="Times New Roman" w:cs="Times New Roman"/>
          <w:i/>
          <w:sz w:val="24"/>
          <w:szCs w:val="24"/>
          <w:lang w:eastAsia="zh-CN"/>
        </w:rPr>
        <w:t xml:space="preserve">The new economics of growth: A strategy for India and the </w:t>
      </w:r>
      <w:r w:rsidR="0063240E">
        <w:rPr>
          <w:rFonts w:ascii="Times New Roman" w:hAnsi="Times New Roman" w:cs="Times New Roman"/>
          <w:i/>
          <w:sz w:val="24"/>
          <w:szCs w:val="24"/>
          <w:lang w:eastAsia="zh-CN"/>
        </w:rPr>
        <w:t xml:space="preserve">developing </w:t>
      </w:r>
      <w:proofErr w:type="spellStart"/>
      <w:proofErr w:type="gramStart"/>
      <w:r w:rsidR="0063240E">
        <w:rPr>
          <w:rFonts w:ascii="Times New Roman" w:hAnsi="Times New Roman" w:cs="Times New Roman"/>
          <w:i/>
          <w:sz w:val="24"/>
          <w:szCs w:val="24"/>
          <w:lang w:eastAsia="zh-CN"/>
        </w:rPr>
        <w:t>world.</w:t>
      </w:r>
      <w:r w:rsidRPr="00550946">
        <w:rPr>
          <w:rFonts w:ascii="Times New Roman" w:hAnsi="Times New Roman" w:cs="Times New Roman"/>
          <w:sz w:val="24"/>
          <w:szCs w:val="24"/>
          <w:lang w:eastAsia="zh-CN"/>
        </w:rPr>
        <w:t>Cornell</w:t>
      </w:r>
      <w:proofErr w:type="spellEnd"/>
      <w:proofErr w:type="gramEnd"/>
      <w:r w:rsidRPr="00550946">
        <w:rPr>
          <w:rFonts w:ascii="Times New Roman" w:hAnsi="Times New Roman" w:cs="Times New Roman"/>
          <w:sz w:val="24"/>
          <w:szCs w:val="24"/>
          <w:lang w:eastAsia="zh-CN"/>
        </w:rPr>
        <w:t xml:space="preserve"> University Press: Ithaca, N.Y.</w:t>
      </w:r>
    </w:p>
    <w:p w14:paraId="3D483E4B" w14:textId="427F933E" w:rsidR="005527D4" w:rsidRPr="00B15888" w:rsidRDefault="00744A9A" w:rsidP="00EF7FD9">
      <w:pPr>
        <w:pStyle w:val="Ref"/>
        <w:ind w:left="720" w:hanging="720"/>
        <w:jc w:val="both"/>
        <w:rPr>
          <w:sz w:val="24"/>
          <w:szCs w:val="24"/>
        </w:rPr>
      </w:pPr>
      <w:r w:rsidRPr="00B15888">
        <w:rPr>
          <w:sz w:val="24"/>
          <w:szCs w:val="24"/>
        </w:rPr>
        <w:t xml:space="preserve">Nin-Pratt, A., and L. McBride. 2014. Agricultural Intensification in Ghana: Evaluating the optimist’s case for a Green Revolution. </w:t>
      </w:r>
      <w:r w:rsidRPr="00B15888">
        <w:rPr>
          <w:i/>
          <w:sz w:val="24"/>
          <w:szCs w:val="24"/>
        </w:rPr>
        <w:t>Food Policy,</w:t>
      </w:r>
      <w:r w:rsidRPr="00B15888">
        <w:rPr>
          <w:sz w:val="24"/>
          <w:szCs w:val="24"/>
        </w:rPr>
        <w:t xml:space="preserve"> 28 (2014): 153-167.</w:t>
      </w:r>
      <w:r w:rsidR="005527D4" w:rsidRPr="00B15888">
        <w:rPr>
          <w:sz w:val="24"/>
          <w:szCs w:val="24"/>
        </w:rPr>
        <w:t xml:space="preserve"> </w:t>
      </w:r>
    </w:p>
    <w:p w14:paraId="4758D46A" w14:textId="37BC5202" w:rsidR="006D0DC6" w:rsidRPr="00550946" w:rsidRDefault="006D0DC6" w:rsidP="00EF7FD9">
      <w:pPr>
        <w:ind w:left="720" w:hanging="720"/>
        <w:jc w:val="both"/>
        <w:rPr>
          <w:sz w:val="24"/>
          <w:szCs w:val="24"/>
        </w:rPr>
      </w:pPr>
      <w:proofErr w:type="spellStart"/>
      <w:r w:rsidRPr="00B15888">
        <w:rPr>
          <w:rFonts w:ascii="Times New Roman" w:hAnsi="Times New Roman" w:cs="Times New Roman"/>
          <w:sz w:val="24"/>
          <w:szCs w:val="24"/>
        </w:rPr>
        <w:t>Pingali</w:t>
      </w:r>
      <w:proofErr w:type="spellEnd"/>
      <w:r w:rsidRPr="00B15888">
        <w:rPr>
          <w:rFonts w:ascii="Times New Roman" w:hAnsi="Times New Roman" w:cs="Times New Roman"/>
          <w:sz w:val="24"/>
          <w:szCs w:val="24"/>
        </w:rPr>
        <w:t xml:space="preserve">, </w:t>
      </w:r>
      <w:proofErr w:type="spellStart"/>
      <w:r w:rsidRPr="00B15888">
        <w:rPr>
          <w:rFonts w:ascii="Times New Roman" w:hAnsi="Times New Roman" w:cs="Times New Roman"/>
          <w:sz w:val="24"/>
          <w:szCs w:val="24"/>
        </w:rPr>
        <w:t>Prabhu</w:t>
      </w:r>
      <w:proofErr w:type="spellEnd"/>
      <w:r w:rsidRPr="00B15888">
        <w:rPr>
          <w:rFonts w:ascii="Times New Roman" w:hAnsi="Times New Roman" w:cs="Times New Roman"/>
          <w:sz w:val="24"/>
          <w:szCs w:val="24"/>
        </w:rPr>
        <w:t xml:space="preserve">, </w:t>
      </w:r>
      <w:r w:rsidR="0063240E">
        <w:rPr>
          <w:rFonts w:ascii="Times New Roman" w:hAnsi="Times New Roman" w:cs="Times New Roman"/>
          <w:sz w:val="24"/>
          <w:szCs w:val="24"/>
        </w:rPr>
        <w:t>Bigot</w:t>
      </w:r>
      <w:r w:rsidRPr="00B15888">
        <w:rPr>
          <w:rFonts w:ascii="Times New Roman" w:hAnsi="Times New Roman" w:cs="Times New Roman"/>
          <w:sz w:val="24"/>
          <w:szCs w:val="24"/>
        </w:rPr>
        <w:t xml:space="preserve">, </w:t>
      </w:r>
      <w:r w:rsidR="0063240E">
        <w:rPr>
          <w:rFonts w:ascii="Times New Roman" w:hAnsi="Times New Roman" w:cs="Times New Roman"/>
          <w:sz w:val="24"/>
          <w:szCs w:val="24"/>
        </w:rPr>
        <w:t>Yves</w:t>
      </w:r>
      <w:r w:rsidRPr="00B15888">
        <w:rPr>
          <w:rFonts w:ascii="Times New Roman" w:hAnsi="Times New Roman" w:cs="Times New Roman"/>
          <w:sz w:val="24"/>
          <w:szCs w:val="24"/>
        </w:rPr>
        <w:t xml:space="preserve"> and</w:t>
      </w:r>
      <w:r w:rsidR="0063240E">
        <w:rPr>
          <w:rFonts w:ascii="Times New Roman" w:hAnsi="Times New Roman" w:cs="Times New Roman"/>
          <w:sz w:val="24"/>
          <w:szCs w:val="24"/>
        </w:rPr>
        <w:t xml:space="preserve"> </w:t>
      </w:r>
      <w:r w:rsidRPr="00B15888">
        <w:rPr>
          <w:rFonts w:ascii="Times New Roman" w:hAnsi="Times New Roman" w:cs="Times New Roman"/>
          <w:sz w:val="24"/>
          <w:szCs w:val="24"/>
        </w:rPr>
        <w:t>Binswanger</w:t>
      </w:r>
      <w:r w:rsidR="0063240E">
        <w:rPr>
          <w:rFonts w:ascii="Times New Roman" w:hAnsi="Times New Roman" w:cs="Times New Roman"/>
          <w:sz w:val="24"/>
          <w:szCs w:val="24"/>
        </w:rPr>
        <w:t>, Hans P</w:t>
      </w:r>
      <w:r w:rsidRPr="00B15888">
        <w:rPr>
          <w:rFonts w:ascii="Times New Roman" w:hAnsi="Times New Roman" w:cs="Times New Roman"/>
          <w:sz w:val="24"/>
          <w:szCs w:val="24"/>
        </w:rPr>
        <w:t xml:space="preserve">. </w:t>
      </w:r>
      <w:r w:rsidRPr="00550946">
        <w:rPr>
          <w:rFonts w:ascii="Times New Roman" w:hAnsi="Times New Roman" w:cs="Times New Roman"/>
          <w:i/>
          <w:sz w:val="24"/>
          <w:szCs w:val="24"/>
        </w:rPr>
        <w:t>Agricultural mechanization and the evolution of farming systems in sub-Saharan Africa</w:t>
      </w:r>
      <w:r w:rsidRPr="00B15888">
        <w:rPr>
          <w:rFonts w:ascii="Times New Roman" w:hAnsi="Times New Roman" w:cs="Times New Roman"/>
          <w:sz w:val="24"/>
          <w:szCs w:val="24"/>
        </w:rPr>
        <w:t>. Johns Hopkins University Press</w:t>
      </w:r>
      <w:r w:rsidR="0063240E">
        <w:rPr>
          <w:rFonts w:ascii="Times New Roman" w:hAnsi="Times New Roman" w:cs="Times New Roman"/>
          <w:sz w:val="24"/>
          <w:szCs w:val="24"/>
        </w:rPr>
        <w:t>: Baltimore, MD.</w:t>
      </w:r>
    </w:p>
    <w:p w14:paraId="77791E6A" w14:textId="2C157329" w:rsidR="00DE26E1" w:rsidRPr="00B15888" w:rsidRDefault="004B4D29" w:rsidP="00EF7FD9">
      <w:pPr>
        <w:pStyle w:val="Ref"/>
        <w:ind w:left="720" w:hanging="720"/>
        <w:jc w:val="both"/>
        <w:rPr>
          <w:sz w:val="24"/>
          <w:szCs w:val="24"/>
        </w:rPr>
      </w:pPr>
      <w:proofErr w:type="spellStart"/>
      <w:r w:rsidRPr="00B15888">
        <w:rPr>
          <w:sz w:val="24"/>
          <w:szCs w:val="24"/>
        </w:rPr>
        <w:t>Quisumbing</w:t>
      </w:r>
      <w:proofErr w:type="spellEnd"/>
      <w:r w:rsidRPr="00B15888">
        <w:rPr>
          <w:sz w:val="24"/>
          <w:szCs w:val="24"/>
        </w:rPr>
        <w:t>, A</w:t>
      </w:r>
      <w:r w:rsidR="00DE26E1" w:rsidRPr="00B15888">
        <w:rPr>
          <w:sz w:val="24"/>
          <w:szCs w:val="24"/>
        </w:rPr>
        <w:t>gn</w:t>
      </w:r>
      <w:r w:rsidR="006D0DC6" w:rsidRPr="00B15888">
        <w:rPr>
          <w:sz w:val="24"/>
          <w:szCs w:val="24"/>
        </w:rPr>
        <w:t>e</w:t>
      </w:r>
      <w:r w:rsidR="00DE26E1" w:rsidRPr="00B15888">
        <w:rPr>
          <w:sz w:val="24"/>
          <w:szCs w:val="24"/>
        </w:rPr>
        <w:t>s</w:t>
      </w:r>
      <w:r w:rsidRPr="00B15888">
        <w:rPr>
          <w:sz w:val="24"/>
          <w:szCs w:val="24"/>
        </w:rPr>
        <w:t>. 1995</w:t>
      </w:r>
      <w:r w:rsidR="00DE26E1" w:rsidRPr="00B15888">
        <w:rPr>
          <w:sz w:val="24"/>
          <w:szCs w:val="24"/>
        </w:rPr>
        <w:t>.</w:t>
      </w:r>
      <w:r w:rsidRPr="00B15888">
        <w:rPr>
          <w:sz w:val="24"/>
          <w:szCs w:val="24"/>
        </w:rPr>
        <w:t xml:space="preserve"> Gender Differences in Agricultural Productivity: A Survey of Empirical</w:t>
      </w:r>
      <w:r w:rsidR="005527D4" w:rsidRPr="00B15888">
        <w:rPr>
          <w:sz w:val="24"/>
          <w:szCs w:val="24"/>
        </w:rPr>
        <w:t xml:space="preserve"> </w:t>
      </w:r>
      <w:r w:rsidRPr="00B15888">
        <w:rPr>
          <w:sz w:val="24"/>
          <w:szCs w:val="24"/>
        </w:rPr>
        <w:t>Evidence. FCND Discussion Paper No. 5. Washington, D.C.</w:t>
      </w:r>
      <w:r w:rsidR="00DE26E1" w:rsidRPr="00B15888">
        <w:rPr>
          <w:sz w:val="24"/>
          <w:szCs w:val="24"/>
        </w:rPr>
        <w:t>,</w:t>
      </w:r>
      <w:r w:rsidRPr="00B15888">
        <w:rPr>
          <w:sz w:val="24"/>
          <w:szCs w:val="24"/>
        </w:rPr>
        <w:t xml:space="preserve"> IFPRI.</w:t>
      </w:r>
    </w:p>
    <w:p w14:paraId="1380734D" w14:textId="78FD557A" w:rsidR="00B15888" w:rsidRPr="00B15888" w:rsidRDefault="00B15888" w:rsidP="00EF7FD9">
      <w:pPr>
        <w:pStyle w:val="Ref"/>
        <w:ind w:left="720" w:hanging="720"/>
        <w:jc w:val="both"/>
        <w:rPr>
          <w:sz w:val="24"/>
          <w:szCs w:val="24"/>
        </w:rPr>
      </w:pPr>
      <w:proofErr w:type="spellStart"/>
      <w:r w:rsidRPr="00B15888">
        <w:rPr>
          <w:sz w:val="24"/>
          <w:szCs w:val="24"/>
        </w:rPr>
        <w:t>Rosegrant</w:t>
      </w:r>
      <w:proofErr w:type="spellEnd"/>
      <w:r w:rsidRPr="00B15888">
        <w:rPr>
          <w:sz w:val="24"/>
          <w:szCs w:val="24"/>
        </w:rPr>
        <w:t xml:space="preserve">, M.W. and Hazell, P.B.R. 2000. </w:t>
      </w:r>
      <w:r w:rsidRPr="00B15888">
        <w:rPr>
          <w:i/>
          <w:sz w:val="24"/>
          <w:szCs w:val="24"/>
        </w:rPr>
        <w:t xml:space="preserve">Transforming the rural Asia economy: The unfinished revolution. </w:t>
      </w:r>
      <w:r w:rsidRPr="00B15888">
        <w:rPr>
          <w:sz w:val="24"/>
          <w:szCs w:val="24"/>
        </w:rPr>
        <w:t>Oxford University Press: Hong Kong.</w:t>
      </w:r>
    </w:p>
    <w:p w14:paraId="595F8C2C" w14:textId="7D26BB8C" w:rsidR="005527D4" w:rsidRPr="00B15888" w:rsidRDefault="005527D4" w:rsidP="00EF7FD9">
      <w:pPr>
        <w:pStyle w:val="Ref"/>
        <w:ind w:left="720" w:hanging="720"/>
        <w:jc w:val="both"/>
        <w:rPr>
          <w:sz w:val="24"/>
          <w:szCs w:val="24"/>
        </w:rPr>
      </w:pPr>
      <w:proofErr w:type="spellStart"/>
      <w:r w:rsidRPr="00B15888">
        <w:rPr>
          <w:sz w:val="24"/>
          <w:szCs w:val="24"/>
        </w:rPr>
        <w:t>Ruthenberg</w:t>
      </w:r>
      <w:proofErr w:type="spellEnd"/>
      <w:r w:rsidRPr="00B15888">
        <w:rPr>
          <w:sz w:val="24"/>
          <w:szCs w:val="24"/>
        </w:rPr>
        <w:t xml:space="preserve">, Hans. </w:t>
      </w:r>
      <w:r w:rsidR="00DE26E1" w:rsidRPr="00B15888">
        <w:rPr>
          <w:sz w:val="24"/>
          <w:szCs w:val="24"/>
        </w:rPr>
        <w:t xml:space="preserve">1980. </w:t>
      </w:r>
      <w:r w:rsidRPr="00B15888">
        <w:rPr>
          <w:i/>
          <w:sz w:val="24"/>
          <w:szCs w:val="24"/>
        </w:rPr>
        <w:t>Farming Systems in the Tropics</w:t>
      </w:r>
      <w:r w:rsidRPr="00B15888">
        <w:rPr>
          <w:sz w:val="24"/>
          <w:szCs w:val="24"/>
        </w:rPr>
        <w:t>. Oxford</w:t>
      </w:r>
      <w:r w:rsidR="00DE26E1" w:rsidRPr="00B15888">
        <w:rPr>
          <w:sz w:val="24"/>
          <w:szCs w:val="24"/>
        </w:rPr>
        <w:t xml:space="preserve"> University Press, </w:t>
      </w:r>
      <w:r w:rsidRPr="00B15888">
        <w:rPr>
          <w:sz w:val="24"/>
          <w:szCs w:val="24"/>
        </w:rPr>
        <w:t>(3</w:t>
      </w:r>
      <w:r w:rsidRPr="00B15888">
        <w:rPr>
          <w:sz w:val="24"/>
          <w:szCs w:val="24"/>
          <w:vertAlign w:val="superscript"/>
        </w:rPr>
        <w:t xml:space="preserve">rd </w:t>
      </w:r>
      <w:r w:rsidRPr="00B15888">
        <w:rPr>
          <w:sz w:val="24"/>
          <w:szCs w:val="24"/>
        </w:rPr>
        <w:t>edition).</w:t>
      </w:r>
    </w:p>
    <w:p w14:paraId="349E712F" w14:textId="09A6D5BD" w:rsidR="004B61C7" w:rsidRPr="00A623F8" w:rsidRDefault="0063240E" w:rsidP="005776ED">
      <w:pPr>
        <w:spacing w:after="240"/>
        <w:ind w:left="720" w:hanging="720"/>
        <w:jc w:val="both"/>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Timmer</w:t>
      </w:r>
      <w:proofErr w:type="spellEnd"/>
      <w:r>
        <w:rPr>
          <w:rFonts w:ascii="Times New Roman" w:hAnsi="Times New Roman" w:cs="Times New Roman"/>
          <w:color w:val="222222"/>
          <w:sz w:val="24"/>
          <w:szCs w:val="24"/>
          <w:shd w:val="clear" w:color="auto" w:fill="FFFFFF"/>
        </w:rPr>
        <w:t>, C. Peter</w:t>
      </w:r>
      <w:r w:rsidR="00B15888" w:rsidRPr="00550946">
        <w:rPr>
          <w:rFonts w:ascii="Times New Roman" w:hAnsi="Times New Roman" w:cs="Times New Roman"/>
          <w:color w:val="222222"/>
          <w:sz w:val="24"/>
          <w:szCs w:val="24"/>
          <w:shd w:val="clear" w:color="auto" w:fill="FFFFFF"/>
        </w:rPr>
        <w:t xml:space="preserve">, </w:t>
      </w:r>
      <w:r w:rsidR="004217E4">
        <w:rPr>
          <w:rFonts w:ascii="Times New Roman" w:hAnsi="Times New Roman" w:cs="Times New Roman"/>
          <w:color w:val="222222"/>
          <w:sz w:val="24"/>
          <w:szCs w:val="24"/>
          <w:shd w:val="clear" w:color="auto" w:fill="FFFFFF"/>
        </w:rPr>
        <w:t>1988</w:t>
      </w:r>
      <w:r w:rsidR="00B15888" w:rsidRPr="00550946">
        <w:rPr>
          <w:rFonts w:ascii="Times New Roman" w:hAnsi="Times New Roman" w:cs="Times New Roman"/>
          <w:color w:val="222222"/>
          <w:sz w:val="24"/>
          <w:szCs w:val="24"/>
          <w:shd w:val="clear" w:color="auto" w:fill="FFFFFF"/>
        </w:rPr>
        <w:t xml:space="preserve">. </w:t>
      </w:r>
      <w:r w:rsidR="004217E4">
        <w:rPr>
          <w:rFonts w:ascii="Times New Roman" w:hAnsi="Times New Roman" w:cs="Times New Roman"/>
          <w:color w:val="222222"/>
          <w:sz w:val="24"/>
          <w:szCs w:val="24"/>
          <w:shd w:val="clear" w:color="auto" w:fill="FFFFFF"/>
        </w:rPr>
        <w:t xml:space="preserve">“The </w:t>
      </w:r>
      <w:r w:rsidR="00B15888" w:rsidRPr="00550946">
        <w:rPr>
          <w:rFonts w:ascii="Times New Roman" w:hAnsi="Times New Roman" w:cs="Times New Roman"/>
          <w:color w:val="222222"/>
          <w:sz w:val="24"/>
          <w:szCs w:val="24"/>
          <w:shd w:val="clear" w:color="auto" w:fill="FFFFFF"/>
        </w:rPr>
        <w:t>Agricultur</w:t>
      </w:r>
      <w:r w:rsidR="004217E4">
        <w:rPr>
          <w:rFonts w:ascii="Times New Roman" w:hAnsi="Times New Roman" w:cs="Times New Roman"/>
          <w:color w:val="222222"/>
          <w:sz w:val="24"/>
          <w:szCs w:val="24"/>
          <w:shd w:val="clear" w:color="auto" w:fill="FFFFFF"/>
        </w:rPr>
        <w:t xml:space="preserve">al Transformation,” in </w:t>
      </w:r>
      <w:proofErr w:type="spellStart"/>
      <w:r w:rsidR="004217E4">
        <w:rPr>
          <w:rFonts w:ascii="Times New Roman" w:hAnsi="Times New Roman" w:cs="Times New Roman"/>
          <w:color w:val="222222"/>
          <w:sz w:val="24"/>
          <w:szCs w:val="24"/>
          <w:shd w:val="clear" w:color="auto" w:fill="FFFFFF"/>
        </w:rPr>
        <w:t>Chenery</w:t>
      </w:r>
      <w:proofErr w:type="spellEnd"/>
      <w:r w:rsidR="004217E4">
        <w:rPr>
          <w:rFonts w:ascii="Times New Roman" w:hAnsi="Times New Roman" w:cs="Times New Roman"/>
          <w:color w:val="222222"/>
          <w:sz w:val="24"/>
          <w:szCs w:val="24"/>
          <w:shd w:val="clear" w:color="auto" w:fill="FFFFFF"/>
        </w:rPr>
        <w:t xml:space="preserve">, H. and </w:t>
      </w:r>
      <w:r w:rsidR="00B603B0">
        <w:rPr>
          <w:rFonts w:ascii="Times New Roman" w:hAnsi="Times New Roman" w:cs="Times New Roman"/>
          <w:color w:val="222222"/>
          <w:sz w:val="24"/>
          <w:szCs w:val="24"/>
          <w:shd w:val="clear" w:color="auto" w:fill="FFFFFF"/>
        </w:rPr>
        <w:t xml:space="preserve">T.N. </w:t>
      </w:r>
      <w:proofErr w:type="spellStart"/>
      <w:r w:rsidR="00B603B0">
        <w:rPr>
          <w:rFonts w:ascii="Times New Roman" w:hAnsi="Times New Roman" w:cs="Times New Roman"/>
          <w:color w:val="222222"/>
          <w:sz w:val="24"/>
          <w:szCs w:val="24"/>
          <w:shd w:val="clear" w:color="auto" w:fill="FFFFFF"/>
        </w:rPr>
        <w:t>Srinivason</w:t>
      </w:r>
      <w:proofErr w:type="spellEnd"/>
      <w:r w:rsidR="00B603B0">
        <w:rPr>
          <w:rFonts w:ascii="Times New Roman" w:hAnsi="Times New Roman" w:cs="Times New Roman"/>
          <w:color w:val="222222"/>
          <w:sz w:val="24"/>
          <w:szCs w:val="24"/>
          <w:shd w:val="clear" w:color="auto" w:fill="FFFFFF"/>
        </w:rPr>
        <w:t xml:space="preserve"> (eds.) </w:t>
      </w:r>
      <w:r w:rsidR="004217E4" w:rsidRPr="00550946">
        <w:rPr>
          <w:rFonts w:ascii="Times New Roman" w:hAnsi="Times New Roman" w:cs="Times New Roman"/>
          <w:i/>
          <w:color w:val="222222"/>
          <w:sz w:val="24"/>
          <w:szCs w:val="24"/>
          <w:shd w:val="clear" w:color="auto" w:fill="FFFFFF"/>
        </w:rPr>
        <w:t>Handbook of Development Economics</w:t>
      </w:r>
      <w:r w:rsidR="004217E4">
        <w:rPr>
          <w:rFonts w:ascii="Times New Roman" w:hAnsi="Times New Roman" w:cs="Times New Roman"/>
          <w:color w:val="222222"/>
          <w:sz w:val="24"/>
          <w:szCs w:val="24"/>
          <w:shd w:val="clear" w:color="auto" w:fill="FFFFFF"/>
        </w:rPr>
        <w:t>, Volume 1</w:t>
      </w:r>
      <w:r w:rsidR="00B603B0">
        <w:rPr>
          <w:rFonts w:ascii="Times New Roman" w:hAnsi="Times New Roman" w:cs="Times New Roman"/>
          <w:color w:val="222222"/>
          <w:sz w:val="24"/>
          <w:szCs w:val="24"/>
          <w:shd w:val="clear" w:color="auto" w:fill="FFFFFF"/>
        </w:rPr>
        <w:t>, Amsterdam: North-Holland,</w:t>
      </w:r>
      <w:r w:rsidR="004217E4">
        <w:rPr>
          <w:rFonts w:ascii="Times New Roman" w:hAnsi="Times New Roman" w:cs="Times New Roman"/>
          <w:color w:val="222222"/>
          <w:sz w:val="24"/>
          <w:szCs w:val="24"/>
          <w:shd w:val="clear" w:color="auto" w:fill="FFFFFF"/>
        </w:rPr>
        <w:t xml:space="preserve"> 275-331</w:t>
      </w:r>
      <w:r w:rsidR="00B15888" w:rsidRPr="00550946">
        <w:rPr>
          <w:rFonts w:ascii="Times New Roman" w:hAnsi="Times New Roman" w:cs="Times New Roman"/>
          <w:color w:val="222222"/>
          <w:sz w:val="24"/>
          <w:szCs w:val="24"/>
          <w:shd w:val="clear" w:color="auto" w:fill="FFFFFF"/>
        </w:rPr>
        <w:t>.</w:t>
      </w:r>
    </w:p>
    <w:p w14:paraId="53B2A44E" w14:textId="0DBCD674" w:rsidR="004217E4" w:rsidRPr="00A623F8" w:rsidRDefault="004217E4" w:rsidP="00D117A0">
      <w:pPr>
        <w:pStyle w:val="Ref"/>
        <w:ind w:left="720" w:hanging="720"/>
        <w:jc w:val="both"/>
        <w:rPr>
          <w:sz w:val="24"/>
          <w:szCs w:val="24"/>
        </w:rPr>
      </w:pPr>
      <w:proofErr w:type="spellStart"/>
      <w:r w:rsidRPr="00D117A0">
        <w:rPr>
          <w:sz w:val="24"/>
          <w:szCs w:val="24"/>
        </w:rPr>
        <w:t>Timmer</w:t>
      </w:r>
      <w:proofErr w:type="spellEnd"/>
      <w:r w:rsidRPr="00D117A0">
        <w:rPr>
          <w:sz w:val="24"/>
          <w:szCs w:val="24"/>
        </w:rPr>
        <w:t>, C. Peter, 2005. Agriculture and pro-poor growth: An Asian perspective. Available at</w:t>
      </w:r>
      <w:r w:rsidR="00D117A0">
        <w:rPr>
          <w:sz w:val="24"/>
          <w:szCs w:val="24"/>
        </w:rPr>
        <w:t xml:space="preserve"> </w:t>
      </w:r>
      <w:r w:rsidRPr="00D117A0">
        <w:rPr>
          <w:sz w:val="24"/>
          <w:szCs w:val="24"/>
        </w:rPr>
        <w:t>SSRN 1114155.</w:t>
      </w:r>
    </w:p>
    <w:p w14:paraId="6132974A" w14:textId="1B673E58" w:rsidR="00165757" w:rsidRPr="00B15888" w:rsidRDefault="00165757" w:rsidP="004B61C7">
      <w:pPr>
        <w:rPr>
          <w:rFonts w:ascii="Times New Roman" w:hAnsi="Times New Roman" w:cs="Times New Roman"/>
          <w:sz w:val="24"/>
          <w:szCs w:val="24"/>
        </w:rPr>
      </w:pPr>
    </w:p>
    <w:sectPr w:rsidR="00165757" w:rsidRPr="00B15888" w:rsidSect="00EF7F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D11F5" w14:textId="77777777" w:rsidR="00D52F18" w:rsidRDefault="00D52F18" w:rsidP="002773C2">
      <w:pPr>
        <w:spacing w:line="240" w:lineRule="auto"/>
      </w:pPr>
      <w:r>
        <w:separator/>
      </w:r>
    </w:p>
  </w:endnote>
  <w:endnote w:type="continuationSeparator" w:id="0">
    <w:p w14:paraId="79A98A48" w14:textId="77777777" w:rsidR="00D52F18" w:rsidRDefault="00D52F18" w:rsidP="00277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77AE5" w14:textId="77777777" w:rsidR="00D52F18" w:rsidRDefault="00D52F18" w:rsidP="002773C2">
      <w:pPr>
        <w:spacing w:line="240" w:lineRule="auto"/>
      </w:pPr>
      <w:r>
        <w:separator/>
      </w:r>
    </w:p>
  </w:footnote>
  <w:footnote w:type="continuationSeparator" w:id="0">
    <w:p w14:paraId="08D1D316" w14:textId="77777777" w:rsidR="00D52F18" w:rsidRDefault="00D52F18" w:rsidP="002773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364"/>
    </w:tblGrid>
    <w:tr w:rsidR="00D52F18" w:rsidRPr="0088634D" w14:paraId="145141A4" w14:textId="77777777" w:rsidTr="00D95439">
      <w:tc>
        <w:tcPr>
          <w:tcW w:w="1152" w:type="dxa"/>
        </w:tcPr>
        <w:p w14:paraId="6EA9EDF8" w14:textId="77777777" w:rsidR="00D52F18" w:rsidRPr="0088634D" w:rsidRDefault="00D52F18" w:rsidP="00D95439">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79514C">
            <w:rPr>
              <w:rFonts w:ascii="Cambria" w:hAnsi="Cambria"/>
              <w:noProof/>
            </w:rPr>
            <w:t>22</w:t>
          </w:r>
          <w:r w:rsidRPr="0088634D">
            <w:rPr>
              <w:rFonts w:ascii="Cambria" w:hAnsi="Cambria"/>
            </w:rPr>
            <w:fldChar w:fldCharType="end"/>
          </w:r>
        </w:p>
      </w:tc>
      <w:tc>
        <w:tcPr>
          <w:tcW w:w="0" w:type="auto"/>
          <w:noWrap/>
        </w:tcPr>
        <w:p w14:paraId="081B246E" w14:textId="22C47C19" w:rsidR="00D52F18" w:rsidRPr="0088634D" w:rsidRDefault="005776ED" w:rsidP="005776ED">
          <w:pPr>
            <w:pStyle w:val="Header"/>
            <w:jc w:val="right"/>
            <w:rPr>
              <w:rFonts w:ascii="Cambria" w:hAnsi="Cambria"/>
            </w:rPr>
          </w:pPr>
          <w:r>
            <w:rPr>
              <w:rFonts w:ascii="Cambria" w:hAnsi="Cambria"/>
            </w:rPr>
            <w:t>October 11</w:t>
          </w:r>
          <w:r w:rsidR="00D52F18">
            <w:rPr>
              <w:rFonts w:ascii="Cambria" w:hAnsi="Cambria"/>
            </w:rPr>
            <w:t>, 2016</w:t>
          </w:r>
        </w:p>
      </w:tc>
    </w:tr>
  </w:tbl>
  <w:p w14:paraId="0FAFAA18" w14:textId="77777777" w:rsidR="00D52F18" w:rsidRDefault="00D52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DB5AC" w14:textId="59B670E7" w:rsidR="00D52F18" w:rsidRDefault="005776ED" w:rsidP="008137FD">
    <w:pPr>
      <w:pStyle w:val="Header"/>
      <w:jc w:val="right"/>
    </w:pPr>
    <w:r>
      <w:t>October 11</w:t>
    </w:r>
    <w:r w:rsidR="00C8331A">
      <w:t>,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2464"/>
    <w:multiLevelType w:val="hybridMultilevel"/>
    <w:tmpl w:val="62F84578"/>
    <w:lvl w:ilvl="0" w:tplc="83F01F2E">
      <w:start w:val="1"/>
      <w:numFmt w:val="decimal"/>
      <w:lvlText w:val="%1."/>
      <w:lvlJc w:val="left"/>
      <w:pPr>
        <w:tabs>
          <w:tab w:val="num" w:pos="720"/>
        </w:tabs>
        <w:ind w:left="737" w:hanging="45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EDF3BE5"/>
    <w:multiLevelType w:val="hybridMultilevel"/>
    <w:tmpl w:val="B5DE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C211E"/>
    <w:multiLevelType w:val="multilevel"/>
    <w:tmpl w:val="54024C66"/>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746D0F"/>
    <w:multiLevelType w:val="hybridMultilevel"/>
    <w:tmpl w:val="B5DE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E4742"/>
    <w:multiLevelType w:val="hybridMultilevel"/>
    <w:tmpl w:val="B5DE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C6BC4"/>
    <w:multiLevelType w:val="multilevel"/>
    <w:tmpl w:val="223846F4"/>
    <w:lvl w:ilvl="0">
      <w:start w:val="9"/>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4203AF4"/>
    <w:multiLevelType w:val="multilevel"/>
    <w:tmpl w:val="AF40AC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5E92B63"/>
    <w:multiLevelType w:val="hybridMultilevel"/>
    <w:tmpl w:val="71C87EDE"/>
    <w:lvl w:ilvl="0" w:tplc="74DCBE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973CF1"/>
    <w:multiLevelType w:val="hybridMultilevel"/>
    <w:tmpl w:val="7D84B046"/>
    <w:lvl w:ilvl="0" w:tplc="B8FAF2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43063"/>
    <w:multiLevelType w:val="multilevel"/>
    <w:tmpl w:val="0562F7E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8"/>
  </w:num>
  <w:num w:numId="4">
    <w:abstractNumId w:val="1"/>
  </w:num>
  <w:num w:numId="5">
    <w:abstractNumId w:val="7"/>
  </w:num>
  <w:num w:numId="6">
    <w:abstractNumId w:val="0"/>
  </w:num>
  <w:num w:numId="7">
    <w:abstractNumId w:val="6"/>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C08"/>
    <w:rsid w:val="00014E14"/>
    <w:rsid w:val="00032164"/>
    <w:rsid w:val="00041615"/>
    <w:rsid w:val="00042CCF"/>
    <w:rsid w:val="00054E3E"/>
    <w:rsid w:val="000634A9"/>
    <w:rsid w:val="0007168D"/>
    <w:rsid w:val="0008605A"/>
    <w:rsid w:val="00091BF0"/>
    <w:rsid w:val="000922D2"/>
    <w:rsid w:val="00096CC9"/>
    <w:rsid w:val="000A13D3"/>
    <w:rsid w:val="000C2FA0"/>
    <w:rsid w:val="000D7306"/>
    <w:rsid w:val="000E06E6"/>
    <w:rsid w:val="000E21A2"/>
    <w:rsid w:val="000F02B5"/>
    <w:rsid w:val="0010568D"/>
    <w:rsid w:val="00106774"/>
    <w:rsid w:val="00110214"/>
    <w:rsid w:val="001121DB"/>
    <w:rsid w:val="001154A0"/>
    <w:rsid w:val="00115D23"/>
    <w:rsid w:val="00120268"/>
    <w:rsid w:val="00134EC0"/>
    <w:rsid w:val="001353F9"/>
    <w:rsid w:val="00142EB5"/>
    <w:rsid w:val="00144581"/>
    <w:rsid w:val="0014485A"/>
    <w:rsid w:val="001552FF"/>
    <w:rsid w:val="00163E34"/>
    <w:rsid w:val="00165757"/>
    <w:rsid w:val="0017016B"/>
    <w:rsid w:val="0017023B"/>
    <w:rsid w:val="0017358A"/>
    <w:rsid w:val="00173B2F"/>
    <w:rsid w:val="00182EC3"/>
    <w:rsid w:val="00184D54"/>
    <w:rsid w:val="001857A1"/>
    <w:rsid w:val="00187E9A"/>
    <w:rsid w:val="001A1BB0"/>
    <w:rsid w:val="001A66B0"/>
    <w:rsid w:val="001A73A8"/>
    <w:rsid w:val="001B4A06"/>
    <w:rsid w:val="001E358D"/>
    <w:rsid w:val="001E39AA"/>
    <w:rsid w:val="001F1FF5"/>
    <w:rsid w:val="0020085B"/>
    <w:rsid w:val="00207B3C"/>
    <w:rsid w:val="00212D38"/>
    <w:rsid w:val="00214B7C"/>
    <w:rsid w:val="00215AB3"/>
    <w:rsid w:val="002178D3"/>
    <w:rsid w:val="00224135"/>
    <w:rsid w:val="00224428"/>
    <w:rsid w:val="0025348D"/>
    <w:rsid w:val="00257387"/>
    <w:rsid w:val="00262539"/>
    <w:rsid w:val="00266E21"/>
    <w:rsid w:val="00270C60"/>
    <w:rsid w:val="002727B1"/>
    <w:rsid w:val="00276D77"/>
    <w:rsid w:val="002773C2"/>
    <w:rsid w:val="00281E56"/>
    <w:rsid w:val="00285D1C"/>
    <w:rsid w:val="00287138"/>
    <w:rsid w:val="00287477"/>
    <w:rsid w:val="00292755"/>
    <w:rsid w:val="0029521B"/>
    <w:rsid w:val="002A0930"/>
    <w:rsid w:val="002A603E"/>
    <w:rsid w:val="002A736A"/>
    <w:rsid w:val="002C246E"/>
    <w:rsid w:val="002C71F6"/>
    <w:rsid w:val="002C7F63"/>
    <w:rsid w:val="002D00AA"/>
    <w:rsid w:val="002D2EA2"/>
    <w:rsid w:val="002D4974"/>
    <w:rsid w:val="002E32B1"/>
    <w:rsid w:val="002E3A09"/>
    <w:rsid w:val="002E6584"/>
    <w:rsid w:val="003101E4"/>
    <w:rsid w:val="003115AF"/>
    <w:rsid w:val="00314172"/>
    <w:rsid w:val="00314E0F"/>
    <w:rsid w:val="00327A07"/>
    <w:rsid w:val="003363F4"/>
    <w:rsid w:val="00337D6D"/>
    <w:rsid w:val="00337F6B"/>
    <w:rsid w:val="003458C5"/>
    <w:rsid w:val="00354575"/>
    <w:rsid w:val="00360248"/>
    <w:rsid w:val="00360B1C"/>
    <w:rsid w:val="00367096"/>
    <w:rsid w:val="0037481C"/>
    <w:rsid w:val="0038504B"/>
    <w:rsid w:val="003A4553"/>
    <w:rsid w:val="003A537F"/>
    <w:rsid w:val="003A7160"/>
    <w:rsid w:val="003B52D7"/>
    <w:rsid w:val="003C16CD"/>
    <w:rsid w:val="003C6034"/>
    <w:rsid w:val="003D10C4"/>
    <w:rsid w:val="003D6039"/>
    <w:rsid w:val="003E1AF7"/>
    <w:rsid w:val="003E1D12"/>
    <w:rsid w:val="003E32B2"/>
    <w:rsid w:val="003E37E5"/>
    <w:rsid w:val="003E41A1"/>
    <w:rsid w:val="003F3A87"/>
    <w:rsid w:val="003F7A0A"/>
    <w:rsid w:val="00400F2D"/>
    <w:rsid w:val="00412DAA"/>
    <w:rsid w:val="00417D7C"/>
    <w:rsid w:val="00421229"/>
    <w:rsid w:val="004217E4"/>
    <w:rsid w:val="0042236C"/>
    <w:rsid w:val="004258AA"/>
    <w:rsid w:val="004374A7"/>
    <w:rsid w:val="00443F95"/>
    <w:rsid w:val="00443FCB"/>
    <w:rsid w:val="004531B5"/>
    <w:rsid w:val="00457F77"/>
    <w:rsid w:val="004643AA"/>
    <w:rsid w:val="00464ED2"/>
    <w:rsid w:val="00477864"/>
    <w:rsid w:val="004829F2"/>
    <w:rsid w:val="00482D11"/>
    <w:rsid w:val="00484762"/>
    <w:rsid w:val="00486435"/>
    <w:rsid w:val="00487649"/>
    <w:rsid w:val="00494A20"/>
    <w:rsid w:val="004953BD"/>
    <w:rsid w:val="00496328"/>
    <w:rsid w:val="00497732"/>
    <w:rsid w:val="004A211C"/>
    <w:rsid w:val="004A3F04"/>
    <w:rsid w:val="004B472C"/>
    <w:rsid w:val="004B4D29"/>
    <w:rsid w:val="004B61C7"/>
    <w:rsid w:val="004B6624"/>
    <w:rsid w:val="004B67DF"/>
    <w:rsid w:val="004D4087"/>
    <w:rsid w:val="004E5D21"/>
    <w:rsid w:val="004F64B7"/>
    <w:rsid w:val="004F73C1"/>
    <w:rsid w:val="00504E75"/>
    <w:rsid w:val="00507993"/>
    <w:rsid w:val="00513DA6"/>
    <w:rsid w:val="0052024A"/>
    <w:rsid w:val="00521ECC"/>
    <w:rsid w:val="00523682"/>
    <w:rsid w:val="00531CC4"/>
    <w:rsid w:val="00536D59"/>
    <w:rsid w:val="00550946"/>
    <w:rsid w:val="005527D4"/>
    <w:rsid w:val="005618A7"/>
    <w:rsid w:val="00562590"/>
    <w:rsid w:val="00563D92"/>
    <w:rsid w:val="005704D6"/>
    <w:rsid w:val="00571B65"/>
    <w:rsid w:val="00573642"/>
    <w:rsid w:val="005776ED"/>
    <w:rsid w:val="00586E46"/>
    <w:rsid w:val="00591A02"/>
    <w:rsid w:val="005A6B20"/>
    <w:rsid w:val="005B0729"/>
    <w:rsid w:val="005B0F2B"/>
    <w:rsid w:val="005B3506"/>
    <w:rsid w:val="005B4257"/>
    <w:rsid w:val="005B6304"/>
    <w:rsid w:val="005C1F0B"/>
    <w:rsid w:val="005C235E"/>
    <w:rsid w:val="005D1555"/>
    <w:rsid w:val="005D35B7"/>
    <w:rsid w:val="005D7177"/>
    <w:rsid w:val="005D7421"/>
    <w:rsid w:val="005E1E64"/>
    <w:rsid w:val="005E5ED5"/>
    <w:rsid w:val="005F0403"/>
    <w:rsid w:val="00601E20"/>
    <w:rsid w:val="00607CA1"/>
    <w:rsid w:val="0061439C"/>
    <w:rsid w:val="00614596"/>
    <w:rsid w:val="00621860"/>
    <w:rsid w:val="00623075"/>
    <w:rsid w:val="00624D51"/>
    <w:rsid w:val="0063154B"/>
    <w:rsid w:val="0063240E"/>
    <w:rsid w:val="00633B66"/>
    <w:rsid w:val="006354CF"/>
    <w:rsid w:val="006374C9"/>
    <w:rsid w:val="006467F2"/>
    <w:rsid w:val="00656517"/>
    <w:rsid w:val="00670DD8"/>
    <w:rsid w:val="006717E9"/>
    <w:rsid w:val="00677E74"/>
    <w:rsid w:val="006847C6"/>
    <w:rsid w:val="0069066A"/>
    <w:rsid w:val="006A1F56"/>
    <w:rsid w:val="006A4B07"/>
    <w:rsid w:val="006B358D"/>
    <w:rsid w:val="006B533B"/>
    <w:rsid w:val="006D0DB0"/>
    <w:rsid w:val="006D0DC6"/>
    <w:rsid w:val="006D38CC"/>
    <w:rsid w:val="006D6877"/>
    <w:rsid w:val="006E32AC"/>
    <w:rsid w:val="006E5897"/>
    <w:rsid w:val="006F2C34"/>
    <w:rsid w:val="006F6795"/>
    <w:rsid w:val="00705894"/>
    <w:rsid w:val="00710107"/>
    <w:rsid w:val="00710510"/>
    <w:rsid w:val="00711816"/>
    <w:rsid w:val="00712B73"/>
    <w:rsid w:val="00721AB8"/>
    <w:rsid w:val="0072303F"/>
    <w:rsid w:val="007304CD"/>
    <w:rsid w:val="00730D1C"/>
    <w:rsid w:val="00733B68"/>
    <w:rsid w:val="00736BAA"/>
    <w:rsid w:val="007373C9"/>
    <w:rsid w:val="007415D2"/>
    <w:rsid w:val="007418AC"/>
    <w:rsid w:val="00744A9A"/>
    <w:rsid w:val="00752CE9"/>
    <w:rsid w:val="007670B7"/>
    <w:rsid w:val="007671C4"/>
    <w:rsid w:val="007718F3"/>
    <w:rsid w:val="00782472"/>
    <w:rsid w:val="00791462"/>
    <w:rsid w:val="0079251F"/>
    <w:rsid w:val="007944CC"/>
    <w:rsid w:val="00794916"/>
    <w:rsid w:val="0079514C"/>
    <w:rsid w:val="00795402"/>
    <w:rsid w:val="00795809"/>
    <w:rsid w:val="007A65C2"/>
    <w:rsid w:val="007A6E44"/>
    <w:rsid w:val="007B056A"/>
    <w:rsid w:val="007B51A1"/>
    <w:rsid w:val="007B7861"/>
    <w:rsid w:val="007C5F63"/>
    <w:rsid w:val="007D0F03"/>
    <w:rsid w:val="007D1E9B"/>
    <w:rsid w:val="007D6A7E"/>
    <w:rsid w:val="007E174B"/>
    <w:rsid w:val="007E27D0"/>
    <w:rsid w:val="007F65CB"/>
    <w:rsid w:val="00810EB2"/>
    <w:rsid w:val="008137FD"/>
    <w:rsid w:val="00821BB4"/>
    <w:rsid w:val="00822FCF"/>
    <w:rsid w:val="0082571F"/>
    <w:rsid w:val="008322CB"/>
    <w:rsid w:val="00843EE2"/>
    <w:rsid w:val="008476A8"/>
    <w:rsid w:val="00847C6B"/>
    <w:rsid w:val="0085512F"/>
    <w:rsid w:val="0085669B"/>
    <w:rsid w:val="008612CE"/>
    <w:rsid w:val="0087669A"/>
    <w:rsid w:val="00885C58"/>
    <w:rsid w:val="00894338"/>
    <w:rsid w:val="00897AE4"/>
    <w:rsid w:val="008A2F22"/>
    <w:rsid w:val="008B026E"/>
    <w:rsid w:val="008B5FC1"/>
    <w:rsid w:val="008B7D26"/>
    <w:rsid w:val="008C1564"/>
    <w:rsid w:val="008D08D9"/>
    <w:rsid w:val="008D1FDB"/>
    <w:rsid w:val="008D3275"/>
    <w:rsid w:val="008D54D6"/>
    <w:rsid w:val="008E0A9E"/>
    <w:rsid w:val="008E2577"/>
    <w:rsid w:val="008E2A3A"/>
    <w:rsid w:val="008E5B2C"/>
    <w:rsid w:val="008F04A2"/>
    <w:rsid w:val="008F0E33"/>
    <w:rsid w:val="00903082"/>
    <w:rsid w:val="00923607"/>
    <w:rsid w:val="00924B57"/>
    <w:rsid w:val="0093043C"/>
    <w:rsid w:val="00934F14"/>
    <w:rsid w:val="0094309A"/>
    <w:rsid w:val="00951CC9"/>
    <w:rsid w:val="009610C2"/>
    <w:rsid w:val="009611E1"/>
    <w:rsid w:val="0096274C"/>
    <w:rsid w:val="009730A4"/>
    <w:rsid w:val="00973964"/>
    <w:rsid w:val="0097701A"/>
    <w:rsid w:val="0097701B"/>
    <w:rsid w:val="00985A58"/>
    <w:rsid w:val="00993AD7"/>
    <w:rsid w:val="009E2617"/>
    <w:rsid w:val="009E5925"/>
    <w:rsid w:val="009E7972"/>
    <w:rsid w:val="009F0B8B"/>
    <w:rsid w:val="009F3BDA"/>
    <w:rsid w:val="009F4197"/>
    <w:rsid w:val="009F43FA"/>
    <w:rsid w:val="009F7E2A"/>
    <w:rsid w:val="00A0343F"/>
    <w:rsid w:val="00A03B1B"/>
    <w:rsid w:val="00A0533C"/>
    <w:rsid w:val="00A105E6"/>
    <w:rsid w:val="00A13EB4"/>
    <w:rsid w:val="00A15FA2"/>
    <w:rsid w:val="00A164A6"/>
    <w:rsid w:val="00A17AB9"/>
    <w:rsid w:val="00A30FDC"/>
    <w:rsid w:val="00A379BA"/>
    <w:rsid w:val="00A42AE7"/>
    <w:rsid w:val="00A54870"/>
    <w:rsid w:val="00A57EDA"/>
    <w:rsid w:val="00A623F8"/>
    <w:rsid w:val="00A82662"/>
    <w:rsid w:val="00A831F9"/>
    <w:rsid w:val="00A92C39"/>
    <w:rsid w:val="00A9469A"/>
    <w:rsid w:val="00A95427"/>
    <w:rsid w:val="00A95873"/>
    <w:rsid w:val="00AA0062"/>
    <w:rsid w:val="00AB2273"/>
    <w:rsid w:val="00AB7002"/>
    <w:rsid w:val="00AC1DA1"/>
    <w:rsid w:val="00AF313E"/>
    <w:rsid w:val="00B000C6"/>
    <w:rsid w:val="00B0394F"/>
    <w:rsid w:val="00B04EBD"/>
    <w:rsid w:val="00B07201"/>
    <w:rsid w:val="00B07FB4"/>
    <w:rsid w:val="00B15888"/>
    <w:rsid w:val="00B27A78"/>
    <w:rsid w:val="00B33DE9"/>
    <w:rsid w:val="00B3508E"/>
    <w:rsid w:val="00B46FF2"/>
    <w:rsid w:val="00B47671"/>
    <w:rsid w:val="00B529AE"/>
    <w:rsid w:val="00B548CC"/>
    <w:rsid w:val="00B56ADC"/>
    <w:rsid w:val="00B603B0"/>
    <w:rsid w:val="00B656A4"/>
    <w:rsid w:val="00B67D55"/>
    <w:rsid w:val="00B7735A"/>
    <w:rsid w:val="00B7769F"/>
    <w:rsid w:val="00B80115"/>
    <w:rsid w:val="00B81AA3"/>
    <w:rsid w:val="00B87F76"/>
    <w:rsid w:val="00BA2864"/>
    <w:rsid w:val="00BA456D"/>
    <w:rsid w:val="00BA6E1C"/>
    <w:rsid w:val="00BB5E32"/>
    <w:rsid w:val="00BB79B3"/>
    <w:rsid w:val="00BB7F49"/>
    <w:rsid w:val="00BC29F8"/>
    <w:rsid w:val="00BC2AF2"/>
    <w:rsid w:val="00BC4683"/>
    <w:rsid w:val="00BC6A13"/>
    <w:rsid w:val="00BC7FD2"/>
    <w:rsid w:val="00BD5549"/>
    <w:rsid w:val="00BD5863"/>
    <w:rsid w:val="00BD5B4D"/>
    <w:rsid w:val="00BE4191"/>
    <w:rsid w:val="00BE5F9F"/>
    <w:rsid w:val="00BF0D66"/>
    <w:rsid w:val="00BF3ECD"/>
    <w:rsid w:val="00BF49BD"/>
    <w:rsid w:val="00C01A34"/>
    <w:rsid w:val="00C05252"/>
    <w:rsid w:val="00C10DD6"/>
    <w:rsid w:val="00C22F1B"/>
    <w:rsid w:val="00C31403"/>
    <w:rsid w:val="00C3532A"/>
    <w:rsid w:val="00C3610C"/>
    <w:rsid w:val="00C36A09"/>
    <w:rsid w:val="00C41C88"/>
    <w:rsid w:val="00C41DDF"/>
    <w:rsid w:val="00C70047"/>
    <w:rsid w:val="00C7706F"/>
    <w:rsid w:val="00C77628"/>
    <w:rsid w:val="00C8331A"/>
    <w:rsid w:val="00C84B71"/>
    <w:rsid w:val="00C91EDC"/>
    <w:rsid w:val="00C92C08"/>
    <w:rsid w:val="00CA1152"/>
    <w:rsid w:val="00CA4DE7"/>
    <w:rsid w:val="00CA54CD"/>
    <w:rsid w:val="00CB556F"/>
    <w:rsid w:val="00CC4C11"/>
    <w:rsid w:val="00CC551C"/>
    <w:rsid w:val="00CC770A"/>
    <w:rsid w:val="00CD5CC8"/>
    <w:rsid w:val="00CD6216"/>
    <w:rsid w:val="00CD704D"/>
    <w:rsid w:val="00CE42BD"/>
    <w:rsid w:val="00CE575B"/>
    <w:rsid w:val="00CE7E32"/>
    <w:rsid w:val="00CF1182"/>
    <w:rsid w:val="00CF34F1"/>
    <w:rsid w:val="00CF57BD"/>
    <w:rsid w:val="00CF7E0F"/>
    <w:rsid w:val="00D00467"/>
    <w:rsid w:val="00D01C37"/>
    <w:rsid w:val="00D03966"/>
    <w:rsid w:val="00D05B6B"/>
    <w:rsid w:val="00D117A0"/>
    <w:rsid w:val="00D12E3C"/>
    <w:rsid w:val="00D15C8E"/>
    <w:rsid w:val="00D212E8"/>
    <w:rsid w:val="00D24DF6"/>
    <w:rsid w:val="00D26F77"/>
    <w:rsid w:val="00D316FA"/>
    <w:rsid w:val="00D32A1B"/>
    <w:rsid w:val="00D37840"/>
    <w:rsid w:val="00D379F7"/>
    <w:rsid w:val="00D43EC9"/>
    <w:rsid w:val="00D476AC"/>
    <w:rsid w:val="00D52CDB"/>
    <w:rsid w:val="00D52F18"/>
    <w:rsid w:val="00D56BA6"/>
    <w:rsid w:val="00D5704C"/>
    <w:rsid w:val="00D60D59"/>
    <w:rsid w:val="00D748CB"/>
    <w:rsid w:val="00D76227"/>
    <w:rsid w:val="00D764B8"/>
    <w:rsid w:val="00D903C3"/>
    <w:rsid w:val="00D932C9"/>
    <w:rsid w:val="00D93E24"/>
    <w:rsid w:val="00D94F48"/>
    <w:rsid w:val="00D95439"/>
    <w:rsid w:val="00D96158"/>
    <w:rsid w:val="00DC73B1"/>
    <w:rsid w:val="00DD02B1"/>
    <w:rsid w:val="00DD3D68"/>
    <w:rsid w:val="00DE26E1"/>
    <w:rsid w:val="00DE2FCB"/>
    <w:rsid w:val="00DE596E"/>
    <w:rsid w:val="00DF3A6A"/>
    <w:rsid w:val="00E02AFF"/>
    <w:rsid w:val="00E041E3"/>
    <w:rsid w:val="00E05177"/>
    <w:rsid w:val="00E05785"/>
    <w:rsid w:val="00E1023D"/>
    <w:rsid w:val="00E13F37"/>
    <w:rsid w:val="00E20007"/>
    <w:rsid w:val="00E32261"/>
    <w:rsid w:val="00E36F2C"/>
    <w:rsid w:val="00E42DC8"/>
    <w:rsid w:val="00E44D07"/>
    <w:rsid w:val="00E462BB"/>
    <w:rsid w:val="00E54F02"/>
    <w:rsid w:val="00E63B8C"/>
    <w:rsid w:val="00E70A30"/>
    <w:rsid w:val="00E72E84"/>
    <w:rsid w:val="00E86334"/>
    <w:rsid w:val="00E87012"/>
    <w:rsid w:val="00E90E8A"/>
    <w:rsid w:val="00E94DFB"/>
    <w:rsid w:val="00EA0E39"/>
    <w:rsid w:val="00EA2398"/>
    <w:rsid w:val="00EA43D7"/>
    <w:rsid w:val="00EA6630"/>
    <w:rsid w:val="00EB3379"/>
    <w:rsid w:val="00EC5A2C"/>
    <w:rsid w:val="00EE066D"/>
    <w:rsid w:val="00EE0ED0"/>
    <w:rsid w:val="00EE7993"/>
    <w:rsid w:val="00EF7FD9"/>
    <w:rsid w:val="00F00BA8"/>
    <w:rsid w:val="00F01E62"/>
    <w:rsid w:val="00F163DD"/>
    <w:rsid w:val="00F171F8"/>
    <w:rsid w:val="00F24D3E"/>
    <w:rsid w:val="00F35A72"/>
    <w:rsid w:val="00F37112"/>
    <w:rsid w:val="00F51C81"/>
    <w:rsid w:val="00F52337"/>
    <w:rsid w:val="00F534CE"/>
    <w:rsid w:val="00F54C73"/>
    <w:rsid w:val="00F565D2"/>
    <w:rsid w:val="00F57E10"/>
    <w:rsid w:val="00F60577"/>
    <w:rsid w:val="00F62FE5"/>
    <w:rsid w:val="00F64ED0"/>
    <w:rsid w:val="00F72034"/>
    <w:rsid w:val="00F80150"/>
    <w:rsid w:val="00F81077"/>
    <w:rsid w:val="00F81E36"/>
    <w:rsid w:val="00FA0620"/>
    <w:rsid w:val="00FA4DA9"/>
    <w:rsid w:val="00FB7D6D"/>
    <w:rsid w:val="00FC094A"/>
    <w:rsid w:val="00FC1B5D"/>
    <w:rsid w:val="00FC2DE1"/>
    <w:rsid w:val="00FD17C4"/>
    <w:rsid w:val="00FD6068"/>
    <w:rsid w:val="00FD628C"/>
    <w:rsid w:val="00FD7E50"/>
    <w:rsid w:val="00FE061C"/>
    <w:rsid w:val="00FE128F"/>
    <w:rsid w:val="00FE7FDE"/>
    <w:rsid w:val="00FF1089"/>
    <w:rsid w:val="00FF272D"/>
    <w:rsid w:val="00FF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F7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54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1A"/>
    <w:pPr>
      <w:spacing w:after="160" w:line="259" w:lineRule="auto"/>
      <w:ind w:left="720"/>
      <w:contextualSpacing/>
    </w:pPr>
    <w:rPr>
      <w:rFonts w:eastAsiaTheme="minorEastAsia"/>
      <w:lang w:eastAsia="zh-CN"/>
    </w:rPr>
  </w:style>
  <w:style w:type="character" w:styleId="Hyperlink">
    <w:name w:val="Hyperlink"/>
    <w:basedOn w:val="DefaultParagraphFont"/>
    <w:uiPriority w:val="99"/>
    <w:unhideWhenUsed/>
    <w:rsid w:val="002727B1"/>
    <w:rPr>
      <w:color w:val="0563C1" w:themeColor="hyperlink"/>
      <w:u w:val="single"/>
    </w:rPr>
  </w:style>
  <w:style w:type="character" w:styleId="CommentReference">
    <w:name w:val="annotation reference"/>
    <w:basedOn w:val="DefaultParagraphFont"/>
    <w:uiPriority w:val="99"/>
    <w:semiHidden/>
    <w:unhideWhenUsed/>
    <w:rsid w:val="00F534CE"/>
    <w:rPr>
      <w:sz w:val="16"/>
      <w:szCs w:val="16"/>
    </w:rPr>
  </w:style>
  <w:style w:type="paragraph" w:styleId="CommentText">
    <w:name w:val="annotation text"/>
    <w:basedOn w:val="Normal"/>
    <w:link w:val="CommentTextChar"/>
    <w:uiPriority w:val="99"/>
    <w:semiHidden/>
    <w:unhideWhenUsed/>
    <w:rsid w:val="00F534CE"/>
    <w:pPr>
      <w:spacing w:after="16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534CE"/>
    <w:rPr>
      <w:rFonts w:eastAsiaTheme="minorEastAsia"/>
      <w:sz w:val="20"/>
      <w:szCs w:val="20"/>
      <w:lang w:eastAsia="zh-CN"/>
    </w:rPr>
  </w:style>
  <w:style w:type="paragraph" w:styleId="BalloonText">
    <w:name w:val="Balloon Text"/>
    <w:basedOn w:val="Normal"/>
    <w:link w:val="BalloonTextChar"/>
    <w:uiPriority w:val="99"/>
    <w:semiHidden/>
    <w:unhideWhenUsed/>
    <w:rsid w:val="00F534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CE"/>
    <w:rPr>
      <w:rFonts w:ascii="Segoe UI" w:hAnsi="Segoe UI" w:cs="Segoe UI"/>
      <w:sz w:val="18"/>
      <w:szCs w:val="18"/>
    </w:rPr>
  </w:style>
  <w:style w:type="table" w:styleId="TableGrid">
    <w:name w:val="Table Grid"/>
    <w:basedOn w:val="TableNormal"/>
    <w:uiPriority w:val="59"/>
    <w:rsid w:val="00B87F76"/>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EE2"/>
    <w:pPr>
      <w:tabs>
        <w:tab w:val="center" w:pos="4680"/>
        <w:tab w:val="right" w:pos="9360"/>
      </w:tabs>
      <w:spacing w:line="240" w:lineRule="auto"/>
    </w:pPr>
  </w:style>
  <w:style w:type="character" w:customStyle="1" w:styleId="HeaderChar">
    <w:name w:val="Header Char"/>
    <w:basedOn w:val="DefaultParagraphFont"/>
    <w:link w:val="Header"/>
    <w:uiPriority w:val="99"/>
    <w:rsid w:val="00843EE2"/>
  </w:style>
  <w:style w:type="paragraph" w:styleId="Footer">
    <w:name w:val="footer"/>
    <w:basedOn w:val="Normal"/>
    <w:link w:val="FooterChar"/>
    <w:uiPriority w:val="99"/>
    <w:unhideWhenUsed/>
    <w:rsid w:val="00843EE2"/>
    <w:pPr>
      <w:tabs>
        <w:tab w:val="center" w:pos="4680"/>
        <w:tab w:val="right" w:pos="9360"/>
      </w:tabs>
      <w:spacing w:line="240" w:lineRule="auto"/>
    </w:pPr>
  </w:style>
  <w:style w:type="character" w:customStyle="1" w:styleId="FooterChar">
    <w:name w:val="Footer Char"/>
    <w:basedOn w:val="DefaultParagraphFont"/>
    <w:link w:val="Footer"/>
    <w:uiPriority w:val="99"/>
    <w:rsid w:val="00843EE2"/>
  </w:style>
  <w:style w:type="paragraph" w:styleId="CommentSubject">
    <w:name w:val="annotation subject"/>
    <w:basedOn w:val="CommentText"/>
    <w:next w:val="CommentText"/>
    <w:link w:val="CommentSubjectChar"/>
    <w:uiPriority w:val="99"/>
    <w:semiHidden/>
    <w:unhideWhenUsed/>
    <w:rsid w:val="00281E56"/>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281E56"/>
    <w:rPr>
      <w:rFonts w:eastAsiaTheme="minorEastAsia"/>
      <w:b/>
      <w:bCs/>
      <w:sz w:val="20"/>
      <w:szCs w:val="20"/>
      <w:lang w:eastAsia="zh-CN"/>
    </w:rPr>
  </w:style>
  <w:style w:type="paragraph" w:styleId="Revision">
    <w:name w:val="Revision"/>
    <w:hidden/>
    <w:uiPriority w:val="99"/>
    <w:semiHidden/>
    <w:rsid w:val="0093043C"/>
    <w:pPr>
      <w:spacing w:line="240" w:lineRule="auto"/>
    </w:pPr>
  </w:style>
  <w:style w:type="character" w:customStyle="1" w:styleId="Heading1Char">
    <w:name w:val="Heading 1 Char"/>
    <w:basedOn w:val="DefaultParagraphFont"/>
    <w:link w:val="Heading1"/>
    <w:uiPriority w:val="9"/>
    <w:rsid w:val="0063154B"/>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63154B"/>
    <w:pPr>
      <w:outlineLvl w:val="9"/>
    </w:pPr>
    <w:rPr>
      <w:color w:val="2E74B5" w:themeColor="accent1" w:themeShade="BF"/>
      <w:sz w:val="28"/>
      <w:szCs w:val="28"/>
    </w:rPr>
  </w:style>
  <w:style w:type="paragraph" w:styleId="TOC1">
    <w:name w:val="toc 1"/>
    <w:basedOn w:val="Normal"/>
    <w:next w:val="Normal"/>
    <w:autoRedefine/>
    <w:uiPriority w:val="39"/>
    <w:semiHidden/>
    <w:unhideWhenUsed/>
    <w:rsid w:val="0063154B"/>
    <w:pPr>
      <w:spacing w:before="12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63154B"/>
  </w:style>
  <w:style w:type="paragraph" w:styleId="TOC3">
    <w:name w:val="toc 3"/>
    <w:basedOn w:val="Normal"/>
    <w:next w:val="Normal"/>
    <w:autoRedefine/>
    <w:uiPriority w:val="39"/>
    <w:semiHidden/>
    <w:unhideWhenUsed/>
    <w:rsid w:val="0063154B"/>
    <w:pPr>
      <w:ind w:left="220"/>
    </w:pPr>
    <w:rPr>
      <w:i/>
    </w:rPr>
  </w:style>
  <w:style w:type="paragraph" w:styleId="TOC4">
    <w:name w:val="toc 4"/>
    <w:basedOn w:val="Normal"/>
    <w:next w:val="Normal"/>
    <w:autoRedefine/>
    <w:uiPriority w:val="39"/>
    <w:semiHidden/>
    <w:unhideWhenUsed/>
    <w:rsid w:val="0063154B"/>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63154B"/>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63154B"/>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63154B"/>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63154B"/>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63154B"/>
    <w:pPr>
      <w:pBdr>
        <w:between w:val="double" w:sz="6" w:space="0" w:color="auto"/>
      </w:pBdr>
      <w:ind w:left="1540"/>
    </w:pPr>
    <w:rPr>
      <w:sz w:val="20"/>
      <w:szCs w:val="20"/>
    </w:rPr>
  </w:style>
  <w:style w:type="paragraph" w:customStyle="1" w:styleId="Ref">
    <w:name w:val="Ref"/>
    <w:basedOn w:val="Normal"/>
    <w:link w:val="RefChar"/>
    <w:qFormat/>
    <w:rsid w:val="005527D4"/>
    <w:pPr>
      <w:autoSpaceDE w:val="0"/>
      <w:autoSpaceDN w:val="0"/>
      <w:adjustRightInd w:val="0"/>
      <w:spacing w:before="120" w:after="120" w:line="240" w:lineRule="auto"/>
      <w:ind w:left="562" w:firstLine="720"/>
    </w:pPr>
    <w:rPr>
      <w:rFonts w:ascii="Times New Roman" w:hAnsi="Times New Roman" w:cs="Times New Roman"/>
    </w:rPr>
  </w:style>
  <w:style w:type="character" w:customStyle="1" w:styleId="RefChar">
    <w:name w:val="Ref Char"/>
    <w:basedOn w:val="DefaultParagraphFont"/>
    <w:link w:val="Ref"/>
    <w:rsid w:val="005527D4"/>
    <w:rPr>
      <w:rFonts w:ascii="Times New Roman" w:hAnsi="Times New Roman" w:cs="Times New Roman"/>
    </w:rPr>
  </w:style>
  <w:style w:type="paragraph" w:styleId="Bibliography">
    <w:name w:val="Bibliography"/>
    <w:basedOn w:val="Normal"/>
    <w:next w:val="Normal"/>
    <w:uiPriority w:val="37"/>
    <w:unhideWhenUsed/>
    <w:rsid w:val="006D0DC6"/>
    <w:pPr>
      <w:spacing w:after="160" w:line="259" w:lineRule="auto"/>
    </w:pPr>
    <w:rPr>
      <w:rFonts w:eastAsiaTheme="minorEastAsia"/>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54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1A"/>
    <w:pPr>
      <w:spacing w:after="160" w:line="259" w:lineRule="auto"/>
      <w:ind w:left="720"/>
      <w:contextualSpacing/>
    </w:pPr>
    <w:rPr>
      <w:rFonts w:eastAsiaTheme="minorEastAsia"/>
      <w:lang w:eastAsia="zh-CN"/>
    </w:rPr>
  </w:style>
  <w:style w:type="character" w:styleId="Hyperlink">
    <w:name w:val="Hyperlink"/>
    <w:basedOn w:val="DefaultParagraphFont"/>
    <w:uiPriority w:val="99"/>
    <w:unhideWhenUsed/>
    <w:rsid w:val="002727B1"/>
    <w:rPr>
      <w:color w:val="0563C1" w:themeColor="hyperlink"/>
      <w:u w:val="single"/>
    </w:rPr>
  </w:style>
  <w:style w:type="character" w:styleId="CommentReference">
    <w:name w:val="annotation reference"/>
    <w:basedOn w:val="DefaultParagraphFont"/>
    <w:uiPriority w:val="99"/>
    <w:semiHidden/>
    <w:unhideWhenUsed/>
    <w:rsid w:val="00F534CE"/>
    <w:rPr>
      <w:sz w:val="16"/>
      <w:szCs w:val="16"/>
    </w:rPr>
  </w:style>
  <w:style w:type="paragraph" w:styleId="CommentText">
    <w:name w:val="annotation text"/>
    <w:basedOn w:val="Normal"/>
    <w:link w:val="CommentTextChar"/>
    <w:uiPriority w:val="99"/>
    <w:semiHidden/>
    <w:unhideWhenUsed/>
    <w:rsid w:val="00F534CE"/>
    <w:pPr>
      <w:spacing w:after="16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534CE"/>
    <w:rPr>
      <w:rFonts w:eastAsiaTheme="minorEastAsia"/>
      <w:sz w:val="20"/>
      <w:szCs w:val="20"/>
      <w:lang w:eastAsia="zh-CN"/>
    </w:rPr>
  </w:style>
  <w:style w:type="paragraph" w:styleId="BalloonText">
    <w:name w:val="Balloon Text"/>
    <w:basedOn w:val="Normal"/>
    <w:link w:val="BalloonTextChar"/>
    <w:uiPriority w:val="99"/>
    <w:semiHidden/>
    <w:unhideWhenUsed/>
    <w:rsid w:val="00F534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CE"/>
    <w:rPr>
      <w:rFonts w:ascii="Segoe UI" w:hAnsi="Segoe UI" w:cs="Segoe UI"/>
      <w:sz w:val="18"/>
      <w:szCs w:val="18"/>
    </w:rPr>
  </w:style>
  <w:style w:type="table" w:styleId="TableGrid">
    <w:name w:val="Table Grid"/>
    <w:basedOn w:val="TableNormal"/>
    <w:uiPriority w:val="59"/>
    <w:rsid w:val="00B87F76"/>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EE2"/>
    <w:pPr>
      <w:tabs>
        <w:tab w:val="center" w:pos="4680"/>
        <w:tab w:val="right" w:pos="9360"/>
      </w:tabs>
      <w:spacing w:line="240" w:lineRule="auto"/>
    </w:pPr>
  </w:style>
  <w:style w:type="character" w:customStyle="1" w:styleId="HeaderChar">
    <w:name w:val="Header Char"/>
    <w:basedOn w:val="DefaultParagraphFont"/>
    <w:link w:val="Header"/>
    <w:uiPriority w:val="99"/>
    <w:rsid w:val="00843EE2"/>
  </w:style>
  <w:style w:type="paragraph" w:styleId="Footer">
    <w:name w:val="footer"/>
    <w:basedOn w:val="Normal"/>
    <w:link w:val="FooterChar"/>
    <w:uiPriority w:val="99"/>
    <w:unhideWhenUsed/>
    <w:rsid w:val="00843EE2"/>
    <w:pPr>
      <w:tabs>
        <w:tab w:val="center" w:pos="4680"/>
        <w:tab w:val="right" w:pos="9360"/>
      </w:tabs>
      <w:spacing w:line="240" w:lineRule="auto"/>
    </w:pPr>
  </w:style>
  <w:style w:type="character" w:customStyle="1" w:styleId="FooterChar">
    <w:name w:val="Footer Char"/>
    <w:basedOn w:val="DefaultParagraphFont"/>
    <w:link w:val="Footer"/>
    <w:uiPriority w:val="99"/>
    <w:rsid w:val="00843EE2"/>
  </w:style>
  <w:style w:type="paragraph" w:styleId="CommentSubject">
    <w:name w:val="annotation subject"/>
    <w:basedOn w:val="CommentText"/>
    <w:next w:val="CommentText"/>
    <w:link w:val="CommentSubjectChar"/>
    <w:uiPriority w:val="99"/>
    <w:semiHidden/>
    <w:unhideWhenUsed/>
    <w:rsid w:val="00281E56"/>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281E56"/>
    <w:rPr>
      <w:rFonts w:eastAsiaTheme="minorEastAsia"/>
      <w:b/>
      <w:bCs/>
      <w:sz w:val="20"/>
      <w:szCs w:val="20"/>
      <w:lang w:eastAsia="zh-CN"/>
    </w:rPr>
  </w:style>
  <w:style w:type="paragraph" w:styleId="Revision">
    <w:name w:val="Revision"/>
    <w:hidden/>
    <w:uiPriority w:val="99"/>
    <w:semiHidden/>
    <w:rsid w:val="0093043C"/>
    <w:pPr>
      <w:spacing w:line="240" w:lineRule="auto"/>
    </w:pPr>
  </w:style>
  <w:style w:type="character" w:customStyle="1" w:styleId="Heading1Char">
    <w:name w:val="Heading 1 Char"/>
    <w:basedOn w:val="DefaultParagraphFont"/>
    <w:link w:val="Heading1"/>
    <w:uiPriority w:val="9"/>
    <w:rsid w:val="0063154B"/>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63154B"/>
    <w:pPr>
      <w:outlineLvl w:val="9"/>
    </w:pPr>
    <w:rPr>
      <w:color w:val="2E74B5" w:themeColor="accent1" w:themeShade="BF"/>
      <w:sz w:val="28"/>
      <w:szCs w:val="28"/>
    </w:rPr>
  </w:style>
  <w:style w:type="paragraph" w:styleId="TOC1">
    <w:name w:val="toc 1"/>
    <w:basedOn w:val="Normal"/>
    <w:next w:val="Normal"/>
    <w:autoRedefine/>
    <w:uiPriority w:val="39"/>
    <w:semiHidden/>
    <w:unhideWhenUsed/>
    <w:rsid w:val="0063154B"/>
    <w:pPr>
      <w:spacing w:before="12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63154B"/>
  </w:style>
  <w:style w:type="paragraph" w:styleId="TOC3">
    <w:name w:val="toc 3"/>
    <w:basedOn w:val="Normal"/>
    <w:next w:val="Normal"/>
    <w:autoRedefine/>
    <w:uiPriority w:val="39"/>
    <w:semiHidden/>
    <w:unhideWhenUsed/>
    <w:rsid w:val="0063154B"/>
    <w:pPr>
      <w:ind w:left="220"/>
    </w:pPr>
    <w:rPr>
      <w:i/>
    </w:rPr>
  </w:style>
  <w:style w:type="paragraph" w:styleId="TOC4">
    <w:name w:val="toc 4"/>
    <w:basedOn w:val="Normal"/>
    <w:next w:val="Normal"/>
    <w:autoRedefine/>
    <w:uiPriority w:val="39"/>
    <w:semiHidden/>
    <w:unhideWhenUsed/>
    <w:rsid w:val="0063154B"/>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63154B"/>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63154B"/>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63154B"/>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63154B"/>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63154B"/>
    <w:pPr>
      <w:pBdr>
        <w:between w:val="double" w:sz="6" w:space="0" w:color="auto"/>
      </w:pBdr>
      <w:ind w:left="1540"/>
    </w:pPr>
    <w:rPr>
      <w:sz w:val="20"/>
      <w:szCs w:val="20"/>
    </w:rPr>
  </w:style>
  <w:style w:type="paragraph" w:customStyle="1" w:styleId="Ref">
    <w:name w:val="Ref"/>
    <w:basedOn w:val="Normal"/>
    <w:link w:val="RefChar"/>
    <w:qFormat/>
    <w:rsid w:val="005527D4"/>
    <w:pPr>
      <w:autoSpaceDE w:val="0"/>
      <w:autoSpaceDN w:val="0"/>
      <w:adjustRightInd w:val="0"/>
      <w:spacing w:before="120" w:after="120" w:line="240" w:lineRule="auto"/>
      <w:ind w:left="562" w:firstLine="720"/>
    </w:pPr>
    <w:rPr>
      <w:rFonts w:ascii="Times New Roman" w:hAnsi="Times New Roman" w:cs="Times New Roman"/>
    </w:rPr>
  </w:style>
  <w:style w:type="character" w:customStyle="1" w:styleId="RefChar">
    <w:name w:val="Ref Char"/>
    <w:basedOn w:val="DefaultParagraphFont"/>
    <w:link w:val="Ref"/>
    <w:rsid w:val="005527D4"/>
    <w:rPr>
      <w:rFonts w:ascii="Times New Roman" w:hAnsi="Times New Roman" w:cs="Times New Roman"/>
    </w:rPr>
  </w:style>
  <w:style w:type="paragraph" w:styleId="Bibliography">
    <w:name w:val="Bibliography"/>
    <w:basedOn w:val="Normal"/>
    <w:next w:val="Normal"/>
    <w:uiPriority w:val="37"/>
    <w:unhideWhenUsed/>
    <w:rsid w:val="006D0DC6"/>
    <w:pPr>
      <w:spacing w:after="160" w:line="259"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418">
      <w:bodyDiv w:val="1"/>
      <w:marLeft w:val="0"/>
      <w:marRight w:val="0"/>
      <w:marTop w:val="0"/>
      <w:marBottom w:val="0"/>
      <w:divBdr>
        <w:top w:val="none" w:sz="0" w:space="0" w:color="auto"/>
        <w:left w:val="none" w:sz="0" w:space="0" w:color="auto"/>
        <w:bottom w:val="none" w:sz="0" w:space="0" w:color="auto"/>
        <w:right w:val="none" w:sz="0" w:space="0" w:color="auto"/>
      </w:divBdr>
    </w:div>
    <w:div w:id="801114016">
      <w:bodyDiv w:val="1"/>
      <w:marLeft w:val="0"/>
      <w:marRight w:val="0"/>
      <w:marTop w:val="0"/>
      <w:marBottom w:val="0"/>
      <w:divBdr>
        <w:top w:val="none" w:sz="0" w:space="0" w:color="auto"/>
        <w:left w:val="none" w:sz="0" w:space="0" w:color="auto"/>
        <w:bottom w:val="none" w:sz="0" w:space="0" w:color="auto"/>
        <w:right w:val="none" w:sz="0" w:space="0" w:color="auto"/>
      </w:divBdr>
    </w:div>
    <w:div w:id="819883356">
      <w:bodyDiv w:val="1"/>
      <w:marLeft w:val="0"/>
      <w:marRight w:val="0"/>
      <w:marTop w:val="0"/>
      <w:marBottom w:val="0"/>
      <w:divBdr>
        <w:top w:val="none" w:sz="0" w:space="0" w:color="auto"/>
        <w:left w:val="none" w:sz="0" w:space="0" w:color="auto"/>
        <w:bottom w:val="none" w:sz="0" w:space="0" w:color="auto"/>
        <w:right w:val="none" w:sz="0" w:space="0" w:color="auto"/>
      </w:divBdr>
    </w:div>
    <w:div w:id="1123886118">
      <w:bodyDiv w:val="1"/>
      <w:marLeft w:val="0"/>
      <w:marRight w:val="0"/>
      <w:marTop w:val="0"/>
      <w:marBottom w:val="0"/>
      <w:divBdr>
        <w:top w:val="none" w:sz="0" w:space="0" w:color="auto"/>
        <w:left w:val="none" w:sz="0" w:space="0" w:color="auto"/>
        <w:bottom w:val="none" w:sz="0" w:space="0" w:color="auto"/>
        <w:right w:val="none" w:sz="0" w:space="0" w:color="auto"/>
      </w:divBdr>
    </w:div>
    <w:div w:id="1257207205">
      <w:bodyDiv w:val="1"/>
      <w:marLeft w:val="0"/>
      <w:marRight w:val="0"/>
      <w:marTop w:val="0"/>
      <w:marBottom w:val="0"/>
      <w:divBdr>
        <w:top w:val="none" w:sz="0" w:space="0" w:color="auto"/>
        <w:left w:val="none" w:sz="0" w:space="0" w:color="auto"/>
        <w:bottom w:val="none" w:sz="0" w:space="0" w:color="auto"/>
        <w:right w:val="none" w:sz="0" w:space="0" w:color="auto"/>
      </w:divBdr>
    </w:div>
    <w:div w:id="1511915532">
      <w:bodyDiv w:val="1"/>
      <w:marLeft w:val="0"/>
      <w:marRight w:val="0"/>
      <w:marTop w:val="0"/>
      <w:marBottom w:val="0"/>
      <w:divBdr>
        <w:top w:val="none" w:sz="0" w:space="0" w:color="auto"/>
        <w:left w:val="none" w:sz="0" w:space="0" w:color="auto"/>
        <w:bottom w:val="none" w:sz="0" w:space="0" w:color="auto"/>
        <w:right w:val="none" w:sz="0" w:space="0" w:color="auto"/>
      </w:divBdr>
    </w:div>
    <w:div w:id="1575092338">
      <w:bodyDiv w:val="1"/>
      <w:marLeft w:val="0"/>
      <w:marRight w:val="0"/>
      <w:marTop w:val="0"/>
      <w:marBottom w:val="0"/>
      <w:divBdr>
        <w:top w:val="none" w:sz="0" w:space="0" w:color="auto"/>
        <w:left w:val="none" w:sz="0" w:space="0" w:color="auto"/>
        <w:bottom w:val="none" w:sz="0" w:space="0" w:color="auto"/>
        <w:right w:val="none" w:sz="0" w:space="0" w:color="auto"/>
      </w:divBdr>
    </w:div>
    <w:div w:id="1649826642">
      <w:bodyDiv w:val="1"/>
      <w:marLeft w:val="0"/>
      <w:marRight w:val="0"/>
      <w:marTop w:val="0"/>
      <w:marBottom w:val="0"/>
      <w:divBdr>
        <w:top w:val="none" w:sz="0" w:space="0" w:color="auto"/>
        <w:left w:val="none" w:sz="0" w:space="0" w:color="auto"/>
        <w:bottom w:val="none" w:sz="0" w:space="0" w:color="auto"/>
        <w:right w:val="none" w:sz="0" w:space="0" w:color="auto"/>
      </w:divBdr>
    </w:div>
    <w:div w:id="1805387358">
      <w:bodyDiv w:val="1"/>
      <w:marLeft w:val="0"/>
      <w:marRight w:val="0"/>
      <w:marTop w:val="0"/>
      <w:marBottom w:val="0"/>
      <w:divBdr>
        <w:top w:val="none" w:sz="0" w:space="0" w:color="auto"/>
        <w:left w:val="none" w:sz="0" w:space="0" w:color="auto"/>
        <w:bottom w:val="none" w:sz="0" w:space="0" w:color="auto"/>
        <w:right w:val="none" w:sz="0" w:space="0" w:color="auto"/>
      </w:divBdr>
    </w:div>
    <w:div w:id="2029719060">
      <w:bodyDiv w:val="1"/>
      <w:marLeft w:val="0"/>
      <w:marRight w:val="0"/>
      <w:marTop w:val="0"/>
      <w:marBottom w:val="0"/>
      <w:divBdr>
        <w:top w:val="none" w:sz="0" w:space="0" w:color="auto"/>
        <w:left w:val="none" w:sz="0" w:space="0" w:color="auto"/>
        <w:bottom w:val="none" w:sz="0" w:space="0" w:color="auto"/>
        <w:right w:val="none" w:sz="0" w:space="0" w:color="auto"/>
      </w:divBdr>
    </w:div>
    <w:div w:id="2045251518">
      <w:bodyDiv w:val="1"/>
      <w:marLeft w:val="0"/>
      <w:marRight w:val="0"/>
      <w:marTop w:val="0"/>
      <w:marBottom w:val="0"/>
      <w:divBdr>
        <w:top w:val="none" w:sz="0" w:space="0" w:color="auto"/>
        <w:left w:val="none" w:sz="0" w:space="0" w:color="auto"/>
        <w:bottom w:val="none" w:sz="0" w:space="0" w:color="auto"/>
        <w:right w:val="none" w:sz="0" w:space="0" w:color="auto"/>
      </w:divBdr>
    </w:div>
    <w:div w:id="214179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ug.edu.gh/rsgislab/rs-gis-geonode-app.html" TargetMode="Externa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daily\IFPRI2014\GSSP\Census2000-2010\2015\Spatial\Populatio%20density%20-%20census(adj%20in%20June7-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ily\IFPRI2014\GSSP\Census2000-2010\2015\Spatial\Populatio%20density%20-%20census(adj%20in%20June7-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aily\IFPRI2015\GSSP\Youth\Land&amp;input\Landinputcosts%20(Oct10-2016)_new%20types%20reg.xlsx" TargetMode="External"/><Relationship Id="rId2" Type="http://schemas.microsoft.com/office/2011/relationships/chartStyle" Target="style1.xml"/><Relationship Id="rId3" Type="http://schemas.microsoft.com/office/2011/relationships/chartColorStyle" Target="colors1.xml"/></Relationships>
</file>

<file path=word/charts/_rels/chart4.xml.rels><?xml version="1.0" encoding="UTF-8" standalone="yes"?>
<Relationships xmlns="http://schemas.openxmlformats.org/package/2006/relationships"><Relationship Id="rId1" Type="http://schemas.openxmlformats.org/officeDocument/2006/relationships/oleObject" Target="file:///D:\daily\IFPRI2015\GSSP\Youth\Land&amp;input\Landinputcosts%20(Oct10-2016)_new%20types%20re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66168202529"/>
          <c:y val="0.087807588124711"/>
          <c:w val="0.766128438337857"/>
          <c:h val="0.827941344288486"/>
        </c:manualLayout>
      </c:layout>
      <c:barChart>
        <c:barDir val="col"/>
        <c:grouping val="clustered"/>
        <c:varyColors val="0"/>
        <c:ser>
          <c:idx val="0"/>
          <c:order val="0"/>
          <c:tx>
            <c:v>Rural</c:v>
          </c:tx>
          <c:spPr>
            <a:pattFill prst="narVert">
              <a:fgClr>
                <a:srgbClr val="0070C0"/>
              </a:fgClr>
              <a:bgClr>
                <a:schemeClr val="bg1"/>
              </a:bgClr>
            </a:pattFill>
            <a:ln>
              <a:noFill/>
              <a:prstDash val="dashDot"/>
            </a:ln>
            <a:effectLst/>
          </c:spPr>
          <c:invertIfNegative val="0"/>
          <c:cat>
            <c:strRef>
              <c:f>'Table used in 2015'!$F$5:$F$8</c:f>
              <c:strCache>
                <c:ptCount val="4"/>
                <c:pt idx="0">
                  <c:v>1960-70</c:v>
                </c:pt>
                <c:pt idx="1">
                  <c:v>1970-84</c:v>
                </c:pt>
                <c:pt idx="2">
                  <c:v>1984-2000</c:v>
                </c:pt>
                <c:pt idx="3">
                  <c:v>2000-10</c:v>
                </c:pt>
              </c:strCache>
            </c:strRef>
          </c:cat>
          <c:val>
            <c:numRef>
              <c:f>'Table used in 2015'!$G$5:$G$8</c:f>
              <c:numCache>
                <c:formatCode>0.00</c:formatCode>
                <c:ptCount val="4"/>
                <c:pt idx="0">
                  <c:v>1.634749266693203</c:v>
                </c:pt>
                <c:pt idx="1">
                  <c:v>2.293823176677457</c:v>
                </c:pt>
                <c:pt idx="2">
                  <c:v>1.516397496957644</c:v>
                </c:pt>
                <c:pt idx="3">
                  <c:v>1.22500337946343</c:v>
                </c:pt>
              </c:numCache>
            </c:numRef>
          </c:val>
        </c:ser>
        <c:ser>
          <c:idx val="1"/>
          <c:order val="1"/>
          <c:tx>
            <c:v>Urban</c:v>
          </c:tx>
          <c:spPr>
            <a:pattFill prst="dkDnDiag">
              <a:fgClr>
                <a:schemeClr val="accent2"/>
              </a:fgClr>
              <a:bgClr>
                <a:schemeClr val="bg1"/>
              </a:bgClr>
            </a:pattFill>
            <a:ln>
              <a:noFill/>
            </a:ln>
            <a:effectLst/>
          </c:spPr>
          <c:invertIfNegative val="0"/>
          <c:cat>
            <c:strRef>
              <c:f>'Table used in 2015'!$F$5:$F$8</c:f>
              <c:strCache>
                <c:ptCount val="4"/>
                <c:pt idx="0">
                  <c:v>1960-70</c:v>
                </c:pt>
                <c:pt idx="1">
                  <c:v>1970-84</c:v>
                </c:pt>
                <c:pt idx="2">
                  <c:v>1984-2000</c:v>
                </c:pt>
                <c:pt idx="3">
                  <c:v>2000-10</c:v>
                </c:pt>
              </c:strCache>
            </c:strRef>
          </c:cat>
          <c:val>
            <c:numRef>
              <c:f>'Table used in 2015'!$H$5:$H$8</c:f>
              <c:numCache>
                <c:formatCode>0.00</c:formatCode>
                <c:ptCount val="4"/>
                <c:pt idx="0">
                  <c:v>4.772673243527348</c:v>
                </c:pt>
                <c:pt idx="1">
                  <c:v>3.407809456952138</c:v>
                </c:pt>
                <c:pt idx="2">
                  <c:v>4.725292115877933</c:v>
                </c:pt>
                <c:pt idx="3">
                  <c:v>3.977630463560056</c:v>
                </c:pt>
              </c:numCache>
            </c:numRef>
          </c:val>
        </c:ser>
        <c:ser>
          <c:idx val="2"/>
          <c:order val="2"/>
          <c:tx>
            <c:v>Total</c:v>
          </c:tx>
          <c:spPr>
            <a:pattFill prst="trellis">
              <a:fgClr>
                <a:srgbClr val="00B050"/>
              </a:fgClr>
              <a:bgClr>
                <a:schemeClr val="bg1"/>
              </a:bgClr>
            </a:pattFill>
            <a:ln>
              <a:noFill/>
              <a:prstDash val="sysDash"/>
            </a:ln>
            <a:effectLst/>
          </c:spPr>
          <c:invertIfNegative val="0"/>
          <c:cat>
            <c:strRef>
              <c:f>'Table used in 2015'!$F$5:$F$8</c:f>
              <c:strCache>
                <c:ptCount val="4"/>
                <c:pt idx="0">
                  <c:v>1960-70</c:v>
                </c:pt>
                <c:pt idx="1">
                  <c:v>1970-84</c:v>
                </c:pt>
                <c:pt idx="2">
                  <c:v>1984-2000</c:v>
                </c:pt>
                <c:pt idx="3">
                  <c:v>2000-10</c:v>
                </c:pt>
              </c:strCache>
            </c:strRef>
          </c:cat>
          <c:val>
            <c:numRef>
              <c:f>'Table used in 2015'!$I$5:$I$8</c:f>
              <c:numCache>
                <c:formatCode>0.00</c:formatCode>
                <c:ptCount val="4"/>
                <c:pt idx="0">
                  <c:v>2.438436766677255</c:v>
                </c:pt>
                <c:pt idx="1">
                  <c:v>2.632067656483917</c:v>
                </c:pt>
                <c:pt idx="2">
                  <c:v>2.717887526203255</c:v>
                </c:pt>
                <c:pt idx="3">
                  <c:v>2.517905659396624</c:v>
                </c:pt>
              </c:numCache>
            </c:numRef>
          </c:val>
        </c:ser>
        <c:dLbls>
          <c:showLegendKey val="0"/>
          <c:showVal val="0"/>
          <c:showCatName val="0"/>
          <c:showSerName val="0"/>
          <c:showPercent val="0"/>
          <c:showBubbleSize val="0"/>
        </c:dLbls>
        <c:gapWidth val="150"/>
        <c:axId val="2093332664"/>
        <c:axId val="2086552568"/>
      </c:barChart>
      <c:lineChart>
        <c:grouping val="standard"/>
        <c:varyColors val="0"/>
        <c:ser>
          <c:idx val="3"/>
          <c:order val="3"/>
          <c:tx>
            <c:v>Urban pop share</c:v>
          </c:tx>
          <c:spPr>
            <a:ln w="28575" cap="rnd">
              <a:solidFill>
                <a:schemeClr val="accent4">
                  <a:lumMod val="75000"/>
                </a:schemeClr>
              </a:solidFill>
              <a:round/>
            </a:ln>
            <a:effectLst/>
          </c:spPr>
          <c:marker>
            <c:symbol val="none"/>
          </c:marker>
          <c:val>
            <c:numRef>
              <c:f>'Table used in 2015'!$E$5:$E$8</c:f>
              <c:numCache>
                <c:formatCode>0.0</c:formatCode>
                <c:ptCount val="4"/>
                <c:pt idx="0">
                  <c:v>28.88808522366223</c:v>
                </c:pt>
                <c:pt idx="1">
                  <c:v>32.09980509304754</c:v>
                </c:pt>
                <c:pt idx="2">
                  <c:v>43.75124490543824</c:v>
                </c:pt>
                <c:pt idx="3">
                  <c:v>50.87521411707282</c:v>
                </c:pt>
              </c:numCache>
            </c:numRef>
          </c:val>
          <c:smooth val="0"/>
        </c:ser>
        <c:dLbls>
          <c:showLegendKey val="0"/>
          <c:showVal val="0"/>
          <c:showCatName val="0"/>
          <c:showSerName val="0"/>
          <c:showPercent val="0"/>
          <c:showBubbleSize val="0"/>
        </c:dLbls>
        <c:marker val="1"/>
        <c:smooth val="0"/>
        <c:axId val="2088416664"/>
        <c:axId val="2086220744"/>
      </c:lineChart>
      <c:catAx>
        <c:axId val="2093332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6552568"/>
        <c:crosses val="autoZero"/>
        <c:auto val="1"/>
        <c:lblAlgn val="ctr"/>
        <c:lblOffset val="100"/>
        <c:noMultiLvlLbl val="0"/>
      </c:catAx>
      <c:valAx>
        <c:axId val="2086552568"/>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annualized growth rate (%)</a:t>
                </a:r>
              </a:p>
            </c:rich>
          </c:tx>
          <c:layout>
            <c:manualLayout>
              <c:xMode val="edge"/>
              <c:yMode val="edge"/>
              <c:x val="0.00476982062585073"/>
              <c:y val="0.170028531573559"/>
            </c:manualLayout>
          </c:layout>
          <c:overlay val="0"/>
          <c:spPr>
            <a:noFill/>
            <a:ln>
              <a:noFill/>
            </a:ln>
            <a:effectLst/>
          </c:sp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93332664"/>
        <c:crosses val="autoZero"/>
        <c:crossBetween val="between"/>
      </c:valAx>
      <c:valAx>
        <c:axId val="2086220744"/>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 of total population</a:t>
                </a:r>
              </a:p>
            </c:rich>
          </c:tx>
          <c:layout>
            <c:manualLayout>
              <c:xMode val="edge"/>
              <c:yMode val="edge"/>
              <c:x val="0.952110266808312"/>
              <c:y val="0.219317643514688"/>
            </c:manualLayout>
          </c:layout>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8416664"/>
        <c:crosses val="max"/>
        <c:crossBetween val="between"/>
      </c:valAx>
      <c:catAx>
        <c:axId val="2088416664"/>
        <c:scaling>
          <c:orientation val="minMax"/>
        </c:scaling>
        <c:delete val="1"/>
        <c:axPos val="b"/>
        <c:majorTickMark val="out"/>
        <c:minorTickMark val="none"/>
        <c:tickLblPos val="nextTo"/>
        <c:crossAx val="2086220744"/>
        <c:crosses val="autoZero"/>
        <c:auto val="1"/>
        <c:lblAlgn val="ctr"/>
        <c:lblOffset val="100"/>
        <c:noMultiLvlLbl val="0"/>
      </c:catAx>
      <c:spPr>
        <a:noFill/>
        <a:ln>
          <a:noFill/>
        </a:ln>
        <a:effectLst/>
      </c:spPr>
    </c:plotArea>
    <c:legend>
      <c:legendPos val="b"/>
      <c:layout>
        <c:manualLayout>
          <c:xMode val="edge"/>
          <c:yMode val="edge"/>
          <c:x val="0.17854263062478"/>
          <c:y val="0.020648389286798"/>
          <c:w val="0.616244025077322"/>
          <c:h val="0.11909126829066"/>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107832455323"/>
          <c:y val="0.0747772006619108"/>
          <c:w val="0.78446314039561"/>
          <c:h val="0.835569109353321"/>
        </c:manualLayout>
      </c:layout>
      <c:barChart>
        <c:barDir val="col"/>
        <c:grouping val="clustered"/>
        <c:varyColors val="0"/>
        <c:ser>
          <c:idx val="0"/>
          <c:order val="0"/>
          <c:tx>
            <c:v>Agriculture</c:v>
          </c:tx>
          <c:spPr>
            <a:pattFill prst="narVert">
              <a:fgClr>
                <a:srgbClr val="0070C0"/>
              </a:fgClr>
              <a:bgClr>
                <a:schemeClr val="bg1"/>
              </a:bgClr>
            </a:pattFill>
            <a:ln>
              <a:noFill/>
              <a:prstDash val="dashDot"/>
            </a:ln>
            <a:effectLst/>
          </c:spPr>
          <c:invertIfNegative val="0"/>
          <c:cat>
            <c:strRef>
              <c:f>'Table used in 2015'!$F$5:$F$8</c:f>
              <c:strCache>
                <c:ptCount val="4"/>
                <c:pt idx="0">
                  <c:v>1960-70</c:v>
                </c:pt>
                <c:pt idx="1">
                  <c:v>1970-84</c:v>
                </c:pt>
                <c:pt idx="2">
                  <c:v>1984-2000</c:v>
                </c:pt>
                <c:pt idx="3">
                  <c:v>2000-10</c:v>
                </c:pt>
              </c:strCache>
            </c:strRef>
          </c:cat>
          <c:val>
            <c:numRef>
              <c:f>'Table used in 2015'!$D$37:$D$40</c:f>
              <c:numCache>
                <c:formatCode>0.00</c:formatCode>
                <c:ptCount val="4"/>
                <c:pt idx="0">
                  <c:v>1.40455496488765</c:v>
                </c:pt>
                <c:pt idx="1">
                  <c:v>4.502515030441677</c:v>
                </c:pt>
                <c:pt idx="2">
                  <c:v>1.163696764654465</c:v>
                </c:pt>
                <c:pt idx="3">
                  <c:v>0.665736239715353</c:v>
                </c:pt>
              </c:numCache>
            </c:numRef>
          </c:val>
        </c:ser>
        <c:ser>
          <c:idx val="1"/>
          <c:order val="1"/>
          <c:tx>
            <c:v>Nonagriculture</c:v>
          </c:tx>
          <c:spPr>
            <a:pattFill prst="dkDnDiag">
              <a:fgClr>
                <a:schemeClr val="accent2"/>
              </a:fgClr>
              <a:bgClr>
                <a:schemeClr val="bg1"/>
              </a:bgClr>
            </a:pattFill>
            <a:ln>
              <a:noFill/>
            </a:ln>
            <a:effectLst/>
          </c:spPr>
          <c:invertIfNegative val="0"/>
          <c:cat>
            <c:strRef>
              <c:f>'Table used in 2015'!$F$5:$F$8</c:f>
              <c:strCache>
                <c:ptCount val="4"/>
                <c:pt idx="0">
                  <c:v>1960-70</c:v>
                </c:pt>
                <c:pt idx="1">
                  <c:v>1970-84</c:v>
                </c:pt>
                <c:pt idx="2">
                  <c:v>1984-2000</c:v>
                </c:pt>
                <c:pt idx="3">
                  <c:v>2000-10</c:v>
                </c:pt>
              </c:strCache>
            </c:strRef>
          </c:cat>
          <c:val>
            <c:numRef>
              <c:f>'Table used in 2015'!$E$37:$E$40</c:f>
              <c:numCache>
                <c:formatCode>0.00</c:formatCode>
                <c:ptCount val="4"/>
                <c:pt idx="0">
                  <c:v>2.935696147469091</c:v>
                </c:pt>
                <c:pt idx="1">
                  <c:v>3.269792705770658</c:v>
                </c:pt>
                <c:pt idx="2">
                  <c:v>3.10480758783398</c:v>
                </c:pt>
                <c:pt idx="3">
                  <c:v>5.683004409490677</c:v>
                </c:pt>
              </c:numCache>
            </c:numRef>
          </c:val>
        </c:ser>
        <c:ser>
          <c:idx val="2"/>
          <c:order val="2"/>
          <c:tx>
            <c:v>Total</c:v>
          </c:tx>
          <c:spPr>
            <a:pattFill prst="trellis">
              <a:fgClr>
                <a:srgbClr val="00B050"/>
              </a:fgClr>
              <a:bgClr>
                <a:schemeClr val="bg1"/>
              </a:bgClr>
            </a:pattFill>
            <a:ln>
              <a:noFill/>
              <a:prstDash val="sysDash"/>
            </a:ln>
            <a:effectLst/>
          </c:spPr>
          <c:invertIfNegative val="0"/>
          <c:cat>
            <c:strRef>
              <c:f>'Table used in 2015'!$F$5:$F$8</c:f>
              <c:strCache>
                <c:ptCount val="4"/>
                <c:pt idx="0">
                  <c:v>1960-70</c:v>
                </c:pt>
                <c:pt idx="1">
                  <c:v>1970-84</c:v>
                </c:pt>
                <c:pt idx="2">
                  <c:v>1984-2000</c:v>
                </c:pt>
                <c:pt idx="3">
                  <c:v>2000-10</c:v>
                </c:pt>
              </c:strCache>
            </c:strRef>
          </c:cat>
          <c:val>
            <c:numRef>
              <c:f>'Table used in 2015'!$F$37:$F$40</c:f>
              <c:numCache>
                <c:formatCode>0.00</c:formatCode>
                <c:ptCount val="4"/>
                <c:pt idx="0">
                  <c:v>2.031596403072911</c:v>
                </c:pt>
                <c:pt idx="1">
                  <c:v>3.996091717861727</c:v>
                </c:pt>
                <c:pt idx="2">
                  <c:v>1.98658203485207</c:v>
                </c:pt>
                <c:pt idx="3">
                  <c:v>3.265525469111297</c:v>
                </c:pt>
              </c:numCache>
            </c:numRef>
          </c:val>
        </c:ser>
        <c:dLbls>
          <c:showLegendKey val="0"/>
          <c:showVal val="0"/>
          <c:showCatName val="0"/>
          <c:showSerName val="0"/>
          <c:showPercent val="0"/>
          <c:showBubbleSize val="0"/>
        </c:dLbls>
        <c:gapWidth val="150"/>
        <c:axId val="2055048808"/>
        <c:axId val="-2137957240"/>
      </c:barChart>
      <c:lineChart>
        <c:grouping val="standard"/>
        <c:varyColors val="0"/>
        <c:ser>
          <c:idx val="3"/>
          <c:order val="3"/>
          <c:tx>
            <c:v>Ag em share</c:v>
          </c:tx>
          <c:spPr>
            <a:ln w="28575" cap="rnd">
              <a:solidFill>
                <a:schemeClr val="accent4">
                  <a:lumMod val="75000"/>
                </a:schemeClr>
              </a:solidFill>
              <a:round/>
            </a:ln>
            <a:effectLst/>
          </c:spPr>
          <c:marker>
            <c:symbol val="none"/>
          </c:marker>
          <c:val>
            <c:numRef>
              <c:f>'Table used in 2015'!$B$37:$B$40</c:f>
              <c:numCache>
                <c:formatCode>0.0</c:formatCode>
                <c:ptCount val="4"/>
                <c:pt idx="0">
                  <c:v>57.0444695162949</c:v>
                </c:pt>
                <c:pt idx="1">
                  <c:v>61.0589996994045</c:v>
                </c:pt>
                <c:pt idx="2">
                  <c:v>53.63597120933235</c:v>
                </c:pt>
                <c:pt idx="3">
                  <c:v>41.56418774517582</c:v>
                </c:pt>
              </c:numCache>
            </c:numRef>
          </c:val>
          <c:smooth val="0"/>
        </c:ser>
        <c:dLbls>
          <c:showLegendKey val="0"/>
          <c:showVal val="0"/>
          <c:showCatName val="0"/>
          <c:showSerName val="0"/>
          <c:showPercent val="0"/>
          <c:showBubbleSize val="0"/>
        </c:dLbls>
        <c:marker val="1"/>
        <c:smooth val="0"/>
        <c:axId val="-2138025992"/>
        <c:axId val="-2137949800"/>
      </c:lineChart>
      <c:catAx>
        <c:axId val="205504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7957240"/>
        <c:crosses val="autoZero"/>
        <c:auto val="1"/>
        <c:lblAlgn val="ctr"/>
        <c:lblOffset val="100"/>
        <c:noMultiLvlLbl val="0"/>
      </c:catAx>
      <c:valAx>
        <c:axId val="-2137957240"/>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annualized growth rate (%)</a:t>
                </a:r>
              </a:p>
            </c:rich>
          </c:tx>
          <c:layout>
            <c:manualLayout>
              <c:xMode val="edge"/>
              <c:yMode val="edge"/>
              <c:x val="0.0134640053017624"/>
              <c:y val="0.211545153290199"/>
            </c:manualLayout>
          </c:layout>
          <c:overlay val="0"/>
          <c:spPr>
            <a:noFill/>
            <a:ln>
              <a:noFill/>
            </a:ln>
            <a:effectLst/>
          </c:sp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55048808"/>
        <c:crosses val="autoZero"/>
        <c:crossBetween val="between"/>
      </c:valAx>
      <c:valAx>
        <c:axId val="-2137949800"/>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 of total employment</a:t>
                </a:r>
              </a:p>
            </c:rich>
          </c:tx>
          <c:layout>
            <c:manualLayout>
              <c:xMode val="edge"/>
              <c:yMode val="edge"/>
              <c:x val="0.954693070641491"/>
              <c:y val="0.250171645886242"/>
            </c:manualLayout>
          </c:layout>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8025992"/>
        <c:crosses val="max"/>
        <c:crossBetween val="between"/>
      </c:valAx>
      <c:catAx>
        <c:axId val="-2138025992"/>
        <c:scaling>
          <c:orientation val="minMax"/>
        </c:scaling>
        <c:delete val="1"/>
        <c:axPos val="b"/>
        <c:majorTickMark val="out"/>
        <c:minorTickMark val="none"/>
        <c:tickLblPos val="nextTo"/>
        <c:crossAx val="-2137949800"/>
        <c:crosses val="autoZero"/>
        <c:auto val="1"/>
        <c:lblAlgn val="ctr"/>
        <c:lblOffset val="100"/>
        <c:noMultiLvlLbl val="0"/>
      </c:catAx>
      <c:spPr>
        <a:noFill/>
        <a:ln>
          <a:noFill/>
        </a:ln>
        <a:effectLst/>
      </c:spPr>
    </c:plotArea>
    <c:legend>
      <c:legendPos val="b"/>
      <c:layout>
        <c:manualLayout>
          <c:xMode val="edge"/>
          <c:yMode val="edge"/>
          <c:x val="0.237099910610475"/>
          <c:y val="0.0428274983933645"/>
          <c:w val="0.460339965262294"/>
          <c:h val="0.1339846092982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74354641076564"/>
          <c:y val="0.115740740740741"/>
          <c:w val="0.824927386469036"/>
          <c:h val="0.583439049285506"/>
        </c:manualLayout>
      </c:layout>
      <c:barChart>
        <c:barDir val="col"/>
        <c:grouping val="clustered"/>
        <c:varyColors val="0"/>
        <c:ser>
          <c:idx val="0"/>
          <c:order val="0"/>
          <c:tx>
            <c:v>no-land, 2005</c:v>
          </c:tx>
          <c:spPr>
            <a:solidFill>
              <a:schemeClr val="accent1"/>
            </a:solidFill>
            <a:ln>
              <a:noFill/>
            </a:ln>
            <a:effectLst/>
          </c:spPr>
          <c:invertIfNegative val="0"/>
          <c:cat>
            <c:multiLvlStrRef>
              <c:f>'GLSS type compare'!$A$17:$B$25</c:f>
              <c:multiLvlStrCache>
                <c:ptCount val="9"/>
                <c:lvl>
                  <c:pt idx="0">
                    <c:v>2nd-tier city distrcts</c:v>
                  </c:pt>
                  <c:pt idx="1">
                    <c:v>3rd-tier city districts</c:v>
                  </c:pt>
                  <c:pt idx="2">
                    <c:v>No city districts</c:v>
                  </c:pt>
                  <c:pt idx="3">
                    <c:v>North total</c:v>
                  </c:pt>
                  <c:pt idx="4">
                    <c:v>Big city districts</c:v>
                  </c:pt>
                  <c:pt idx="5">
                    <c:v> 2nd-tier city distrcts </c:v>
                  </c:pt>
                  <c:pt idx="6">
                    <c:v> 3rd-tier city districts </c:v>
                  </c:pt>
                  <c:pt idx="7">
                    <c:v> No city districts </c:v>
                  </c:pt>
                  <c:pt idx="8">
                    <c:v>South total</c:v>
                  </c:pt>
                </c:lvl>
                <c:lvl>
                  <c:pt idx="0">
                    <c:v>North</c:v>
                  </c:pt>
                  <c:pt idx="4">
                    <c:v>South</c:v>
                  </c:pt>
                </c:lvl>
              </c:multiLvlStrCache>
            </c:multiLvlStrRef>
          </c:cat>
          <c:val>
            <c:numRef>
              <c:f>'GLSS type compare'!$AM$17:$AM$25</c:f>
              <c:numCache>
                <c:formatCode>0.0</c:formatCode>
                <c:ptCount val="9"/>
                <c:pt idx="0">
                  <c:v>77.15609714236663</c:v>
                </c:pt>
                <c:pt idx="1">
                  <c:v>40.78020813859288</c:v>
                </c:pt>
                <c:pt idx="2">
                  <c:v>27.09233313250692</c:v>
                </c:pt>
                <c:pt idx="3">
                  <c:v>35.4917130701884</c:v>
                </c:pt>
                <c:pt idx="4">
                  <c:v>84.41617259552041</c:v>
                </c:pt>
                <c:pt idx="5">
                  <c:v>100.0</c:v>
                </c:pt>
                <c:pt idx="6">
                  <c:v>56.45433775964834</c:v>
                </c:pt>
                <c:pt idx="7">
                  <c:v>49.66697863375204</c:v>
                </c:pt>
                <c:pt idx="8">
                  <c:v>55.04160296810137</c:v>
                </c:pt>
              </c:numCache>
            </c:numRef>
          </c:val>
        </c:ser>
        <c:ser>
          <c:idx val="1"/>
          <c:order val="1"/>
          <c:tx>
            <c:v>no-land, 2012</c:v>
          </c:tx>
          <c:spPr>
            <a:solidFill>
              <a:schemeClr val="accent2"/>
            </a:solidFill>
            <a:ln>
              <a:noFill/>
            </a:ln>
            <a:effectLst/>
          </c:spPr>
          <c:invertIfNegative val="0"/>
          <c:cat>
            <c:multiLvlStrRef>
              <c:f>'GLSS type compare'!$A$17:$B$25</c:f>
              <c:multiLvlStrCache>
                <c:ptCount val="9"/>
                <c:lvl>
                  <c:pt idx="0">
                    <c:v>2nd-tier city distrcts</c:v>
                  </c:pt>
                  <c:pt idx="1">
                    <c:v>3rd-tier city districts</c:v>
                  </c:pt>
                  <c:pt idx="2">
                    <c:v>No city districts</c:v>
                  </c:pt>
                  <c:pt idx="3">
                    <c:v>North total</c:v>
                  </c:pt>
                  <c:pt idx="4">
                    <c:v>Big city districts</c:v>
                  </c:pt>
                  <c:pt idx="5">
                    <c:v> 2nd-tier city distrcts </c:v>
                  </c:pt>
                  <c:pt idx="6">
                    <c:v> 3rd-tier city districts </c:v>
                  </c:pt>
                  <c:pt idx="7">
                    <c:v> No city districts </c:v>
                  </c:pt>
                  <c:pt idx="8">
                    <c:v>South total</c:v>
                  </c:pt>
                </c:lvl>
                <c:lvl>
                  <c:pt idx="0">
                    <c:v>North</c:v>
                  </c:pt>
                  <c:pt idx="4">
                    <c:v>South</c:v>
                  </c:pt>
                </c:lvl>
              </c:multiLvlStrCache>
            </c:multiLvlStrRef>
          </c:cat>
          <c:val>
            <c:numRef>
              <c:f>'GLSS type compare'!$AO$17:$AO$25</c:f>
              <c:numCache>
                <c:formatCode>0.0</c:formatCode>
                <c:ptCount val="9"/>
                <c:pt idx="0">
                  <c:v>70.8136645962733</c:v>
                </c:pt>
                <c:pt idx="1">
                  <c:v>30.26826804355146</c:v>
                </c:pt>
                <c:pt idx="2">
                  <c:v>38.33335169010827</c:v>
                </c:pt>
                <c:pt idx="3">
                  <c:v>39.41414968501954</c:v>
                </c:pt>
                <c:pt idx="4">
                  <c:v>99.75095941863313</c:v>
                </c:pt>
                <c:pt idx="5">
                  <c:v>57.0390318289478</c:v>
                </c:pt>
                <c:pt idx="6">
                  <c:v>71.5151697477475</c:v>
                </c:pt>
                <c:pt idx="7">
                  <c:v>71.567127277258</c:v>
                </c:pt>
                <c:pt idx="8">
                  <c:v>71.9628350793673</c:v>
                </c:pt>
              </c:numCache>
            </c:numRef>
          </c:val>
        </c:ser>
        <c:dLbls>
          <c:showLegendKey val="0"/>
          <c:showVal val="0"/>
          <c:showCatName val="0"/>
          <c:showSerName val="0"/>
          <c:showPercent val="0"/>
          <c:showBubbleSize val="0"/>
        </c:dLbls>
        <c:gapWidth val="219"/>
        <c:axId val="2077311528"/>
        <c:axId val="-2123764616"/>
      </c:barChart>
      <c:lineChart>
        <c:grouping val="standard"/>
        <c:varyColors val="0"/>
        <c:ser>
          <c:idx val="2"/>
          <c:order val="2"/>
          <c:tx>
            <c:v>Less than 2ha, 2005</c:v>
          </c:tx>
          <c:spPr>
            <a:ln w="28575" cap="rnd">
              <a:solidFill>
                <a:schemeClr val="tx1"/>
              </a:solidFill>
              <a:prstDash val="sysDash"/>
              <a:round/>
            </a:ln>
            <a:effectLst/>
          </c:spPr>
          <c:marker>
            <c:symbol val="triangle"/>
            <c:size val="5"/>
            <c:spPr>
              <a:solidFill>
                <a:schemeClr val="tx1"/>
              </a:solidFill>
              <a:ln w="9525">
                <a:solidFill>
                  <a:schemeClr val="tx1"/>
                </a:solidFill>
              </a:ln>
              <a:effectLst/>
            </c:spPr>
          </c:marker>
          <c:cat>
            <c:multiLvlStrRef>
              <c:f>'GLSS type compare'!$A$16:$B$25</c:f>
              <c:multiLvlStrCache>
                <c:ptCount val="10"/>
                <c:lvl>
                  <c:pt idx="0">
                    <c:v>Big city districts</c:v>
                  </c:pt>
                  <c:pt idx="1">
                    <c:v>2nd-tier city distrcts</c:v>
                  </c:pt>
                  <c:pt idx="2">
                    <c:v>3rd-tier city districts</c:v>
                  </c:pt>
                  <c:pt idx="3">
                    <c:v>No city districts</c:v>
                  </c:pt>
                  <c:pt idx="4">
                    <c:v>North total</c:v>
                  </c:pt>
                  <c:pt idx="5">
                    <c:v>Big city districts</c:v>
                  </c:pt>
                  <c:pt idx="6">
                    <c:v> 2nd-tier city distrcts </c:v>
                  </c:pt>
                  <c:pt idx="7">
                    <c:v> 3rd-tier city districts </c:v>
                  </c:pt>
                  <c:pt idx="8">
                    <c:v> No city districts </c:v>
                  </c:pt>
                  <c:pt idx="9">
                    <c:v>South total</c:v>
                  </c:pt>
                </c:lvl>
                <c:lvl>
                  <c:pt idx="1">
                    <c:v>North</c:v>
                  </c:pt>
                  <c:pt idx="5">
                    <c:v>South</c:v>
                  </c:pt>
                </c:lvl>
              </c:multiLvlStrCache>
            </c:multiLvlStrRef>
          </c:cat>
          <c:val>
            <c:numRef>
              <c:f>'GLSS type compare'!$AQ$17:$AQ$25</c:f>
              <c:numCache>
                <c:formatCode>0.0</c:formatCode>
                <c:ptCount val="9"/>
                <c:pt idx="0">
                  <c:v>73.06536438767844</c:v>
                </c:pt>
                <c:pt idx="1">
                  <c:v>71.98253183205287</c:v>
                </c:pt>
                <c:pt idx="2">
                  <c:v>64.9131443842746</c:v>
                </c:pt>
                <c:pt idx="3">
                  <c:v>66.90008148299043</c:v>
                </c:pt>
                <c:pt idx="4">
                  <c:v>40.0</c:v>
                </c:pt>
                <c:pt idx="6">
                  <c:v>84.90160210665958</c:v>
                </c:pt>
                <c:pt idx="7">
                  <c:v>75.22721587592762</c:v>
                </c:pt>
                <c:pt idx="8">
                  <c:v>78.94215735028605</c:v>
                </c:pt>
              </c:numCache>
            </c:numRef>
          </c:val>
          <c:smooth val="0"/>
        </c:ser>
        <c:ser>
          <c:idx val="3"/>
          <c:order val="3"/>
          <c:tx>
            <c:v>Less than 2ha, 2012</c:v>
          </c:tx>
          <c:spPr>
            <a:ln w="28575" cap="rnd">
              <a:solidFill>
                <a:srgbClr val="C00000"/>
              </a:solidFill>
              <a:round/>
            </a:ln>
            <a:effectLst/>
          </c:spPr>
          <c:marker>
            <c:symbol val="square"/>
            <c:size val="5"/>
            <c:spPr>
              <a:solidFill>
                <a:srgbClr val="C00000"/>
              </a:solidFill>
              <a:ln w="9525">
                <a:solidFill>
                  <a:srgbClr val="C00000"/>
                </a:solidFill>
              </a:ln>
              <a:effectLst/>
            </c:spPr>
          </c:marker>
          <c:cat>
            <c:multiLvlStrRef>
              <c:f>'GLSS type compare'!$A$16:$B$25</c:f>
              <c:multiLvlStrCache>
                <c:ptCount val="10"/>
                <c:lvl>
                  <c:pt idx="0">
                    <c:v>Big city districts</c:v>
                  </c:pt>
                  <c:pt idx="1">
                    <c:v>2nd-tier city distrcts</c:v>
                  </c:pt>
                  <c:pt idx="2">
                    <c:v>3rd-tier city districts</c:v>
                  </c:pt>
                  <c:pt idx="3">
                    <c:v>No city districts</c:v>
                  </c:pt>
                  <c:pt idx="4">
                    <c:v>North total</c:v>
                  </c:pt>
                  <c:pt idx="5">
                    <c:v>Big city districts</c:v>
                  </c:pt>
                  <c:pt idx="6">
                    <c:v> 2nd-tier city distrcts </c:v>
                  </c:pt>
                  <c:pt idx="7">
                    <c:v> 3rd-tier city districts </c:v>
                  </c:pt>
                  <c:pt idx="8">
                    <c:v> No city districts </c:v>
                  </c:pt>
                  <c:pt idx="9">
                    <c:v>South total</c:v>
                  </c:pt>
                </c:lvl>
                <c:lvl>
                  <c:pt idx="1">
                    <c:v>North</c:v>
                  </c:pt>
                  <c:pt idx="5">
                    <c:v>South</c:v>
                  </c:pt>
                </c:lvl>
              </c:multiLvlStrCache>
            </c:multiLvlStrRef>
          </c:cat>
          <c:val>
            <c:numRef>
              <c:f>'GLSS type compare'!$AR$17:$AR$25</c:f>
              <c:numCache>
                <c:formatCode>0.0</c:formatCode>
                <c:ptCount val="9"/>
                <c:pt idx="0">
                  <c:v>57.33134709512657</c:v>
                </c:pt>
                <c:pt idx="1">
                  <c:v>71.81765501255551</c:v>
                </c:pt>
                <c:pt idx="2">
                  <c:v>62.581935737377</c:v>
                </c:pt>
                <c:pt idx="3">
                  <c:v>65.43978201634869</c:v>
                </c:pt>
                <c:pt idx="4">
                  <c:v>100.0</c:v>
                </c:pt>
                <c:pt idx="5">
                  <c:v>52.70749943357752</c:v>
                </c:pt>
                <c:pt idx="6">
                  <c:v>73.74848180810055</c:v>
                </c:pt>
                <c:pt idx="7">
                  <c:v>81.95686408764122</c:v>
                </c:pt>
                <c:pt idx="8">
                  <c:v>75.73777572111676</c:v>
                </c:pt>
              </c:numCache>
            </c:numRef>
          </c:val>
          <c:smooth val="0"/>
        </c:ser>
        <c:dLbls>
          <c:showLegendKey val="0"/>
          <c:showVal val="0"/>
          <c:showCatName val="0"/>
          <c:showSerName val="0"/>
          <c:showPercent val="0"/>
          <c:showBubbleSize val="0"/>
        </c:dLbls>
        <c:marker val="1"/>
        <c:smooth val="0"/>
        <c:axId val="-2122992104"/>
        <c:axId val="2084255272"/>
      </c:lineChart>
      <c:catAx>
        <c:axId val="207731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3764616"/>
        <c:crosses val="autoZero"/>
        <c:auto val="1"/>
        <c:lblAlgn val="ctr"/>
        <c:lblOffset val="100"/>
        <c:noMultiLvlLbl val="0"/>
      </c:catAx>
      <c:valAx>
        <c:axId val="-2123764616"/>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no-land hh of rural non-ag hh (%) </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77311528"/>
        <c:crosses val="autoZero"/>
        <c:crossBetween val="between"/>
      </c:valAx>
      <c:valAx>
        <c:axId val="2084255272"/>
        <c:scaling>
          <c:orientation val="minMax"/>
          <c:max val="100.0"/>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&lt;2ha hh of</a:t>
                </a:r>
                <a:r>
                  <a:rPr lang="en-US" baseline="0"/>
                  <a:t> rural non-ag hh with land (%)</a:t>
                </a:r>
                <a:endParaRPr lang="en-US"/>
              </a:p>
            </c:rich>
          </c:tx>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2992104"/>
        <c:crosses val="max"/>
        <c:crossBetween val="between"/>
      </c:valAx>
      <c:catAx>
        <c:axId val="-2122992104"/>
        <c:scaling>
          <c:orientation val="minMax"/>
        </c:scaling>
        <c:delete val="1"/>
        <c:axPos val="b"/>
        <c:numFmt formatCode="General" sourceLinked="1"/>
        <c:majorTickMark val="out"/>
        <c:minorTickMark val="none"/>
        <c:tickLblPos val="nextTo"/>
        <c:crossAx val="2084255272"/>
        <c:crosses val="autoZero"/>
        <c:auto val="1"/>
        <c:lblAlgn val="ctr"/>
        <c:lblOffset val="100"/>
        <c:noMultiLvlLbl val="0"/>
      </c:catAx>
      <c:spPr>
        <a:noFill/>
        <a:ln>
          <a:noFill/>
        </a:ln>
        <a:effectLst/>
      </c:spPr>
    </c:plotArea>
    <c:legend>
      <c:legendPos val="r"/>
      <c:layout>
        <c:manualLayout>
          <c:xMode val="edge"/>
          <c:yMode val="edge"/>
          <c:x val="0.214794322958434"/>
          <c:y val="0.00520778652668416"/>
          <c:w val="0.599863832810373"/>
          <c:h val="0.09490959463400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26152922107307"/>
          <c:y val="0.0766190476190476"/>
          <c:w val="0.913399196965583"/>
          <c:h val="0.757206974128234"/>
        </c:manualLayout>
      </c:layout>
      <c:barChart>
        <c:barDir val="col"/>
        <c:grouping val="clustered"/>
        <c:varyColors val="0"/>
        <c:ser>
          <c:idx val="0"/>
          <c:order val="0"/>
          <c:tx>
            <c:v>2005/06</c:v>
          </c:tx>
          <c:spPr>
            <a:solidFill>
              <a:schemeClr val="accent1"/>
            </a:solidFill>
            <a:ln>
              <a:noFill/>
            </a:ln>
            <a:effectLst/>
          </c:spPr>
          <c:invertIfNegative val="0"/>
          <c:cat>
            <c:multiLvlStrRef>
              <c:f>'Fig5.5'!$A$31:$B$39</c:f>
              <c:multiLvlStrCache>
                <c:ptCount val="9"/>
                <c:lvl>
                  <c:pt idx="0">
                    <c:v>&lt; 2ha</c:v>
                  </c:pt>
                  <c:pt idx="1">
                    <c:v>2-5ha</c:v>
                  </c:pt>
                  <c:pt idx="2">
                    <c:v>5-20ha</c:v>
                  </c:pt>
                  <c:pt idx="3">
                    <c:v>&lt; 2ha</c:v>
                  </c:pt>
                  <c:pt idx="4">
                    <c:v>2-5ha</c:v>
                  </c:pt>
                  <c:pt idx="5">
                    <c:v>5-20ha</c:v>
                  </c:pt>
                  <c:pt idx="6">
                    <c:v>&lt; 2ha</c:v>
                  </c:pt>
                  <c:pt idx="7">
                    <c:v>2-5ha</c:v>
                  </c:pt>
                  <c:pt idx="8">
                    <c:v>5-20ha</c:v>
                  </c:pt>
                </c:lvl>
                <c:lvl>
                  <c:pt idx="0">
                    <c:v>North</c:v>
                  </c:pt>
                  <c:pt idx="3">
                    <c:v>South</c:v>
                  </c:pt>
                  <c:pt idx="6">
                    <c:v>National</c:v>
                  </c:pt>
                </c:lvl>
              </c:multiLvlStrCache>
            </c:multiLvlStrRef>
          </c:cat>
          <c:val>
            <c:numRef>
              <c:f>'Fig5.5'!$C$31:$C$39</c:f>
              <c:numCache>
                <c:formatCode>_(* #,##0.00_);_(* \(#,##0.00\);_(* "-"??_);_(@_)</c:formatCode>
                <c:ptCount val="9"/>
                <c:pt idx="0">
                  <c:v>1.064403511752571</c:v>
                </c:pt>
                <c:pt idx="1">
                  <c:v>3.038287068679938</c:v>
                </c:pt>
                <c:pt idx="2">
                  <c:v>8.96050208420236</c:v>
                </c:pt>
                <c:pt idx="3">
                  <c:v>0.846681526375338</c:v>
                </c:pt>
                <c:pt idx="4">
                  <c:v>3.014046149452995</c:v>
                </c:pt>
                <c:pt idx="5">
                  <c:v>8.68023272482595</c:v>
                </c:pt>
                <c:pt idx="6">
                  <c:v>0.906037864805243</c:v>
                </c:pt>
                <c:pt idx="7">
                  <c:v>3.023635581018889</c:v>
                </c:pt>
                <c:pt idx="8">
                  <c:v>8.788312361490089</c:v>
                </c:pt>
              </c:numCache>
            </c:numRef>
          </c:val>
        </c:ser>
        <c:ser>
          <c:idx val="1"/>
          <c:order val="1"/>
          <c:tx>
            <c:v>2012/13</c:v>
          </c:tx>
          <c:spPr>
            <a:solidFill>
              <a:schemeClr val="accent2"/>
            </a:solidFill>
            <a:ln>
              <a:noFill/>
            </a:ln>
            <a:effectLst/>
          </c:spPr>
          <c:invertIfNegative val="0"/>
          <c:cat>
            <c:multiLvlStrRef>
              <c:f>'Fig5.5'!$A$31:$B$39</c:f>
              <c:multiLvlStrCache>
                <c:ptCount val="9"/>
                <c:lvl>
                  <c:pt idx="0">
                    <c:v>&lt; 2ha</c:v>
                  </c:pt>
                  <c:pt idx="1">
                    <c:v>2-5ha</c:v>
                  </c:pt>
                  <c:pt idx="2">
                    <c:v>5-20ha</c:v>
                  </c:pt>
                  <c:pt idx="3">
                    <c:v>&lt; 2ha</c:v>
                  </c:pt>
                  <c:pt idx="4">
                    <c:v>2-5ha</c:v>
                  </c:pt>
                  <c:pt idx="5">
                    <c:v>5-20ha</c:v>
                  </c:pt>
                  <c:pt idx="6">
                    <c:v>&lt; 2ha</c:v>
                  </c:pt>
                  <c:pt idx="7">
                    <c:v>2-5ha</c:v>
                  </c:pt>
                  <c:pt idx="8">
                    <c:v>5-20ha</c:v>
                  </c:pt>
                </c:lvl>
                <c:lvl>
                  <c:pt idx="0">
                    <c:v>North</c:v>
                  </c:pt>
                  <c:pt idx="3">
                    <c:v>South</c:v>
                  </c:pt>
                  <c:pt idx="6">
                    <c:v>National</c:v>
                  </c:pt>
                </c:lvl>
              </c:multiLvlStrCache>
            </c:multiLvlStrRef>
          </c:cat>
          <c:val>
            <c:numRef>
              <c:f>'Fig5.5'!$D$31:$D$39</c:f>
              <c:numCache>
                <c:formatCode>_(* #,##0.00_);_(* \(#,##0.00\);_(* "-"??_);_(@_)</c:formatCode>
                <c:ptCount val="9"/>
                <c:pt idx="0">
                  <c:v>1.09459399985301</c:v>
                </c:pt>
                <c:pt idx="1">
                  <c:v>3.100812217173813</c:v>
                </c:pt>
                <c:pt idx="2">
                  <c:v>8.696573008096917</c:v>
                </c:pt>
                <c:pt idx="3">
                  <c:v>0.894609216874316</c:v>
                </c:pt>
                <c:pt idx="4">
                  <c:v>3.008722148320142</c:v>
                </c:pt>
                <c:pt idx="5">
                  <c:v>8.350459303722526</c:v>
                </c:pt>
                <c:pt idx="6">
                  <c:v>0.948160480366178</c:v>
                </c:pt>
                <c:pt idx="7">
                  <c:v>3.046855123830961</c:v>
                </c:pt>
                <c:pt idx="8">
                  <c:v>8.517101269363868</c:v>
                </c:pt>
              </c:numCache>
            </c:numRef>
          </c:val>
        </c:ser>
        <c:dLbls>
          <c:showLegendKey val="0"/>
          <c:showVal val="0"/>
          <c:showCatName val="0"/>
          <c:showSerName val="0"/>
          <c:showPercent val="0"/>
          <c:showBubbleSize val="0"/>
        </c:dLbls>
        <c:gapWidth val="219"/>
        <c:overlap val="-27"/>
        <c:axId val="-2137971560"/>
        <c:axId val="-2137911912"/>
      </c:barChart>
      <c:catAx>
        <c:axId val="-2137971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7911912"/>
        <c:crosses val="autoZero"/>
        <c:auto val="1"/>
        <c:lblAlgn val="ctr"/>
        <c:lblOffset val="100"/>
        <c:noMultiLvlLbl val="0"/>
      </c:catAx>
      <c:valAx>
        <c:axId val="-2137911912"/>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7971560"/>
        <c:crosses val="autoZero"/>
        <c:crossBetween val="between"/>
      </c:valAx>
      <c:spPr>
        <a:noFill/>
        <a:ln>
          <a:noFill/>
        </a:ln>
        <a:effectLst/>
      </c:spPr>
    </c:plotArea>
    <c:legend>
      <c:legendPos val="r"/>
      <c:layout>
        <c:manualLayout>
          <c:xMode val="edge"/>
          <c:yMode val="edge"/>
          <c:x val="0.0982715424678498"/>
          <c:y val="0.367475440569929"/>
          <c:w val="0.12847871876517"/>
          <c:h val="0.16071541057367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67B11-13B5-9042-B678-A34F1E8C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6641</Words>
  <Characters>37860</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Loaneruser</dc:creator>
  <cp:keywords/>
  <dc:description/>
  <cp:lastModifiedBy>Peter Hazell</cp:lastModifiedBy>
  <cp:revision>2</cp:revision>
  <cp:lastPrinted>2016-08-15T17:35:00Z</cp:lastPrinted>
  <dcterms:created xsi:type="dcterms:W3CDTF">2017-10-07T06:47:00Z</dcterms:created>
  <dcterms:modified xsi:type="dcterms:W3CDTF">2017-10-07T06:47:00Z</dcterms:modified>
</cp:coreProperties>
</file>